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C48FC" w14:textId="0BB146BF" w:rsidR="00AF0351" w:rsidRPr="00C04129" w:rsidRDefault="00CF3F8F" w:rsidP="00AF0351">
      <w:pPr>
        <w:pStyle w:val="VBALessonPlanTitle"/>
        <w:rPr>
          <w:bCs/>
          <w:color w:val="auto"/>
        </w:rPr>
      </w:pPr>
      <w:bookmarkStart w:id="0" w:name="_Toc276556863"/>
      <w:bookmarkStart w:id="1" w:name="_GoBack"/>
      <w:bookmarkEnd w:id="1"/>
      <w:r w:rsidRPr="00CF3F8F">
        <w:rPr>
          <w:bCs/>
          <w:color w:val="auto"/>
        </w:rPr>
        <w:t>Rating Gulf War Claims</w:t>
      </w:r>
      <w:r w:rsidR="00AF0351" w:rsidRPr="00C04129">
        <w:rPr>
          <w:bCs/>
          <w:color w:val="auto"/>
        </w:rPr>
        <w:br/>
        <w:t>(Post Challenge RVSR)</w:t>
      </w:r>
    </w:p>
    <w:p w14:paraId="044647FF" w14:textId="77777777" w:rsidR="007A5600" w:rsidRPr="00C04129" w:rsidRDefault="007A5600">
      <w:pPr>
        <w:pStyle w:val="VBALessonPlanTitle"/>
        <w:rPr>
          <w:color w:val="auto"/>
        </w:rPr>
      </w:pPr>
      <w:r w:rsidRPr="00C04129">
        <w:rPr>
          <w:color w:val="auto"/>
        </w:rPr>
        <w:t>Trainee Handout</w:t>
      </w:r>
      <w:bookmarkEnd w:id="0"/>
    </w:p>
    <w:p w14:paraId="04464800" w14:textId="77777777" w:rsidR="007A5600" w:rsidRPr="00C04129" w:rsidRDefault="007A5600">
      <w:pPr>
        <w:pStyle w:val="VBATopicHeading1"/>
      </w:pPr>
      <w:bookmarkStart w:id="2" w:name="_Toc276556864"/>
    </w:p>
    <w:p w14:paraId="04464801" w14:textId="77777777" w:rsidR="007A5600" w:rsidRPr="00C04129" w:rsidRDefault="007A5600">
      <w:pPr>
        <w:jc w:val="center"/>
        <w:textAlignment w:val="baseline"/>
        <w:rPr>
          <w:rFonts w:ascii="Times New Roman Bold" w:hAnsi="Times New Roman Bold"/>
          <w:b/>
          <w:sz w:val="28"/>
          <w:szCs w:val="28"/>
        </w:rPr>
      </w:pPr>
      <w:r w:rsidRPr="00C04129">
        <w:rPr>
          <w:rFonts w:ascii="Times New Roman Bold" w:hAnsi="Times New Roman Bold"/>
          <w:b/>
          <w:sz w:val="28"/>
          <w:szCs w:val="28"/>
        </w:rPr>
        <w:t>Table of Contents</w:t>
      </w:r>
      <w:bookmarkEnd w:id="2"/>
    </w:p>
    <w:p w14:paraId="04464802" w14:textId="77777777" w:rsidR="007A5600" w:rsidRPr="00C04129" w:rsidRDefault="007A5600"/>
    <w:p w14:paraId="2AF85F71" w14:textId="77777777" w:rsidR="00135577" w:rsidRDefault="007A5600">
      <w:pPr>
        <w:pStyle w:val="TOC1"/>
        <w:rPr>
          <w:rFonts w:asciiTheme="minorHAnsi" w:eastAsiaTheme="minorEastAsia" w:hAnsiTheme="minorHAnsi" w:cstheme="minorBidi"/>
          <w:sz w:val="22"/>
        </w:rPr>
      </w:pPr>
      <w:r w:rsidRPr="00C04129">
        <w:rPr>
          <w:rStyle w:val="Hyperlink"/>
          <w:color w:val="auto"/>
          <w:szCs w:val="24"/>
        </w:rPr>
        <w:fldChar w:fldCharType="begin"/>
      </w:r>
      <w:r w:rsidRPr="00C04129">
        <w:rPr>
          <w:rStyle w:val="Hyperlink"/>
          <w:color w:val="auto"/>
          <w:szCs w:val="24"/>
        </w:rPr>
        <w:instrText xml:space="preserve"> TOC \o "1-1" \h \z \u </w:instrText>
      </w:r>
      <w:r w:rsidRPr="00C04129">
        <w:rPr>
          <w:rStyle w:val="Hyperlink"/>
          <w:color w:val="auto"/>
          <w:szCs w:val="24"/>
        </w:rPr>
        <w:fldChar w:fldCharType="separate"/>
      </w:r>
      <w:hyperlink w:anchor="_Toc442947324" w:history="1">
        <w:r w:rsidR="00135577" w:rsidRPr="009C0087">
          <w:rPr>
            <w:rStyle w:val="Hyperlink"/>
          </w:rPr>
          <w:t>Objectives</w:t>
        </w:r>
        <w:r w:rsidR="00135577">
          <w:rPr>
            <w:webHidden/>
          </w:rPr>
          <w:tab/>
        </w:r>
        <w:r w:rsidR="00135577">
          <w:rPr>
            <w:webHidden/>
          </w:rPr>
          <w:fldChar w:fldCharType="begin"/>
        </w:r>
        <w:r w:rsidR="00135577">
          <w:rPr>
            <w:webHidden/>
          </w:rPr>
          <w:instrText xml:space="preserve"> PAGEREF _Toc442947324 \h </w:instrText>
        </w:r>
        <w:r w:rsidR="00135577">
          <w:rPr>
            <w:webHidden/>
          </w:rPr>
        </w:r>
        <w:r w:rsidR="00135577">
          <w:rPr>
            <w:webHidden/>
          </w:rPr>
          <w:fldChar w:fldCharType="separate"/>
        </w:r>
        <w:r w:rsidR="00135577">
          <w:rPr>
            <w:webHidden/>
          </w:rPr>
          <w:t>2</w:t>
        </w:r>
        <w:r w:rsidR="00135577">
          <w:rPr>
            <w:webHidden/>
          </w:rPr>
          <w:fldChar w:fldCharType="end"/>
        </w:r>
      </w:hyperlink>
    </w:p>
    <w:p w14:paraId="157241C7" w14:textId="77777777" w:rsidR="00135577" w:rsidRDefault="009C59B6">
      <w:pPr>
        <w:pStyle w:val="TOC1"/>
        <w:rPr>
          <w:rFonts w:asciiTheme="minorHAnsi" w:eastAsiaTheme="minorEastAsia" w:hAnsiTheme="minorHAnsi" w:cstheme="minorBidi"/>
          <w:sz w:val="22"/>
        </w:rPr>
      </w:pPr>
      <w:hyperlink w:anchor="_Toc442947325" w:history="1">
        <w:r w:rsidR="00135577" w:rsidRPr="009C0087">
          <w:rPr>
            <w:rStyle w:val="Hyperlink"/>
          </w:rPr>
          <w:t>References</w:t>
        </w:r>
        <w:r w:rsidR="00135577">
          <w:rPr>
            <w:webHidden/>
          </w:rPr>
          <w:tab/>
        </w:r>
        <w:r w:rsidR="00135577">
          <w:rPr>
            <w:webHidden/>
          </w:rPr>
          <w:fldChar w:fldCharType="begin"/>
        </w:r>
        <w:r w:rsidR="00135577">
          <w:rPr>
            <w:webHidden/>
          </w:rPr>
          <w:instrText xml:space="preserve"> PAGEREF _Toc442947325 \h </w:instrText>
        </w:r>
        <w:r w:rsidR="00135577">
          <w:rPr>
            <w:webHidden/>
          </w:rPr>
        </w:r>
        <w:r w:rsidR="00135577">
          <w:rPr>
            <w:webHidden/>
          </w:rPr>
          <w:fldChar w:fldCharType="separate"/>
        </w:r>
        <w:r w:rsidR="00135577">
          <w:rPr>
            <w:webHidden/>
          </w:rPr>
          <w:t>2</w:t>
        </w:r>
        <w:r w:rsidR="00135577">
          <w:rPr>
            <w:webHidden/>
          </w:rPr>
          <w:fldChar w:fldCharType="end"/>
        </w:r>
      </w:hyperlink>
    </w:p>
    <w:p w14:paraId="5B522CF5" w14:textId="77777777" w:rsidR="00135577" w:rsidRDefault="009C59B6">
      <w:pPr>
        <w:pStyle w:val="TOC1"/>
        <w:rPr>
          <w:rFonts w:asciiTheme="minorHAnsi" w:eastAsiaTheme="minorEastAsia" w:hAnsiTheme="minorHAnsi" w:cstheme="minorBidi"/>
          <w:sz w:val="22"/>
        </w:rPr>
      </w:pPr>
      <w:hyperlink w:anchor="_Toc442947326" w:history="1">
        <w:r w:rsidR="00135577" w:rsidRPr="009C0087">
          <w:rPr>
            <w:rStyle w:val="Hyperlink"/>
          </w:rPr>
          <w:t>Practical Exercise</w:t>
        </w:r>
        <w:r w:rsidR="00135577">
          <w:rPr>
            <w:webHidden/>
          </w:rPr>
          <w:tab/>
        </w:r>
        <w:r w:rsidR="00135577">
          <w:rPr>
            <w:webHidden/>
          </w:rPr>
          <w:fldChar w:fldCharType="begin"/>
        </w:r>
        <w:r w:rsidR="00135577">
          <w:rPr>
            <w:webHidden/>
          </w:rPr>
          <w:instrText xml:space="preserve"> PAGEREF _Toc442947326 \h </w:instrText>
        </w:r>
        <w:r w:rsidR="00135577">
          <w:rPr>
            <w:webHidden/>
          </w:rPr>
        </w:r>
        <w:r w:rsidR="00135577">
          <w:rPr>
            <w:webHidden/>
          </w:rPr>
          <w:fldChar w:fldCharType="separate"/>
        </w:r>
        <w:r w:rsidR="00135577">
          <w:rPr>
            <w:webHidden/>
          </w:rPr>
          <w:t>2</w:t>
        </w:r>
        <w:r w:rsidR="00135577">
          <w:rPr>
            <w:webHidden/>
          </w:rPr>
          <w:fldChar w:fldCharType="end"/>
        </w:r>
      </w:hyperlink>
    </w:p>
    <w:p w14:paraId="0446480B" w14:textId="77777777" w:rsidR="007A5600" w:rsidRPr="00C04129" w:rsidRDefault="007A5600">
      <w:pPr>
        <w:pStyle w:val="VBATopicHeading1"/>
        <w:rPr>
          <w:sz w:val="24"/>
        </w:rPr>
      </w:pPr>
      <w:r w:rsidRPr="00C04129">
        <w:rPr>
          <w:rStyle w:val="Hyperlink"/>
          <w:bCs/>
          <w:color w:val="auto"/>
          <w:szCs w:val="24"/>
        </w:rPr>
        <w:fldChar w:fldCharType="end"/>
      </w:r>
    </w:p>
    <w:p w14:paraId="0446480C" w14:textId="77777777" w:rsidR="007A5600" w:rsidRPr="00C04129" w:rsidRDefault="007A5600"/>
    <w:p w14:paraId="0446480D" w14:textId="77777777" w:rsidR="007A5600" w:rsidRPr="00C04129" w:rsidRDefault="007A5600"/>
    <w:p w14:paraId="0446480E" w14:textId="77777777" w:rsidR="007A5600" w:rsidRPr="00C04129" w:rsidRDefault="007A5600"/>
    <w:p w14:paraId="0446480F" w14:textId="77777777" w:rsidR="007A5600" w:rsidRPr="00C04129" w:rsidRDefault="007A5600"/>
    <w:p w14:paraId="04464810" w14:textId="77777777" w:rsidR="007A5600" w:rsidRPr="00C04129" w:rsidRDefault="007A5600"/>
    <w:p w14:paraId="04464811" w14:textId="77777777" w:rsidR="007A5600" w:rsidRPr="00C04129" w:rsidRDefault="007A5600"/>
    <w:p w14:paraId="04464812" w14:textId="77777777" w:rsidR="007A5600" w:rsidRPr="00C04129" w:rsidRDefault="007A5600"/>
    <w:p w14:paraId="04464813" w14:textId="77777777" w:rsidR="007A5600" w:rsidRPr="00C04129" w:rsidRDefault="007A5600"/>
    <w:p w14:paraId="04464814" w14:textId="77777777" w:rsidR="007A5600" w:rsidRPr="00C04129" w:rsidRDefault="007A5600">
      <w:pPr>
        <w:overflowPunct/>
        <w:autoSpaceDE/>
        <w:autoSpaceDN/>
        <w:adjustRightInd/>
        <w:spacing w:before="0"/>
      </w:pPr>
      <w:r w:rsidRPr="00C04129">
        <w:br w:type="page"/>
      </w:r>
    </w:p>
    <w:p w14:paraId="04464815" w14:textId="77777777" w:rsidR="007A5600" w:rsidRPr="00C04129" w:rsidRDefault="007A5600">
      <w:pPr>
        <w:pStyle w:val="VBATopicHeading1"/>
      </w:pPr>
      <w:bookmarkStart w:id="3" w:name="_Toc442947324"/>
      <w:bookmarkStart w:id="4" w:name="_Toc269888405"/>
      <w:bookmarkStart w:id="5" w:name="_Toc269888748"/>
      <w:bookmarkStart w:id="6" w:name="_Toc278291133"/>
      <w:r w:rsidRPr="00C04129">
        <w:lastRenderedPageBreak/>
        <w:t>Objectives</w:t>
      </w:r>
      <w:bookmarkEnd w:id="3"/>
    </w:p>
    <w:p w14:paraId="2BE90780" w14:textId="77777777" w:rsidR="00CF3F8F" w:rsidRDefault="00CF3F8F" w:rsidP="00CF3F8F">
      <w:pPr>
        <w:pStyle w:val="VBAFirstLevelBullet"/>
      </w:pPr>
      <w:r w:rsidRPr="00447A0C">
        <w:t>Demonstrate a comprehensive understanding of rating claims for disabilities resulting from exposure to specific environmental hazards in the Gulf War and disabilities based on the provisions of 38 CFR 3.317, to include:</w:t>
      </w:r>
    </w:p>
    <w:p w14:paraId="058671F9" w14:textId="77777777" w:rsidR="00CF3F8F" w:rsidRDefault="00CF3F8F" w:rsidP="00CF3F8F">
      <w:pPr>
        <w:pStyle w:val="VBAFirstLevelBullet"/>
        <w:numPr>
          <w:ilvl w:val="0"/>
          <w:numId w:val="0"/>
        </w:numPr>
        <w:ind w:left="720"/>
      </w:pPr>
    </w:p>
    <w:p w14:paraId="25D195D0" w14:textId="77777777" w:rsidR="00CF3F8F" w:rsidRPr="00447A0C" w:rsidRDefault="00CF3F8F" w:rsidP="00CF3F8F">
      <w:pPr>
        <w:pStyle w:val="VBAFirstLevelBullet"/>
        <w:numPr>
          <w:ilvl w:val="1"/>
          <w:numId w:val="7"/>
        </w:numPr>
      </w:pPr>
      <w:r w:rsidRPr="00447A0C">
        <w:t xml:space="preserve">undiagnosed illness, </w:t>
      </w:r>
    </w:p>
    <w:p w14:paraId="746D1E02" w14:textId="77777777" w:rsidR="00CF3F8F" w:rsidRPr="00447A0C" w:rsidRDefault="00CF3F8F" w:rsidP="00CF3F8F">
      <w:pPr>
        <w:pStyle w:val="VBAFirstLevelBullet"/>
        <w:numPr>
          <w:ilvl w:val="1"/>
          <w:numId w:val="7"/>
        </w:numPr>
      </w:pPr>
      <w:r w:rsidRPr="00447A0C">
        <w:t>medically unexplained chronic multi-symptom illness (MUCMI), and</w:t>
      </w:r>
    </w:p>
    <w:p w14:paraId="19251D94" w14:textId="77777777" w:rsidR="00CF3F8F" w:rsidRDefault="00CF3F8F" w:rsidP="00CF3F8F">
      <w:pPr>
        <w:pStyle w:val="VBAFirstLevelBullet"/>
        <w:numPr>
          <w:ilvl w:val="1"/>
          <w:numId w:val="7"/>
        </w:numPr>
      </w:pPr>
      <w:r w:rsidRPr="00447A0C">
        <w:t>presumptive infectious diseases</w:t>
      </w:r>
    </w:p>
    <w:p w14:paraId="51D2229B" w14:textId="77777777" w:rsidR="00CF3F8F" w:rsidRPr="00447A0C" w:rsidRDefault="00CF3F8F" w:rsidP="00CF3F8F">
      <w:pPr>
        <w:pStyle w:val="VBAFirstLevelBullet"/>
        <w:numPr>
          <w:ilvl w:val="0"/>
          <w:numId w:val="0"/>
        </w:numPr>
        <w:ind w:left="1440"/>
      </w:pPr>
    </w:p>
    <w:p w14:paraId="3FEC6AFE" w14:textId="77777777" w:rsidR="00CF3F8F" w:rsidRPr="00447A0C" w:rsidRDefault="00CF3F8F" w:rsidP="00CF3F8F">
      <w:pPr>
        <w:pStyle w:val="VBAFirstLevelBullet"/>
      </w:pPr>
      <w:r w:rsidRPr="00447A0C">
        <w:t>Identify the appropriate decisional action to take, diagnostic code(s), evaluation(s), and special issue indicators.</w:t>
      </w:r>
    </w:p>
    <w:p w14:paraId="04464817" w14:textId="2ABAA194" w:rsidR="007A5600" w:rsidRPr="00C04129" w:rsidRDefault="007A5600" w:rsidP="000E3279">
      <w:pPr>
        <w:pStyle w:val="VBATopicHeading1"/>
      </w:pPr>
      <w:bookmarkStart w:id="7" w:name="_Toc442947325"/>
      <w:r w:rsidRPr="00C04129">
        <w:t>References</w:t>
      </w:r>
      <w:bookmarkEnd w:id="7"/>
    </w:p>
    <w:bookmarkEnd w:id="4"/>
    <w:bookmarkEnd w:id="5"/>
    <w:bookmarkEnd w:id="6"/>
    <w:p w14:paraId="2860B9AE" w14:textId="77777777" w:rsidR="00CF3F8F" w:rsidRPr="00447A0C" w:rsidRDefault="00CF3F8F" w:rsidP="00CF3F8F">
      <w:pPr>
        <w:pStyle w:val="VBABodyText0"/>
        <w:spacing w:before="0"/>
        <w:rPr>
          <w:noProof/>
        </w:rPr>
      </w:pPr>
      <w:r w:rsidRPr="00447A0C">
        <w:rPr>
          <w:noProof/>
        </w:rPr>
        <w:t xml:space="preserve">All M21-1 references are found in the </w:t>
      </w:r>
      <w:hyperlink r:id="rId12" w:history="1">
        <w:r w:rsidRPr="00447A0C">
          <w:rPr>
            <w:rStyle w:val="Hyperlink"/>
            <w:noProof/>
          </w:rPr>
          <w:t>Live Manual Website</w:t>
        </w:r>
      </w:hyperlink>
      <w:r w:rsidRPr="00447A0C">
        <w:rPr>
          <w:noProof/>
        </w:rPr>
        <w:t>.</w:t>
      </w:r>
    </w:p>
    <w:p w14:paraId="21C01D1C" w14:textId="77777777" w:rsidR="00CF3F8F" w:rsidRPr="00447A0C" w:rsidRDefault="00CF3F8F" w:rsidP="00CF3F8F">
      <w:pPr>
        <w:pStyle w:val="VBABodyText0"/>
        <w:spacing w:before="0"/>
        <w:rPr>
          <w:noProof/>
        </w:rPr>
      </w:pPr>
    </w:p>
    <w:p w14:paraId="62297DEE" w14:textId="77777777" w:rsidR="00CF3F8F" w:rsidRPr="00447A0C" w:rsidRDefault="009C59B6" w:rsidP="00CF3F8F">
      <w:pPr>
        <w:pStyle w:val="VBAFirstLevelBullet"/>
        <w:numPr>
          <w:ilvl w:val="0"/>
          <w:numId w:val="18"/>
        </w:numPr>
      </w:pPr>
      <w:hyperlink r:id="rId13" w:history="1">
        <w:r w:rsidR="00CF3F8F" w:rsidRPr="00447A0C">
          <w:rPr>
            <w:rStyle w:val="Hyperlink"/>
            <w:lang w:val="fr-FR"/>
          </w:rPr>
          <w:t xml:space="preserve">38 CFR 3.317, </w:t>
        </w:r>
      </w:hyperlink>
      <w:hyperlink r:id="rId14" w:history="1">
        <w:r w:rsidR="00CF3F8F" w:rsidRPr="00447A0C">
          <w:rPr>
            <w:rStyle w:val="Hyperlink"/>
          </w:rPr>
          <w:t>Compensation for certain disabilities occurring in Persian Gulf veterans</w:t>
        </w:r>
      </w:hyperlink>
    </w:p>
    <w:p w14:paraId="6CD10D97" w14:textId="77777777" w:rsidR="00CF3F8F" w:rsidRPr="00447A0C" w:rsidRDefault="009C59B6" w:rsidP="00CF3F8F">
      <w:pPr>
        <w:pStyle w:val="VBAFirstLevelBullet"/>
        <w:numPr>
          <w:ilvl w:val="0"/>
          <w:numId w:val="18"/>
        </w:numPr>
      </w:pPr>
      <w:hyperlink r:id="rId15" w:history="1">
        <w:r w:rsidR="00CF3F8F" w:rsidRPr="00447A0C">
          <w:rPr>
            <w:rStyle w:val="Hyperlink"/>
            <w:lang w:val="fr-FR"/>
          </w:rPr>
          <w:t xml:space="preserve">M21-1, Part IV, </w:t>
        </w:r>
      </w:hyperlink>
      <w:hyperlink r:id="rId16" w:history="1">
        <w:r w:rsidR="00CF3F8F" w:rsidRPr="00447A0C">
          <w:rPr>
            <w:rStyle w:val="Hyperlink"/>
            <w:lang w:val="fr-FR"/>
          </w:rPr>
          <w:t>Subpart</w:t>
        </w:r>
      </w:hyperlink>
      <w:hyperlink r:id="rId17" w:history="1">
        <w:r w:rsidR="00CF3F8F" w:rsidRPr="00447A0C">
          <w:rPr>
            <w:rStyle w:val="Hyperlink"/>
            <w:lang w:val="fr-FR"/>
          </w:rPr>
          <w:t xml:space="preserve"> ii.1.E, </w:t>
        </w:r>
      </w:hyperlink>
      <w:hyperlink r:id="rId18" w:history="1">
        <w:r w:rsidR="00CF3F8F" w:rsidRPr="00447A0C">
          <w:rPr>
            <w:rStyle w:val="Hyperlink"/>
          </w:rPr>
          <w:t xml:space="preserve">Claims Based on Service in Southwest Asia </w:t>
        </w:r>
      </w:hyperlink>
    </w:p>
    <w:p w14:paraId="2B035CE8" w14:textId="77777777" w:rsidR="00CF3F8F" w:rsidRPr="00447A0C" w:rsidRDefault="009C59B6" w:rsidP="00CF3F8F">
      <w:pPr>
        <w:pStyle w:val="VBAFirstLevelBullet"/>
        <w:numPr>
          <w:ilvl w:val="0"/>
          <w:numId w:val="18"/>
        </w:numPr>
      </w:pPr>
      <w:hyperlink r:id="rId19" w:history="1">
        <w:r w:rsidR="00CF3F8F" w:rsidRPr="00447A0C">
          <w:rPr>
            <w:rStyle w:val="Hyperlink"/>
          </w:rPr>
          <w:t xml:space="preserve">Disabilities </w:t>
        </w:r>
      </w:hyperlink>
      <w:hyperlink r:id="rId20" w:history="1">
        <w:r w:rsidR="00CF3F8F" w:rsidRPr="00447A0C">
          <w:rPr>
            <w:rStyle w:val="Hyperlink"/>
          </w:rPr>
          <w:t xml:space="preserve">Associated with Service in Southwest Asia </w:t>
        </w:r>
      </w:hyperlink>
    </w:p>
    <w:p w14:paraId="3B0FFE48" w14:textId="77777777" w:rsidR="00CF3F8F" w:rsidRPr="00447A0C" w:rsidRDefault="009C59B6" w:rsidP="00CF3F8F">
      <w:pPr>
        <w:pStyle w:val="VBAFirstLevelBullet"/>
        <w:numPr>
          <w:ilvl w:val="0"/>
          <w:numId w:val="18"/>
        </w:numPr>
      </w:pPr>
      <w:hyperlink r:id="rId21" w:history="1">
        <w:r w:rsidR="00CF3F8F" w:rsidRPr="00447A0C">
          <w:rPr>
            <w:rStyle w:val="Hyperlink"/>
          </w:rPr>
          <w:t xml:space="preserve">M21-1, Part IV, Subpart ii.1.I .6, Developing Claims Based on Exposure to Environmental </w:t>
        </w:r>
      </w:hyperlink>
      <w:hyperlink r:id="rId22" w:history="1">
        <w:r w:rsidR="00CF3F8F" w:rsidRPr="00447A0C">
          <w:rPr>
            <w:rStyle w:val="Hyperlink"/>
          </w:rPr>
          <w:t>Hazards</w:t>
        </w:r>
      </w:hyperlink>
    </w:p>
    <w:p w14:paraId="2C7C1F69" w14:textId="77777777" w:rsidR="00CF3F8F" w:rsidRPr="00CF3F8F" w:rsidRDefault="009C59B6" w:rsidP="00CF3F8F">
      <w:pPr>
        <w:pStyle w:val="VBAFirstLevelBullet"/>
        <w:numPr>
          <w:ilvl w:val="0"/>
          <w:numId w:val="18"/>
        </w:numPr>
        <w:overflowPunct/>
        <w:autoSpaceDE/>
        <w:autoSpaceDN/>
        <w:adjustRightInd/>
        <w:rPr>
          <w:rStyle w:val="Hyperlink"/>
          <w:color w:val="auto"/>
          <w:u w:val="none"/>
        </w:rPr>
      </w:pPr>
      <w:hyperlink r:id="rId23" w:history="1">
        <w:r w:rsidR="00CF3F8F" w:rsidRPr="00447A0C">
          <w:rPr>
            <w:rStyle w:val="Hyperlink"/>
          </w:rPr>
          <w:t>M21-1</w:t>
        </w:r>
      </w:hyperlink>
      <w:hyperlink r:id="rId24" w:history="1">
        <w:r w:rsidR="00CF3F8F" w:rsidRPr="00447A0C">
          <w:rPr>
            <w:rStyle w:val="Hyperlink"/>
          </w:rPr>
          <w:t xml:space="preserve">, Part IV, Subpart ii.2.C.5, SC for Disabilities Resulting From Exposure to Other Specific Environmental </w:t>
        </w:r>
      </w:hyperlink>
      <w:hyperlink r:id="rId25" w:history="1">
        <w:r w:rsidR="00CF3F8F" w:rsidRPr="00447A0C">
          <w:rPr>
            <w:rStyle w:val="Hyperlink"/>
          </w:rPr>
          <w:t>Hazards</w:t>
        </w:r>
      </w:hyperlink>
    </w:p>
    <w:p w14:paraId="04464856" w14:textId="30CDBA1D" w:rsidR="00FE1E12" w:rsidRPr="00C04129" w:rsidRDefault="009C59B6" w:rsidP="00CF3F8F">
      <w:pPr>
        <w:pStyle w:val="VBAFirstLevelBullet"/>
        <w:numPr>
          <w:ilvl w:val="0"/>
          <w:numId w:val="18"/>
        </w:numPr>
        <w:overflowPunct/>
        <w:autoSpaceDE/>
        <w:autoSpaceDN/>
        <w:adjustRightInd/>
      </w:pPr>
      <w:hyperlink r:id="rId26" w:history="1">
        <w:r w:rsidR="00CF3F8F" w:rsidRPr="00CF3F8F">
          <w:rPr>
            <w:rStyle w:val="Hyperlink"/>
            <w:lang w:val="fr-FR"/>
          </w:rPr>
          <w:t xml:space="preserve">M21-1, Part IV, </w:t>
        </w:r>
      </w:hyperlink>
      <w:hyperlink r:id="rId27" w:history="1">
        <w:r w:rsidR="00CF3F8F" w:rsidRPr="00CF3F8F">
          <w:rPr>
            <w:rStyle w:val="Hyperlink"/>
            <w:lang w:val="fr-FR"/>
          </w:rPr>
          <w:t>Subpart</w:t>
        </w:r>
      </w:hyperlink>
      <w:hyperlink r:id="rId28" w:history="1">
        <w:r w:rsidR="00CF3F8F" w:rsidRPr="00CF3F8F">
          <w:rPr>
            <w:rStyle w:val="Hyperlink"/>
            <w:lang w:val="fr-FR"/>
          </w:rPr>
          <w:t xml:space="preserve"> ii.2.D, </w:t>
        </w:r>
      </w:hyperlink>
      <w:hyperlink r:id="rId29" w:history="1">
        <w:r w:rsidR="00CF3F8F" w:rsidRPr="00447A0C">
          <w:rPr>
            <w:rStyle w:val="Hyperlink"/>
          </w:rPr>
          <w:t>Service Connection (SC) for Qualifying</w:t>
        </w:r>
      </w:hyperlink>
    </w:p>
    <w:p w14:paraId="7F5EF399" w14:textId="77777777" w:rsidR="00FE1E12" w:rsidRPr="00C04129" w:rsidRDefault="00FE1E12" w:rsidP="00FE1E12">
      <w:pPr>
        <w:pStyle w:val="VBATopicHeading1"/>
      </w:pPr>
      <w:bookmarkStart w:id="8" w:name="_Toc427661437"/>
      <w:bookmarkStart w:id="9" w:name="_Toc442947326"/>
      <w:r w:rsidRPr="00C04129">
        <w:t>Practical Exercise</w:t>
      </w:r>
      <w:bookmarkEnd w:id="8"/>
      <w:bookmarkEnd w:id="9"/>
    </w:p>
    <w:p w14:paraId="309042AC" w14:textId="757657E9" w:rsidR="00FE1E12" w:rsidRPr="00C04129" w:rsidRDefault="00FE1E12" w:rsidP="00FE1E12">
      <w:pPr>
        <w:rPr>
          <w:noProof/>
        </w:rPr>
      </w:pPr>
      <w:r w:rsidRPr="00C04129">
        <w:rPr>
          <w:i/>
          <w:noProof/>
        </w:rPr>
        <w:t>A review is a tool used to judge the level of knowledge the group has acquired as a result of the training.  It is not used for an individual evaluation.</w:t>
      </w:r>
      <w:r w:rsidR="00A853DD" w:rsidRPr="00C04129">
        <w:rPr>
          <w:i/>
          <w:noProof/>
        </w:rPr>
        <w:t xml:space="preserve">  </w:t>
      </w:r>
    </w:p>
    <w:p w14:paraId="3EC2F431" w14:textId="77777777" w:rsidR="0073052C" w:rsidRPr="00C04129" w:rsidRDefault="0073052C" w:rsidP="00FE1E12">
      <w:pPr>
        <w:rPr>
          <w:noProof/>
        </w:rPr>
      </w:pPr>
    </w:p>
    <w:p w14:paraId="10DCD67D" w14:textId="5235365D" w:rsidR="00FE1E12" w:rsidRPr="00C04129" w:rsidRDefault="00FE1E12" w:rsidP="00FE1E12">
      <w:pPr>
        <w:rPr>
          <w:noProof/>
        </w:rPr>
      </w:pPr>
      <w:r w:rsidRPr="00C04129">
        <w:rPr>
          <w:noProof/>
        </w:rPr>
        <w:t>Please read the following scenario</w:t>
      </w:r>
      <w:r w:rsidR="001F3C23" w:rsidRPr="00C04129">
        <w:rPr>
          <w:noProof/>
        </w:rPr>
        <w:t>s</w:t>
      </w:r>
      <w:r w:rsidRPr="00C04129">
        <w:rPr>
          <w:noProof/>
        </w:rPr>
        <w:t xml:space="preserve"> and answer the questions that follow:</w:t>
      </w:r>
    </w:p>
    <w:p w14:paraId="031D2459" w14:textId="77777777" w:rsidR="00FE1E12" w:rsidRPr="00C04129" w:rsidRDefault="00FE1E12" w:rsidP="00FE1E12">
      <w:pPr>
        <w:rPr>
          <w:noProof/>
        </w:rPr>
      </w:pPr>
    </w:p>
    <w:p w14:paraId="081B463D" w14:textId="77777777" w:rsidR="00C938E5" w:rsidRPr="0000106C" w:rsidRDefault="00C938E5" w:rsidP="00C938E5">
      <w:pPr>
        <w:pStyle w:val="VBABodyText0"/>
        <w:spacing w:after="120"/>
      </w:pPr>
      <w:r w:rsidRPr="0000106C">
        <w:t xml:space="preserve">Veteran submits VA Form 21-526EZ for shortness of breath.  He provides a statement that these symptoms began when he was in Djibouti.  (Service in Djibouti is shown on his DD214.)  </w:t>
      </w:r>
      <w:r>
        <w:t>VA Respiratory</w:t>
      </w:r>
      <w:r w:rsidRPr="0000106C">
        <w:t xml:space="preserve"> </w:t>
      </w:r>
      <w:r>
        <w:t>Conditions DBQ</w:t>
      </w:r>
      <w:r w:rsidRPr="0000106C">
        <w:t xml:space="preserve"> provides a diagnosis of asthma</w:t>
      </w:r>
      <w:r>
        <w:t xml:space="preserve"> (treatment with an inhaler)</w:t>
      </w:r>
      <w:r w:rsidRPr="0000106C">
        <w:t xml:space="preserve"> and a medical opinion relating this condition to the Veteran’s exposure to particulate matter and burn pits.  A rationale is provided citing review of the provided fact sheets and the known long term health effects such exposure can cause on the respiratory system. </w:t>
      </w:r>
    </w:p>
    <w:p w14:paraId="6E0EA068" w14:textId="77777777" w:rsidR="00FE1E12" w:rsidRPr="00C04129" w:rsidRDefault="00FE1E12" w:rsidP="002365E0"/>
    <w:p w14:paraId="0EC87B36" w14:textId="4E131778" w:rsidR="000E69F2" w:rsidRDefault="008A4F8B" w:rsidP="000E69F2">
      <w:pPr>
        <w:pStyle w:val="ListParagraph"/>
        <w:numPr>
          <w:ilvl w:val="0"/>
          <w:numId w:val="39"/>
        </w:numPr>
      </w:pPr>
      <w:r>
        <w:t>Would you Grant, Deny, Defer?</w:t>
      </w:r>
    </w:p>
    <w:p w14:paraId="3A673AE0" w14:textId="77777777" w:rsidR="000E69F2" w:rsidRDefault="000E69F2" w:rsidP="000E69F2">
      <w:pPr>
        <w:pStyle w:val="ListParagraph"/>
      </w:pPr>
    </w:p>
    <w:p w14:paraId="4D783E25" w14:textId="071B3905" w:rsidR="000E69F2" w:rsidRDefault="000E69F2" w:rsidP="000E69F2">
      <w:pPr>
        <w:pStyle w:val="ListParagraph"/>
        <w:numPr>
          <w:ilvl w:val="0"/>
          <w:numId w:val="39"/>
        </w:numPr>
      </w:pPr>
      <w:r>
        <w:t>What is the reason for your decision?</w:t>
      </w:r>
    </w:p>
    <w:p w14:paraId="18F4EC55" w14:textId="77777777" w:rsidR="000E69F2" w:rsidRDefault="000E69F2" w:rsidP="000E69F2">
      <w:pPr>
        <w:pStyle w:val="ListParagraph"/>
      </w:pPr>
    </w:p>
    <w:p w14:paraId="52F124AC" w14:textId="0818AA83" w:rsidR="008A4F8B" w:rsidRPr="00C04129" w:rsidRDefault="008A4F8B" w:rsidP="002365E0">
      <w:pPr>
        <w:pStyle w:val="ListParagraph"/>
        <w:numPr>
          <w:ilvl w:val="0"/>
          <w:numId w:val="39"/>
        </w:numPr>
      </w:pPr>
      <w:r>
        <w:t>What is the appropriate diagnostic code?</w:t>
      </w:r>
    </w:p>
    <w:p w14:paraId="66569B35" w14:textId="77777777" w:rsidR="002365E0" w:rsidRPr="00C04129" w:rsidRDefault="002365E0" w:rsidP="002365E0"/>
    <w:p w14:paraId="3567A956" w14:textId="77777777" w:rsidR="00C938E5" w:rsidRPr="0000106C" w:rsidRDefault="00C938E5" w:rsidP="00C938E5">
      <w:pPr>
        <w:pStyle w:val="VBABodyText0"/>
        <w:spacing w:after="120"/>
      </w:pPr>
      <w:r w:rsidRPr="0000106C">
        <w:t xml:space="preserve">Veteran submits VA Form 21-526EZ for tingling in his hands and feet.  He provides a statement that these symptoms began when he was in Afghanistan.  (Service in Afghanistan is shown on his DD214 in 2012.)  </w:t>
      </w:r>
      <w:r w:rsidRPr="00DD0AC7">
        <w:t>Peripheral Nerves Conditions</w:t>
      </w:r>
      <w:r>
        <w:t xml:space="preserve"> DBQ</w:t>
      </w:r>
      <w:r w:rsidRPr="0000106C">
        <w:t xml:space="preserve"> provides a finding of </w:t>
      </w:r>
      <w:r>
        <w:t xml:space="preserve">mild </w:t>
      </w:r>
      <w:r w:rsidRPr="0000106C">
        <w:t>neuritis in both hands</w:t>
      </w:r>
      <w:r>
        <w:t xml:space="preserve"> (lower radicular group)</w:t>
      </w:r>
      <w:r w:rsidRPr="0000106C">
        <w:t xml:space="preserve"> and feet</w:t>
      </w:r>
      <w:r>
        <w:t xml:space="preserve"> (posterior tibial nerve)</w:t>
      </w:r>
      <w:r w:rsidRPr="0000106C">
        <w:t xml:space="preserve"> and a medical opinion relating this condition to the Veteran’s exposure to burn pits.  A rationale is provided citing review of the provided fact sheets and the known long term health effects such exposure can cause on the peripheral nervous system. </w:t>
      </w:r>
    </w:p>
    <w:p w14:paraId="693920A4" w14:textId="77777777" w:rsidR="002365E0" w:rsidRPr="00C04129" w:rsidRDefault="002365E0" w:rsidP="002365E0"/>
    <w:p w14:paraId="1FB6EDD3" w14:textId="77777777" w:rsidR="000E69F2" w:rsidRDefault="000E69F2" w:rsidP="000E69F2">
      <w:pPr>
        <w:pStyle w:val="ListParagraph"/>
        <w:numPr>
          <w:ilvl w:val="0"/>
          <w:numId w:val="48"/>
        </w:numPr>
      </w:pPr>
      <w:r>
        <w:t>Would you Grant, Deny, Defer?</w:t>
      </w:r>
    </w:p>
    <w:p w14:paraId="47CE6F40" w14:textId="77777777" w:rsidR="000E69F2" w:rsidRDefault="000E69F2" w:rsidP="000E69F2">
      <w:pPr>
        <w:pStyle w:val="ListParagraph"/>
      </w:pPr>
    </w:p>
    <w:p w14:paraId="558EBB8C" w14:textId="77777777" w:rsidR="000E69F2" w:rsidRDefault="000E69F2" w:rsidP="000E69F2">
      <w:pPr>
        <w:pStyle w:val="ListParagraph"/>
        <w:numPr>
          <w:ilvl w:val="0"/>
          <w:numId w:val="48"/>
        </w:numPr>
      </w:pPr>
      <w:r>
        <w:t>What is the reason for your decision?</w:t>
      </w:r>
    </w:p>
    <w:p w14:paraId="5FBDC6C5" w14:textId="77777777" w:rsidR="000E69F2" w:rsidRDefault="000E69F2" w:rsidP="000E69F2">
      <w:pPr>
        <w:pStyle w:val="ListParagraph"/>
      </w:pPr>
    </w:p>
    <w:p w14:paraId="0E7F5666" w14:textId="3AAE5B0F" w:rsidR="000E69F2" w:rsidRDefault="000E69F2" w:rsidP="000E69F2">
      <w:pPr>
        <w:pStyle w:val="ListParagraph"/>
        <w:numPr>
          <w:ilvl w:val="0"/>
          <w:numId w:val="48"/>
        </w:numPr>
      </w:pPr>
      <w:r>
        <w:t>What are the appropriate diagnostic codes?</w:t>
      </w:r>
    </w:p>
    <w:p w14:paraId="54917DE0" w14:textId="77777777" w:rsidR="001D30BC" w:rsidRDefault="001D30BC" w:rsidP="001D30BC">
      <w:pPr>
        <w:pStyle w:val="ListParagraph"/>
      </w:pPr>
    </w:p>
    <w:p w14:paraId="134837CD" w14:textId="77777777" w:rsidR="001D30BC" w:rsidRPr="00C04129" w:rsidRDefault="001D30BC" w:rsidP="001D30BC">
      <w:pPr>
        <w:pStyle w:val="ListParagraph"/>
      </w:pPr>
    </w:p>
    <w:p w14:paraId="67FFCEB9" w14:textId="152A6C6C" w:rsidR="002365E0" w:rsidRDefault="001D30BC" w:rsidP="00CF3F8F">
      <w:pPr>
        <w:overflowPunct/>
        <w:autoSpaceDE/>
        <w:autoSpaceDN/>
        <w:adjustRightInd/>
        <w:spacing w:before="0"/>
      </w:pPr>
      <w:r w:rsidRPr="000B0C8A">
        <w:t>Veteran submits VA Form 21-526EZ for</w:t>
      </w:r>
      <w:r>
        <w:t xml:space="preserve"> nausea, vomiting, and diarrhea.  He provides a statement that these symptoms have persisted over the last year, since his return from his tour in Iraq.  (Service in Iraq is shown on his DD214.)  Gulf War General Medical Examination concludes that there is no clinical diagnosis or known cause of these symptoms</w:t>
      </w:r>
      <w:r w:rsidRPr="000B0C8A">
        <w:t xml:space="preserve">. </w:t>
      </w:r>
      <w:r>
        <w:t>The Veteran suffers from recurrent pyrosis, dysphagia, vomiting, and ongoing mild diarrhea.</w:t>
      </w:r>
    </w:p>
    <w:p w14:paraId="71DE740D" w14:textId="77777777" w:rsidR="001D30BC" w:rsidRDefault="001D30BC" w:rsidP="00CF3F8F">
      <w:pPr>
        <w:overflowPunct/>
        <w:autoSpaceDE/>
        <w:autoSpaceDN/>
        <w:adjustRightInd/>
        <w:spacing w:before="0"/>
      </w:pPr>
    </w:p>
    <w:p w14:paraId="59F9B551" w14:textId="77777777" w:rsidR="001D30BC" w:rsidRDefault="001D30BC" w:rsidP="001D30BC">
      <w:pPr>
        <w:pStyle w:val="ListParagraph"/>
        <w:numPr>
          <w:ilvl w:val="0"/>
          <w:numId w:val="49"/>
        </w:numPr>
      </w:pPr>
      <w:r>
        <w:t>Would you Grant, Deny, Defer?</w:t>
      </w:r>
    </w:p>
    <w:p w14:paraId="5BADC981" w14:textId="77777777" w:rsidR="001D30BC" w:rsidRDefault="001D30BC" w:rsidP="001D30BC">
      <w:pPr>
        <w:pStyle w:val="ListParagraph"/>
      </w:pPr>
    </w:p>
    <w:p w14:paraId="351834FA" w14:textId="77777777" w:rsidR="001D30BC" w:rsidRDefault="001D30BC" w:rsidP="001D30BC">
      <w:pPr>
        <w:pStyle w:val="ListParagraph"/>
        <w:numPr>
          <w:ilvl w:val="0"/>
          <w:numId w:val="49"/>
        </w:numPr>
      </w:pPr>
      <w:r>
        <w:t>What is the reason for your decision?</w:t>
      </w:r>
    </w:p>
    <w:p w14:paraId="7CB52FDC" w14:textId="77777777" w:rsidR="001D30BC" w:rsidRDefault="001D30BC" w:rsidP="001D30BC">
      <w:pPr>
        <w:pStyle w:val="ListParagraph"/>
      </w:pPr>
    </w:p>
    <w:p w14:paraId="4DFA1158" w14:textId="77777777" w:rsidR="001D30BC" w:rsidRDefault="001D30BC" w:rsidP="001D30BC">
      <w:pPr>
        <w:pStyle w:val="ListParagraph"/>
        <w:numPr>
          <w:ilvl w:val="0"/>
          <w:numId w:val="49"/>
        </w:numPr>
      </w:pPr>
      <w:r>
        <w:t>What are the appropriate diagnostic codes?</w:t>
      </w:r>
    </w:p>
    <w:p w14:paraId="419CD14F" w14:textId="77777777" w:rsidR="000B1D2B" w:rsidRDefault="000B1D2B" w:rsidP="000B1D2B">
      <w:pPr>
        <w:pStyle w:val="ListParagraph"/>
      </w:pPr>
    </w:p>
    <w:p w14:paraId="3260AB6A" w14:textId="77777777" w:rsidR="000B1D2B" w:rsidRDefault="000B1D2B" w:rsidP="000B1D2B">
      <w:pPr>
        <w:pStyle w:val="ListParagraph"/>
      </w:pPr>
    </w:p>
    <w:p w14:paraId="0D039749" w14:textId="77777777" w:rsidR="000B1D2B" w:rsidRDefault="000B1D2B" w:rsidP="000B1D2B">
      <w:pPr>
        <w:pStyle w:val="ListParagraph"/>
      </w:pPr>
    </w:p>
    <w:p w14:paraId="52A5A217" w14:textId="77777777" w:rsidR="000B1D2B" w:rsidRPr="00BA3C0D" w:rsidRDefault="000B1D2B" w:rsidP="000B1D2B">
      <w:pPr>
        <w:pStyle w:val="ListParagraph"/>
        <w:spacing w:line="276" w:lineRule="auto"/>
        <w:ind w:left="0"/>
      </w:pPr>
      <w:r w:rsidRPr="00BA3C0D">
        <w:t xml:space="preserve">Veteran submits a substantially complete 21-526EZ (FDC) claiming service connection for leishmaniasis.  Service treatment records and personnel records are all of record and show no complaints or treatment in service, and one period of foreign service in Afghanistan in 2008.  Private medical evidence shows treatment several years after release from active duty for </w:t>
      </w:r>
      <w:r w:rsidRPr="00BA3C0D">
        <w:rPr>
          <w:bCs/>
        </w:rPr>
        <w:t>Visceral</w:t>
      </w:r>
      <w:r w:rsidRPr="00BA3C0D">
        <w:rPr>
          <w:b/>
          <w:bCs/>
        </w:rPr>
        <w:t xml:space="preserve"> </w:t>
      </w:r>
      <w:r w:rsidRPr="00BA3C0D">
        <w:t>leishmaniasis, continuing until just a month prior to receipt of the Veteran’s claim.</w:t>
      </w:r>
    </w:p>
    <w:p w14:paraId="52E03FB4" w14:textId="77777777" w:rsidR="000B1D2B" w:rsidRDefault="000B1D2B" w:rsidP="000B1D2B">
      <w:pPr>
        <w:overflowPunct/>
        <w:autoSpaceDE/>
        <w:autoSpaceDN/>
        <w:adjustRightInd/>
        <w:spacing w:before="0"/>
      </w:pPr>
    </w:p>
    <w:p w14:paraId="7FF8B447" w14:textId="77777777" w:rsidR="000B1D2B" w:rsidRDefault="000B1D2B" w:rsidP="000B1D2B">
      <w:pPr>
        <w:pStyle w:val="ListParagraph"/>
        <w:numPr>
          <w:ilvl w:val="0"/>
          <w:numId w:val="50"/>
        </w:numPr>
      </w:pPr>
      <w:r>
        <w:t>Would you Grant, Deny, Defer?</w:t>
      </w:r>
    </w:p>
    <w:p w14:paraId="032915F0" w14:textId="77777777" w:rsidR="000B1D2B" w:rsidRDefault="000B1D2B" w:rsidP="000B1D2B">
      <w:pPr>
        <w:pStyle w:val="ListParagraph"/>
      </w:pPr>
    </w:p>
    <w:p w14:paraId="5A3B3B54" w14:textId="77777777" w:rsidR="000B1D2B" w:rsidRDefault="000B1D2B" w:rsidP="000B1D2B">
      <w:pPr>
        <w:pStyle w:val="ListParagraph"/>
        <w:numPr>
          <w:ilvl w:val="0"/>
          <w:numId w:val="50"/>
        </w:numPr>
      </w:pPr>
      <w:r>
        <w:t>What is the reason for your decision?</w:t>
      </w:r>
    </w:p>
    <w:p w14:paraId="2D5FE6A0" w14:textId="77777777" w:rsidR="000B1D2B" w:rsidRDefault="000B1D2B" w:rsidP="000B1D2B">
      <w:pPr>
        <w:pStyle w:val="ListParagraph"/>
      </w:pPr>
    </w:p>
    <w:p w14:paraId="39CF1F8A" w14:textId="1B3DF159" w:rsidR="001D30BC" w:rsidRPr="00C04129" w:rsidRDefault="000B1D2B" w:rsidP="000B1D2B">
      <w:pPr>
        <w:pStyle w:val="ListParagraph"/>
        <w:numPr>
          <w:ilvl w:val="0"/>
          <w:numId w:val="50"/>
        </w:numPr>
      </w:pPr>
      <w:r>
        <w:t>What are the appropriate diagnostic codes?</w:t>
      </w:r>
    </w:p>
    <w:sectPr w:rsidR="001D30BC" w:rsidRPr="00C04129">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5F636" w14:textId="77777777" w:rsidR="009C59B6" w:rsidRDefault="009C59B6">
      <w:pPr>
        <w:spacing w:before="0"/>
      </w:pPr>
      <w:r>
        <w:separator/>
      </w:r>
    </w:p>
  </w:endnote>
  <w:endnote w:type="continuationSeparator" w:id="0">
    <w:p w14:paraId="0296BF6A" w14:textId="77777777" w:rsidR="009C59B6" w:rsidRDefault="009C59B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180C8" w14:textId="77777777" w:rsidR="00E01C40" w:rsidRDefault="00E01C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6485B" w14:textId="0849ADBD" w:rsidR="00AA1A39" w:rsidRDefault="00E01C40">
    <w:pPr>
      <w:pStyle w:val="VBAFooter"/>
    </w:pPr>
    <w:r>
      <w:t>March</w:t>
    </w:r>
    <w:r w:rsidR="00AF0351">
      <w:t xml:space="preserve"> 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4A287F">
      <w:rPr>
        <w:noProof/>
      </w:rPr>
      <w:t>1</w:t>
    </w:r>
    <w:r w:rsidR="00AA1A39">
      <w:fldChar w:fldCharType="end"/>
    </w:r>
  </w:p>
  <w:p w14:paraId="0446485C" w14:textId="77777777" w:rsidR="00AA1A39" w:rsidRDefault="00AA1A39">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D0171" w14:textId="77777777" w:rsidR="00E01C40" w:rsidRDefault="00E01C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0CC0D" w14:textId="77777777" w:rsidR="009C59B6" w:rsidRDefault="009C59B6">
      <w:pPr>
        <w:spacing w:before="0"/>
      </w:pPr>
      <w:r>
        <w:separator/>
      </w:r>
    </w:p>
  </w:footnote>
  <w:footnote w:type="continuationSeparator" w:id="0">
    <w:p w14:paraId="0403CE1E" w14:textId="77777777" w:rsidR="009C59B6" w:rsidRDefault="009C59B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77063" w14:textId="77777777" w:rsidR="00E01C40" w:rsidRDefault="00E01C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EB705" w14:textId="77777777" w:rsidR="00E01C40" w:rsidRDefault="00E01C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2818E" w14:textId="77777777" w:rsidR="00E01C40" w:rsidRDefault="00E01C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83516"/>
    <w:multiLevelType w:val="hybridMultilevel"/>
    <w:tmpl w:val="8654A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4">
    <w:nsid w:val="0D0C34E6"/>
    <w:multiLevelType w:val="hybridMultilevel"/>
    <w:tmpl w:val="530C446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785711"/>
    <w:multiLevelType w:val="hybridMultilevel"/>
    <w:tmpl w:val="49FEE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AB4923"/>
    <w:multiLevelType w:val="hybridMultilevel"/>
    <w:tmpl w:val="0A96723A"/>
    <w:lvl w:ilvl="0" w:tplc="8FE483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541963"/>
    <w:multiLevelType w:val="hybridMultilevel"/>
    <w:tmpl w:val="0A96723A"/>
    <w:lvl w:ilvl="0" w:tplc="8FE483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B45AF6"/>
    <w:multiLevelType w:val="hybridMultilevel"/>
    <w:tmpl w:val="793A28BE"/>
    <w:lvl w:ilvl="0" w:tplc="F20A14BA">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65B38AA"/>
    <w:multiLevelType w:val="hybridMultilevel"/>
    <w:tmpl w:val="29A0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40103E"/>
    <w:multiLevelType w:val="hybridMultilevel"/>
    <w:tmpl w:val="4C9086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663B43"/>
    <w:multiLevelType w:val="hybridMultilevel"/>
    <w:tmpl w:val="D39A3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8B2094"/>
    <w:multiLevelType w:val="hybridMultilevel"/>
    <w:tmpl w:val="E7C8A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D70D19"/>
    <w:multiLevelType w:val="hybridMultilevel"/>
    <w:tmpl w:val="4424AD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6D048E"/>
    <w:multiLevelType w:val="hybridMultilevel"/>
    <w:tmpl w:val="E048C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23">
    <w:nsid w:val="3F8E78C9"/>
    <w:multiLevelType w:val="hybridMultilevel"/>
    <w:tmpl w:val="401CD9D2"/>
    <w:lvl w:ilvl="0" w:tplc="F9082E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D8C1958">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FF846B4"/>
    <w:multiLevelType w:val="hybridMultilevel"/>
    <w:tmpl w:val="B7222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D407AA"/>
    <w:multiLevelType w:val="hybridMultilevel"/>
    <w:tmpl w:val="6CC2BF80"/>
    <w:lvl w:ilvl="0" w:tplc="5DBA01E8">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212D87"/>
    <w:multiLevelType w:val="hybridMultilevel"/>
    <w:tmpl w:val="49FEE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A543E5"/>
    <w:multiLevelType w:val="hybridMultilevel"/>
    <w:tmpl w:val="C6426190"/>
    <w:lvl w:ilvl="0" w:tplc="59CA2BC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C9E0432"/>
    <w:multiLevelType w:val="hybridMultilevel"/>
    <w:tmpl w:val="49FEE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071878"/>
    <w:multiLevelType w:val="hybridMultilevel"/>
    <w:tmpl w:val="CD4EE91C"/>
    <w:lvl w:ilvl="0" w:tplc="70E47164">
      <w:start w:val="1"/>
      <w:numFmt w:val="bullet"/>
      <w:lvlText w:val="•"/>
      <w:lvlJc w:val="left"/>
      <w:pPr>
        <w:tabs>
          <w:tab w:val="num" w:pos="720"/>
        </w:tabs>
        <w:ind w:left="720" w:hanging="360"/>
      </w:pPr>
      <w:rPr>
        <w:rFonts w:ascii="Arial" w:hAnsi="Arial" w:hint="default"/>
      </w:rPr>
    </w:lvl>
    <w:lvl w:ilvl="1" w:tplc="7B06374C" w:tentative="1">
      <w:start w:val="1"/>
      <w:numFmt w:val="bullet"/>
      <w:lvlText w:val="•"/>
      <w:lvlJc w:val="left"/>
      <w:pPr>
        <w:tabs>
          <w:tab w:val="num" w:pos="1440"/>
        </w:tabs>
        <w:ind w:left="1440" w:hanging="360"/>
      </w:pPr>
      <w:rPr>
        <w:rFonts w:ascii="Arial" w:hAnsi="Arial" w:hint="default"/>
      </w:rPr>
    </w:lvl>
    <w:lvl w:ilvl="2" w:tplc="DAF4529C" w:tentative="1">
      <w:start w:val="1"/>
      <w:numFmt w:val="bullet"/>
      <w:lvlText w:val="•"/>
      <w:lvlJc w:val="left"/>
      <w:pPr>
        <w:tabs>
          <w:tab w:val="num" w:pos="2160"/>
        </w:tabs>
        <w:ind w:left="2160" w:hanging="360"/>
      </w:pPr>
      <w:rPr>
        <w:rFonts w:ascii="Arial" w:hAnsi="Arial" w:hint="default"/>
      </w:rPr>
    </w:lvl>
    <w:lvl w:ilvl="3" w:tplc="8A600BC4" w:tentative="1">
      <w:start w:val="1"/>
      <w:numFmt w:val="bullet"/>
      <w:lvlText w:val="•"/>
      <w:lvlJc w:val="left"/>
      <w:pPr>
        <w:tabs>
          <w:tab w:val="num" w:pos="2880"/>
        </w:tabs>
        <w:ind w:left="2880" w:hanging="360"/>
      </w:pPr>
      <w:rPr>
        <w:rFonts w:ascii="Arial" w:hAnsi="Arial" w:hint="default"/>
      </w:rPr>
    </w:lvl>
    <w:lvl w:ilvl="4" w:tplc="D712611A" w:tentative="1">
      <w:start w:val="1"/>
      <w:numFmt w:val="bullet"/>
      <w:lvlText w:val="•"/>
      <w:lvlJc w:val="left"/>
      <w:pPr>
        <w:tabs>
          <w:tab w:val="num" w:pos="3600"/>
        </w:tabs>
        <w:ind w:left="3600" w:hanging="360"/>
      </w:pPr>
      <w:rPr>
        <w:rFonts w:ascii="Arial" w:hAnsi="Arial" w:hint="default"/>
      </w:rPr>
    </w:lvl>
    <w:lvl w:ilvl="5" w:tplc="9DEC0408" w:tentative="1">
      <w:start w:val="1"/>
      <w:numFmt w:val="bullet"/>
      <w:lvlText w:val="•"/>
      <w:lvlJc w:val="left"/>
      <w:pPr>
        <w:tabs>
          <w:tab w:val="num" w:pos="4320"/>
        </w:tabs>
        <w:ind w:left="4320" w:hanging="360"/>
      </w:pPr>
      <w:rPr>
        <w:rFonts w:ascii="Arial" w:hAnsi="Arial" w:hint="default"/>
      </w:rPr>
    </w:lvl>
    <w:lvl w:ilvl="6" w:tplc="261EA34C" w:tentative="1">
      <w:start w:val="1"/>
      <w:numFmt w:val="bullet"/>
      <w:lvlText w:val="•"/>
      <w:lvlJc w:val="left"/>
      <w:pPr>
        <w:tabs>
          <w:tab w:val="num" w:pos="5040"/>
        </w:tabs>
        <w:ind w:left="5040" w:hanging="360"/>
      </w:pPr>
      <w:rPr>
        <w:rFonts w:ascii="Arial" w:hAnsi="Arial" w:hint="default"/>
      </w:rPr>
    </w:lvl>
    <w:lvl w:ilvl="7" w:tplc="324C1976" w:tentative="1">
      <w:start w:val="1"/>
      <w:numFmt w:val="bullet"/>
      <w:lvlText w:val="•"/>
      <w:lvlJc w:val="left"/>
      <w:pPr>
        <w:tabs>
          <w:tab w:val="num" w:pos="5760"/>
        </w:tabs>
        <w:ind w:left="5760" w:hanging="360"/>
      </w:pPr>
      <w:rPr>
        <w:rFonts w:ascii="Arial" w:hAnsi="Arial" w:hint="default"/>
      </w:rPr>
    </w:lvl>
    <w:lvl w:ilvl="8" w:tplc="3F1EADB0" w:tentative="1">
      <w:start w:val="1"/>
      <w:numFmt w:val="bullet"/>
      <w:lvlText w:val="•"/>
      <w:lvlJc w:val="left"/>
      <w:pPr>
        <w:tabs>
          <w:tab w:val="num" w:pos="6480"/>
        </w:tabs>
        <w:ind w:left="6480" w:hanging="360"/>
      </w:pPr>
      <w:rPr>
        <w:rFonts w:ascii="Arial" w:hAnsi="Arial" w:hint="default"/>
      </w:rPr>
    </w:lvl>
  </w:abstractNum>
  <w:abstractNum w:abstractNumId="30">
    <w:nsid w:val="57CA24D3"/>
    <w:multiLevelType w:val="hybridMultilevel"/>
    <w:tmpl w:val="BEC078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D52DB5"/>
    <w:multiLevelType w:val="hybridMultilevel"/>
    <w:tmpl w:val="AC828EA0"/>
    <w:lvl w:ilvl="0" w:tplc="CA025746">
      <w:start w:val="1"/>
      <w:numFmt w:val="upp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7F3F8E"/>
    <w:multiLevelType w:val="hybridMultilevel"/>
    <w:tmpl w:val="A0681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016170"/>
    <w:multiLevelType w:val="hybridMultilevel"/>
    <w:tmpl w:val="DF5EAFCC"/>
    <w:lvl w:ilvl="0" w:tplc="C43240EA">
      <w:start w:val="1"/>
      <w:numFmt w:val="upp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51637B5"/>
    <w:multiLevelType w:val="hybridMultilevel"/>
    <w:tmpl w:val="B1348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7F2CE6"/>
    <w:multiLevelType w:val="hybridMultilevel"/>
    <w:tmpl w:val="FEAE12F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AD4F2F"/>
    <w:multiLevelType w:val="hybridMultilevel"/>
    <w:tmpl w:val="607E4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E21121"/>
    <w:multiLevelType w:val="hybridMultilevel"/>
    <w:tmpl w:val="443C1DB0"/>
    <w:lvl w:ilvl="0" w:tplc="B9CC5A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FB71C00"/>
    <w:multiLevelType w:val="hybridMultilevel"/>
    <w:tmpl w:val="A2E831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3A607F"/>
    <w:multiLevelType w:val="hybridMultilevel"/>
    <w:tmpl w:val="08169AC6"/>
    <w:lvl w:ilvl="0" w:tplc="25FEE522">
      <w:start w:val="1"/>
      <w:numFmt w:val="lowerLetter"/>
      <w:lvlText w:val="%1."/>
      <w:lvlJc w:val="left"/>
      <w:pPr>
        <w:ind w:left="1800" w:hanging="360"/>
      </w:pPr>
      <w:rPr>
        <w:rFonts w:hint="default"/>
        <w:b/>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2C8230E"/>
    <w:multiLevelType w:val="hybridMultilevel"/>
    <w:tmpl w:val="F0C2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A1057F"/>
    <w:multiLevelType w:val="hybridMultilevel"/>
    <w:tmpl w:val="3322F6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0579E7"/>
    <w:multiLevelType w:val="hybridMultilevel"/>
    <w:tmpl w:val="49FEE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F80052"/>
    <w:multiLevelType w:val="hybridMultilevel"/>
    <w:tmpl w:val="849CCF3A"/>
    <w:lvl w:ilvl="0" w:tplc="85A811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DE92A6C"/>
    <w:multiLevelType w:val="hybridMultilevel"/>
    <w:tmpl w:val="49FEE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6"/>
  </w:num>
  <w:num w:numId="3">
    <w:abstractNumId w:val="22"/>
  </w:num>
  <w:num w:numId="4">
    <w:abstractNumId w:val="20"/>
  </w:num>
  <w:num w:numId="5">
    <w:abstractNumId w:val="36"/>
  </w:num>
  <w:num w:numId="6">
    <w:abstractNumId w:val="3"/>
  </w:num>
  <w:num w:numId="7">
    <w:abstractNumId w:val="9"/>
  </w:num>
  <w:num w:numId="8">
    <w:abstractNumId w:val="39"/>
  </w:num>
  <w:num w:numId="9">
    <w:abstractNumId w:val="21"/>
  </w:num>
  <w:num w:numId="10">
    <w:abstractNumId w:val="2"/>
  </w:num>
  <w:num w:numId="11">
    <w:abstractNumId w:val="18"/>
  </w:num>
  <w:num w:numId="12">
    <w:abstractNumId w:val="49"/>
  </w:num>
  <w:num w:numId="13">
    <w:abstractNumId w:val="0"/>
  </w:num>
  <w:num w:numId="14">
    <w:abstractNumId w:val="34"/>
  </w:num>
  <w:num w:numId="15">
    <w:abstractNumId w:val="19"/>
  </w:num>
  <w:num w:numId="16">
    <w:abstractNumId w:val="7"/>
  </w:num>
  <w:num w:numId="17">
    <w:abstractNumId w:val="43"/>
  </w:num>
  <w:num w:numId="18">
    <w:abstractNumId w:val="29"/>
  </w:num>
  <w:num w:numId="19">
    <w:abstractNumId w:val="11"/>
  </w:num>
  <w:num w:numId="20">
    <w:abstractNumId w:val="1"/>
  </w:num>
  <w:num w:numId="21">
    <w:abstractNumId w:val="38"/>
  </w:num>
  <w:num w:numId="22">
    <w:abstractNumId w:val="33"/>
  </w:num>
  <w:num w:numId="23">
    <w:abstractNumId w:val="31"/>
  </w:num>
  <w:num w:numId="24">
    <w:abstractNumId w:val="13"/>
  </w:num>
  <w:num w:numId="25">
    <w:abstractNumId w:val="16"/>
  </w:num>
  <w:num w:numId="26">
    <w:abstractNumId w:val="6"/>
  </w:num>
  <w:num w:numId="27">
    <w:abstractNumId w:val="47"/>
  </w:num>
  <w:num w:numId="28">
    <w:abstractNumId w:val="42"/>
  </w:num>
  <w:num w:numId="29">
    <w:abstractNumId w:val="25"/>
  </w:num>
  <w:num w:numId="30">
    <w:abstractNumId w:val="8"/>
  </w:num>
  <w:num w:numId="31">
    <w:abstractNumId w:val="27"/>
  </w:num>
  <w:num w:numId="32">
    <w:abstractNumId w:val="24"/>
  </w:num>
  <w:num w:numId="33">
    <w:abstractNumId w:val="32"/>
  </w:num>
  <w:num w:numId="34">
    <w:abstractNumId w:val="12"/>
  </w:num>
  <w:num w:numId="35">
    <w:abstractNumId w:val="40"/>
  </w:num>
  <w:num w:numId="36">
    <w:abstractNumId w:val="23"/>
  </w:num>
  <w:num w:numId="37">
    <w:abstractNumId w:val="10"/>
  </w:num>
  <w:num w:numId="38">
    <w:abstractNumId w:val="37"/>
  </w:num>
  <w:num w:numId="39">
    <w:abstractNumId w:val="48"/>
  </w:num>
  <w:num w:numId="40">
    <w:abstractNumId w:val="41"/>
  </w:num>
  <w:num w:numId="41">
    <w:abstractNumId w:val="17"/>
  </w:num>
  <w:num w:numId="42">
    <w:abstractNumId w:val="30"/>
  </w:num>
  <w:num w:numId="43">
    <w:abstractNumId w:val="15"/>
  </w:num>
  <w:num w:numId="44">
    <w:abstractNumId w:val="4"/>
  </w:num>
  <w:num w:numId="45">
    <w:abstractNumId w:val="35"/>
  </w:num>
  <w:num w:numId="46">
    <w:abstractNumId w:val="44"/>
  </w:num>
  <w:num w:numId="47">
    <w:abstractNumId w:val="28"/>
  </w:num>
  <w:num w:numId="48">
    <w:abstractNumId w:val="26"/>
  </w:num>
  <w:num w:numId="49">
    <w:abstractNumId w:val="5"/>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B1D2B"/>
    <w:rsid w:val="000B44D3"/>
    <w:rsid w:val="000E3279"/>
    <w:rsid w:val="000E69F2"/>
    <w:rsid w:val="001026F8"/>
    <w:rsid w:val="00135577"/>
    <w:rsid w:val="001948B1"/>
    <w:rsid w:val="001C38D3"/>
    <w:rsid w:val="001D30BC"/>
    <w:rsid w:val="001F3C23"/>
    <w:rsid w:val="002365E0"/>
    <w:rsid w:val="00244857"/>
    <w:rsid w:val="00335191"/>
    <w:rsid w:val="00375E4E"/>
    <w:rsid w:val="003B11BD"/>
    <w:rsid w:val="003C3F7E"/>
    <w:rsid w:val="003F7729"/>
    <w:rsid w:val="00466F49"/>
    <w:rsid w:val="004A287F"/>
    <w:rsid w:val="005175F0"/>
    <w:rsid w:val="0052286D"/>
    <w:rsid w:val="005361DF"/>
    <w:rsid w:val="005918A2"/>
    <w:rsid w:val="0059633D"/>
    <w:rsid w:val="005E6CC5"/>
    <w:rsid w:val="006B0C0F"/>
    <w:rsid w:val="0071764A"/>
    <w:rsid w:val="0073052C"/>
    <w:rsid w:val="007A5600"/>
    <w:rsid w:val="008A4F8B"/>
    <w:rsid w:val="00975461"/>
    <w:rsid w:val="009A671D"/>
    <w:rsid w:val="009C59B6"/>
    <w:rsid w:val="00A26F18"/>
    <w:rsid w:val="00A853DD"/>
    <w:rsid w:val="00A8598D"/>
    <w:rsid w:val="00AA1A39"/>
    <w:rsid w:val="00AD0836"/>
    <w:rsid w:val="00AF0351"/>
    <w:rsid w:val="00B11B27"/>
    <w:rsid w:val="00BD181F"/>
    <w:rsid w:val="00C04129"/>
    <w:rsid w:val="00C254E9"/>
    <w:rsid w:val="00C7114B"/>
    <w:rsid w:val="00C938E5"/>
    <w:rsid w:val="00CF3F8F"/>
    <w:rsid w:val="00D05745"/>
    <w:rsid w:val="00D90DC8"/>
    <w:rsid w:val="00DA38DE"/>
    <w:rsid w:val="00DF7643"/>
    <w:rsid w:val="00E01C40"/>
    <w:rsid w:val="00E35C8B"/>
    <w:rsid w:val="00E45692"/>
    <w:rsid w:val="00E62E46"/>
    <w:rsid w:val="00EC4154"/>
    <w:rsid w:val="00F04839"/>
    <w:rsid w:val="00F47561"/>
    <w:rsid w:val="00F86C93"/>
    <w:rsid w:val="00F9580C"/>
    <w:rsid w:val="00FE1E12"/>
    <w:rsid w:val="00FE7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6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AF0351"/>
    <w:pPr>
      <w:ind w:left="720"/>
      <w:contextualSpacing/>
    </w:pPr>
  </w:style>
  <w:style w:type="table" w:styleId="TableGrid">
    <w:name w:val="Table Grid"/>
    <w:basedOn w:val="TableNormal"/>
    <w:uiPriority w:val="59"/>
    <w:rsid w:val="00AF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AF035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AF035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AF0351"/>
    <w:pPr>
      <w:ind w:left="720"/>
      <w:contextualSpacing/>
    </w:pPr>
  </w:style>
  <w:style w:type="table" w:styleId="TableGrid">
    <w:name w:val="Table Grid"/>
    <w:basedOn w:val="TableNormal"/>
    <w:uiPriority w:val="59"/>
    <w:rsid w:val="00AF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AF035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AF035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863733">
      <w:bodyDiv w:val="1"/>
      <w:marLeft w:val="0"/>
      <w:marRight w:val="0"/>
      <w:marTop w:val="0"/>
      <w:marBottom w:val="0"/>
      <w:divBdr>
        <w:top w:val="none" w:sz="0" w:space="0" w:color="auto"/>
        <w:left w:val="none" w:sz="0" w:space="0" w:color="auto"/>
        <w:bottom w:val="none" w:sz="0" w:space="0" w:color="auto"/>
        <w:right w:val="none" w:sz="0" w:space="0" w:color="auto"/>
      </w:divBdr>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880554747">
      <w:bodyDiv w:val="1"/>
      <w:marLeft w:val="0"/>
      <w:marRight w:val="0"/>
      <w:marTop w:val="0"/>
      <w:marBottom w:val="0"/>
      <w:divBdr>
        <w:top w:val="none" w:sz="0" w:space="0" w:color="auto"/>
        <w:left w:val="none" w:sz="0" w:space="0" w:color="auto"/>
        <w:bottom w:val="none" w:sz="0" w:space="0" w:color="auto"/>
        <w:right w:val="none" w:sz="0" w:space="0" w:color="auto"/>
      </w:divBdr>
    </w:div>
    <w:div w:id="940257864">
      <w:bodyDiv w:val="1"/>
      <w:marLeft w:val="0"/>
      <w:marRight w:val="0"/>
      <w:marTop w:val="0"/>
      <w:marBottom w:val="0"/>
      <w:divBdr>
        <w:top w:val="none" w:sz="0" w:space="0" w:color="auto"/>
        <w:left w:val="none" w:sz="0" w:space="0" w:color="auto"/>
        <w:bottom w:val="none" w:sz="0" w:space="0" w:color="auto"/>
        <w:right w:val="none" w:sz="0" w:space="0" w:color="auto"/>
      </w:divBdr>
    </w:div>
    <w:div w:id="986279373">
      <w:bodyDiv w:val="1"/>
      <w:marLeft w:val="0"/>
      <w:marRight w:val="0"/>
      <w:marTop w:val="0"/>
      <w:marBottom w:val="0"/>
      <w:divBdr>
        <w:top w:val="none" w:sz="0" w:space="0" w:color="auto"/>
        <w:left w:val="none" w:sz="0" w:space="0" w:color="auto"/>
        <w:bottom w:val="none" w:sz="0" w:space="0" w:color="auto"/>
        <w:right w:val="none" w:sz="0" w:space="0" w:color="auto"/>
      </w:divBdr>
    </w:div>
    <w:div w:id="1425149114">
      <w:bodyDiv w:val="1"/>
      <w:marLeft w:val="0"/>
      <w:marRight w:val="0"/>
      <w:marTop w:val="0"/>
      <w:marBottom w:val="0"/>
      <w:divBdr>
        <w:top w:val="none" w:sz="0" w:space="0" w:color="auto"/>
        <w:left w:val="none" w:sz="0" w:space="0" w:color="auto"/>
        <w:bottom w:val="none" w:sz="0" w:space="0" w:color="auto"/>
        <w:right w:val="none" w:sz="0" w:space="0" w:color="auto"/>
      </w:divBdr>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SID=ad275643432556b9dda942343fb89296&amp;mc=true&amp;node=pt38.1.3&amp;rgn=div58" TargetMode="External"/><Relationship Id="rId18" Type="http://schemas.openxmlformats.org/officeDocument/2006/relationships/hyperlink" Target="https://vaww.compensation.pension.km.va.gov/system/templates/selfservice/va_ka/" TargetMode="External"/><Relationship Id="rId26" Type="http://schemas.openxmlformats.org/officeDocument/2006/relationships/hyperlink" Target="https://vaww.compensation.pension.km.va.gov/system/templates/selfservice/va_ka/" TargetMode="External"/><Relationship Id="rId3" Type="http://schemas.openxmlformats.org/officeDocument/2006/relationships/customXml" Target="../customXml/item3.xml"/><Relationship Id="rId21" Type="http://schemas.openxmlformats.org/officeDocument/2006/relationships/hyperlink" Target="https://vaww.compensation.https/vaww.compensation.pension.km.va.gov/system/templates/selfservice/va_ka/" TargetMode="External"/><Relationship Id="rId34"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hyperlink" Target="https://vaww.compensation.pension.km.va.gov/" TargetMode="External"/><Relationship Id="rId17" Type="http://schemas.openxmlformats.org/officeDocument/2006/relationships/hyperlink" Target="https://vaww.compensation.pension.km.va.gov/system/templates/selfservice/va_ka/" TargetMode="External"/><Relationship Id="rId25" Type="http://schemas.openxmlformats.org/officeDocument/2006/relationships/hyperlink" Target="https://vaww.compensation.pension.km.va.gov/system/templates/selfservice/va_ka/"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 TargetMode="External"/><Relationship Id="rId20" Type="http://schemas.openxmlformats.org/officeDocument/2006/relationships/hyperlink" Target="https://vaww.compensation.pension.km.va.gov/system/templates/selfservice/va_ka/" TargetMode="External"/><Relationship Id="rId29" Type="http://schemas.openxmlformats.org/officeDocument/2006/relationships/hyperlink" Target="https://vaww.compensation.pension.km.va.gov/system/templates/selfservice/va_k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vaww.compensation.pension.km.va.gov/system/templates/selfservice/va_ka/"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aww.compensation.pension.km.va.gov/system/templates/selfservice/va_ka/" TargetMode="External"/><Relationship Id="rId23" Type="http://schemas.openxmlformats.org/officeDocument/2006/relationships/hyperlink" Target="https://vaww.compensation.pension.km.va.gov/system/templates/selfservice/va_ka/" TargetMode="External"/><Relationship Id="rId28" Type="http://schemas.openxmlformats.org/officeDocument/2006/relationships/hyperlink" Target="https://vaww.compensation.pension.km.va.gov/system/templates/selfservice/va_ka/"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vaww.compensation.pension.km.va.gov/system/templates/selfservice/va_ka/"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ad275643432556b9dda942343fb89296&amp;mc=true&amp;node=pt38.1.3&amp;rgn=div58" TargetMode="External"/><Relationship Id="rId22" Type="http://schemas.openxmlformats.org/officeDocument/2006/relationships/hyperlink" Target="https://vaww.compensation.https/vaww.compensation.pension.km.va.gov/system/templates/selfservice/va_ka/" TargetMode="External"/><Relationship Id="rId27" Type="http://schemas.openxmlformats.org/officeDocument/2006/relationships/hyperlink" Target="https://vaww.compensation.pension.km.va.gov/system/templates/selfservice/va_ka/" TargetMode="External"/><Relationship Id="rId30" Type="http://schemas.openxmlformats.org/officeDocument/2006/relationships/header" Target="header1.xm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1C36B971-8009-4429-9435-E1F167E84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Template.dot</Template>
  <TotalTime>49</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Rating Gulf War Claims Handout</vt:lpstr>
    </vt:vector>
  </TitlesOfParts>
  <Company>Veterans Benefits Administration</Company>
  <LinksUpToDate>false</LinksUpToDate>
  <CharactersWithSpaces>5928</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Gulf War Claims Handout</dc:title>
  <dc:subject>VSR/RVSR</dc:subject>
  <dc:creator>Department of Veterans Affairs, Veterans Benefits Administration, Compensation Service, STAFF</dc:creator>
  <cp:keywords>environmental hazard, burn pit, particulate matter, sulfur, chromium, Iraq, Afghanistan, Djibouti, Africa, Gulf War, GW, Persian Gulf, environmental hazard, undiagnosed illness, MUCMI, chronic multisympton, Southwest Asia, theater of operations, Infectious, medically unexplained chronic multi-symptom illness , functional gastrointestinal disorders, FGID</cp:keywords>
  <dc:description>This lesson provides the RVSR, DRO, or RQRS with a comprehensive understanding of rating claims for disabilities resulting from exposure to specific environmental hazards in the Gulf War and disabilities based on the provisions of 38 CFR 3.317.</dc:description>
  <cp:lastModifiedBy>Sochar, Lisa</cp:lastModifiedBy>
  <cp:revision>11</cp:revision>
  <dcterms:created xsi:type="dcterms:W3CDTF">2016-02-11T15:33:00Z</dcterms:created>
  <dcterms:modified xsi:type="dcterms:W3CDTF">2016-03-21T12:55:00Z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Reference</vt:lpwstr>
  </property>
</Properties>
</file>