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64946" w14:textId="77777777" w:rsidR="003B6946" w:rsidRPr="00816278" w:rsidRDefault="003B6946" w:rsidP="003B6946">
      <w:pPr>
        <w:rPr>
          <w:rFonts w:ascii="Times New Roman" w:hAnsi="Times New Roman" w:cs="Times New Roman"/>
          <w:sz w:val="32"/>
        </w:rPr>
      </w:pPr>
      <w:r w:rsidRPr="003B6946">
        <w:rPr>
          <w:rFonts w:ascii="Times New Roman" w:hAnsi="Times New Roman" w:cs="Times New Roman"/>
        </w:rPr>
        <w:t xml:space="preserve"> </w:t>
      </w:r>
      <w:r w:rsidRPr="00816278">
        <w:rPr>
          <w:rFonts w:ascii="Times New Roman" w:hAnsi="Times New Roman" w:cs="Times New Roman"/>
          <w:sz w:val="32"/>
        </w:rPr>
        <w:t>Scripts for BLUE Water Navy</w:t>
      </w:r>
      <w:r w:rsidR="000D374B" w:rsidRPr="00816278">
        <w:rPr>
          <w:rFonts w:ascii="Times New Roman" w:hAnsi="Times New Roman" w:cs="Times New Roman"/>
          <w:sz w:val="32"/>
        </w:rPr>
        <w:t xml:space="preserve">: </w:t>
      </w:r>
      <w:r w:rsidR="006F354E" w:rsidRPr="00816278">
        <w:rPr>
          <w:rFonts w:ascii="Times New Roman" w:hAnsi="Times New Roman" w:cs="Times New Roman"/>
          <w:sz w:val="32"/>
        </w:rPr>
        <w:t>Regional Offic</w:t>
      </w:r>
      <w:r w:rsidR="00477AFF" w:rsidRPr="00816278">
        <w:rPr>
          <w:rFonts w:ascii="Times New Roman" w:hAnsi="Times New Roman" w:cs="Times New Roman"/>
          <w:sz w:val="32"/>
        </w:rPr>
        <w:t xml:space="preserve">e </w:t>
      </w:r>
      <w:r w:rsidR="000D374B" w:rsidRPr="00816278">
        <w:rPr>
          <w:rFonts w:ascii="Times New Roman" w:hAnsi="Times New Roman" w:cs="Times New Roman"/>
          <w:sz w:val="32"/>
        </w:rPr>
        <w:t>BWN Claims Training</w:t>
      </w:r>
    </w:p>
    <w:p w14:paraId="1695F479" w14:textId="77777777" w:rsidR="00F905E3" w:rsidRPr="00816278" w:rsidRDefault="00F905E3">
      <w:pPr>
        <w:rPr>
          <w:rFonts w:ascii="Times New Roman" w:hAnsi="Times New Roman" w:cs="Times New Roman"/>
          <w:sz w:val="32"/>
          <w:u w:val="single"/>
        </w:rPr>
      </w:pPr>
    </w:p>
    <w:p w14:paraId="11D08AF8" w14:textId="77777777" w:rsidR="00FE0FDF" w:rsidRPr="00816278" w:rsidRDefault="00CC4E38">
      <w:pPr>
        <w:rPr>
          <w:rFonts w:ascii="Times New Roman" w:hAnsi="Times New Roman" w:cs="Times New Roman"/>
          <w:sz w:val="32"/>
          <w:u w:val="single"/>
        </w:rPr>
      </w:pPr>
      <w:r w:rsidRPr="00816278">
        <w:rPr>
          <w:rFonts w:ascii="Times New Roman" w:hAnsi="Times New Roman" w:cs="Times New Roman"/>
          <w:sz w:val="32"/>
          <w:u w:val="single"/>
        </w:rPr>
        <w:t>Slide 1 (Title Slide)</w:t>
      </w:r>
    </w:p>
    <w:p w14:paraId="08700ABD" w14:textId="77777777" w:rsidR="00FE0FDF" w:rsidRPr="00816278" w:rsidRDefault="00704681">
      <w:pPr>
        <w:rPr>
          <w:rFonts w:ascii="Times New Roman" w:hAnsi="Times New Roman" w:cs="Times New Roman"/>
          <w:sz w:val="32"/>
        </w:rPr>
      </w:pPr>
      <w:r>
        <w:rPr>
          <w:rFonts w:ascii="Times New Roman" w:hAnsi="Times New Roman" w:cs="Times New Roman"/>
          <w:sz w:val="32"/>
        </w:rPr>
        <w:t>Hello</w:t>
      </w:r>
      <w:r w:rsidR="00CC4E38" w:rsidRPr="00816278">
        <w:rPr>
          <w:rFonts w:ascii="Times New Roman" w:hAnsi="Times New Roman" w:cs="Times New Roman"/>
          <w:sz w:val="32"/>
        </w:rPr>
        <w:t xml:space="preserve">, this training will be covering the new Blue Water Navy Vietnam Veterans Act of 2019. We will be discussing the changes that come along with this law, as well as the policies and procedures that will be implemented across VBA in order to develop these claims. </w:t>
      </w:r>
      <w:r w:rsidR="00655268" w:rsidRPr="00816278">
        <w:rPr>
          <w:rFonts w:ascii="Times New Roman" w:hAnsi="Times New Roman" w:cs="Times New Roman"/>
          <w:sz w:val="32"/>
        </w:rPr>
        <w:t>This course will focus on the steps to take during the initial development of original claims as it relates to conditions/contentions related to Herbicide exposure.</w:t>
      </w:r>
    </w:p>
    <w:p w14:paraId="4D58A271" w14:textId="77777777" w:rsidR="00987381" w:rsidRPr="00816278" w:rsidRDefault="00987381">
      <w:pPr>
        <w:rPr>
          <w:rFonts w:ascii="Times New Roman" w:hAnsi="Times New Roman" w:cs="Times New Roman"/>
          <w:sz w:val="32"/>
        </w:rPr>
      </w:pPr>
    </w:p>
    <w:p w14:paraId="5C5CA237" w14:textId="0F5660D7" w:rsidR="00987381" w:rsidRPr="00816278" w:rsidRDefault="00987381">
      <w:pPr>
        <w:rPr>
          <w:rFonts w:ascii="Times New Roman" w:hAnsi="Times New Roman" w:cs="Times New Roman"/>
          <w:sz w:val="32"/>
          <w:u w:val="single"/>
        </w:rPr>
      </w:pPr>
      <w:r w:rsidRPr="00816278">
        <w:rPr>
          <w:rFonts w:ascii="Times New Roman" w:hAnsi="Times New Roman" w:cs="Times New Roman"/>
          <w:sz w:val="32"/>
          <w:u w:val="single"/>
        </w:rPr>
        <w:t>Slide 2 (</w:t>
      </w:r>
      <w:r w:rsidR="00A17918">
        <w:rPr>
          <w:rFonts w:ascii="Times New Roman" w:hAnsi="Times New Roman" w:cs="Times New Roman"/>
          <w:sz w:val="32"/>
          <w:u w:val="single"/>
        </w:rPr>
        <w:t>O</w:t>
      </w:r>
      <w:r w:rsidRPr="00816278">
        <w:rPr>
          <w:rFonts w:ascii="Times New Roman" w:hAnsi="Times New Roman" w:cs="Times New Roman"/>
          <w:sz w:val="32"/>
          <w:u w:val="single"/>
        </w:rPr>
        <w:t>bjectives)</w:t>
      </w:r>
    </w:p>
    <w:p w14:paraId="68C7F7A9" w14:textId="77777777" w:rsidR="00987381" w:rsidRPr="00816278" w:rsidRDefault="00987381">
      <w:pPr>
        <w:rPr>
          <w:rFonts w:ascii="Times New Roman" w:hAnsi="Times New Roman" w:cs="Times New Roman"/>
          <w:sz w:val="32"/>
        </w:rPr>
      </w:pPr>
      <w:r w:rsidRPr="00816278">
        <w:rPr>
          <w:rFonts w:ascii="Times New Roman" w:hAnsi="Times New Roman" w:cs="Times New Roman"/>
          <w:sz w:val="32"/>
        </w:rPr>
        <w:t xml:space="preserve">Our objectives for today’s training will be to fully understand what this law means for Blue Water Navy Veterans, and how we will develop these claims going forward. We will also review what to look for, and what tools to use, to verify service in </w:t>
      </w:r>
      <w:r w:rsidR="00432DD9" w:rsidRPr="00816278">
        <w:rPr>
          <w:rFonts w:ascii="Times New Roman" w:hAnsi="Times New Roman" w:cs="Times New Roman"/>
          <w:sz w:val="32"/>
        </w:rPr>
        <w:t xml:space="preserve">the Republic of </w:t>
      </w:r>
      <w:r w:rsidRPr="00816278">
        <w:rPr>
          <w:rFonts w:ascii="Times New Roman" w:hAnsi="Times New Roman" w:cs="Times New Roman"/>
          <w:sz w:val="32"/>
        </w:rPr>
        <w:t>Vietnam.</w:t>
      </w:r>
    </w:p>
    <w:p w14:paraId="5A750CDF" w14:textId="77777777" w:rsidR="00655268" w:rsidRPr="00816278" w:rsidRDefault="00655268" w:rsidP="00655268">
      <w:pPr>
        <w:spacing w:after="0" w:line="240" w:lineRule="auto"/>
        <w:rPr>
          <w:rFonts w:ascii="Times New Roman" w:hAnsi="Times New Roman" w:cs="Times New Roman"/>
          <w:sz w:val="32"/>
        </w:rPr>
      </w:pPr>
      <w:r w:rsidRPr="00816278">
        <w:rPr>
          <w:rFonts w:ascii="Times New Roman" w:hAnsi="Times New Roman" w:cs="Times New Roman"/>
          <w:sz w:val="32"/>
        </w:rPr>
        <w:t>Upon completion of the training, you will be able to:</w:t>
      </w:r>
    </w:p>
    <w:p w14:paraId="577BB83A" w14:textId="77777777" w:rsidR="00655268" w:rsidRPr="00816278" w:rsidRDefault="00655268" w:rsidP="00655268">
      <w:pPr>
        <w:numPr>
          <w:ilvl w:val="0"/>
          <w:numId w:val="5"/>
        </w:numPr>
        <w:spacing w:after="0" w:line="240" w:lineRule="auto"/>
        <w:ind w:left="1080"/>
        <w:contextualSpacing/>
        <w:rPr>
          <w:rFonts w:ascii="Times New Roman" w:hAnsi="Times New Roman" w:cs="Times New Roman"/>
          <w:sz w:val="32"/>
        </w:rPr>
      </w:pPr>
      <w:r w:rsidRPr="00816278">
        <w:rPr>
          <w:rFonts w:ascii="Times New Roman" w:hAnsi="Times New Roman" w:cs="Times New Roman"/>
          <w:sz w:val="32"/>
        </w:rPr>
        <w:t xml:space="preserve">Identify the types of Vietnam service, </w:t>
      </w:r>
    </w:p>
    <w:p w14:paraId="40577485" w14:textId="77777777" w:rsidR="00655268" w:rsidRPr="00816278" w:rsidRDefault="00655268" w:rsidP="00655268">
      <w:pPr>
        <w:numPr>
          <w:ilvl w:val="0"/>
          <w:numId w:val="5"/>
        </w:numPr>
        <w:spacing w:after="0" w:line="240" w:lineRule="auto"/>
        <w:ind w:left="1080"/>
        <w:contextualSpacing/>
        <w:rPr>
          <w:rFonts w:ascii="Times New Roman" w:hAnsi="Times New Roman" w:cs="Times New Roman"/>
          <w:sz w:val="32"/>
        </w:rPr>
      </w:pPr>
      <w:r w:rsidRPr="00816278">
        <w:rPr>
          <w:rFonts w:ascii="Times New Roman" w:hAnsi="Times New Roman" w:cs="Times New Roman"/>
          <w:sz w:val="32"/>
        </w:rPr>
        <w:t xml:space="preserve">Establish the required </w:t>
      </w:r>
      <w:r w:rsidR="00194B54" w:rsidRPr="00816278">
        <w:rPr>
          <w:rFonts w:ascii="Times New Roman" w:hAnsi="Times New Roman" w:cs="Times New Roman"/>
          <w:sz w:val="32"/>
        </w:rPr>
        <w:t>special issue</w:t>
      </w:r>
      <w:r w:rsidRPr="00816278">
        <w:rPr>
          <w:rFonts w:ascii="Times New Roman" w:hAnsi="Times New Roman" w:cs="Times New Roman"/>
          <w:sz w:val="32"/>
        </w:rPr>
        <w:t xml:space="preserve">, </w:t>
      </w:r>
    </w:p>
    <w:p w14:paraId="761DD7EC" w14:textId="77777777" w:rsidR="00655268" w:rsidRPr="00816278" w:rsidRDefault="00655268" w:rsidP="00655268">
      <w:pPr>
        <w:numPr>
          <w:ilvl w:val="0"/>
          <w:numId w:val="5"/>
        </w:numPr>
        <w:spacing w:after="0" w:line="240" w:lineRule="auto"/>
        <w:ind w:left="1080"/>
        <w:contextualSpacing/>
        <w:rPr>
          <w:rFonts w:ascii="Times New Roman" w:hAnsi="Times New Roman" w:cs="Times New Roman"/>
          <w:sz w:val="32"/>
        </w:rPr>
      </w:pPr>
      <w:r w:rsidRPr="00816278">
        <w:rPr>
          <w:rFonts w:ascii="Times New Roman" w:hAnsi="Times New Roman" w:cs="Times New Roman"/>
          <w:sz w:val="32"/>
        </w:rPr>
        <w:t xml:space="preserve">Develop for required evidence, </w:t>
      </w:r>
    </w:p>
    <w:p w14:paraId="71F16F1E" w14:textId="77777777" w:rsidR="00655268" w:rsidRPr="00816278" w:rsidRDefault="00655268" w:rsidP="00655268">
      <w:pPr>
        <w:numPr>
          <w:ilvl w:val="0"/>
          <w:numId w:val="5"/>
        </w:numPr>
        <w:spacing w:after="0" w:line="240" w:lineRule="auto"/>
        <w:ind w:left="1080"/>
        <w:contextualSpacing/>
        <w:rPr>
          <w:rFonts w:ascii="Times New Roman" w:hAnsi="Times New Roman" w:cs="Times New Roman"/>
          <w:sz w:val="32"/>
        </w:rPr>
      </w:pPr>
      <w:r w:rsidRPr="00816278">
        <w:rPr>
          <w:rFonts w:ascii="Times New Roman" w:hAnsi="Times New Roman" w:cs="Times New Roman"/>
          <w:sz w:val="32"/>
        </w:rPr>
        <w:t xml:space="preserve">Identify the presumptive conditions associated with herbicide exposure, </w:t>
      </w:r>
    </w:p>
    <w:p w14:paraId="5640D1CD" w14:textId="77777777" w:rsidR="00655268" w:rsidRPr="00816278" w:rsidRDefault="00655268" w:rsidP="00655268">
      <w:pPr>
        <w:numPr>
          <w:ilvl w:val="0"/>
          <w:numId w:val="5"/>
        </w:numPr>
        <w:spacing w:after="0" w:line="240" w:lineRule="auto"/>
        <w:ind w:left="1080"/>
        <w:contextualSpacing/>
        <w:rPr>
          <w:rFonts w:ascii="Times New Roman" w:hAnsi="Times New Roman" w:cs="Times New Roman"/>
          <w:sz w:val="32"/>
        </w:rPr>
      </w:pPr>
      <w:r w:rsidRPr="00816278">
        <w:rPr>
          <w:rFonts w:ascii="Times New Roman" w:hAnsi="Times New Roman" w:cs="Times New Roman"/>
          <w:sz w:val="32"/>
        </w:rPr>
        <w:t>Complete the steps required to route claims to the Centralized Processing Regional Offices.</w:t>
      </w:r>
    </w:p>
    <w:p w14:paraId="0FBD81B6" w14:textId="77777777" w:rsidR="00655268" w:rsidRPr="00816278" w:rsidRDefault="00655268" w:rsidP="00655268">
      <w:pPr>
        <w:spacing w:after="0" w:line="240" w:lineRule="auto"/>
        <w:rPr>
          <w:rFonts w:ascii="Times New Roman" w:hAnsi="Times New Roman" w:cs="Times New Roman"/>
          <w:sz w:val="32"/>
        </w:rPr>
      </w:pPr>
      <w:r w:rsidRPr="00816278">
        <w:rPr>
          <w:rFonts w:ascii="Times New Roman" w:hAnsi="Times New Roman" w:cs="Times New Roman"/>
          <w:sz w:val="32"/>
        </w:rPr>
        <w:t> </w:t>
      </w:r>
    </w:p>
    <w:p w14:paraId="7425ED98" w14:textId="7FCDD5FE" w:rsidR="00CC4E38" w:rsidRDefault="00CC4E38">
      <w:pPr>
        <w:rPr>
          <w:rFonts w:ascii="Times New Roman" w:hAnsi="Times New Roman" w:cs="Times New Roman"/>
          <w:sz w:val="32"/>
        </w:rPr>
      </w:pPr>
    </w:p>
    <w:p w14:paraId="169772D4" w14:textId="4B1CE4BD" w:rsidR="00A17918" w:rsidRDefault="00A17918">
      <w:pPr>
        <w:rPr>
          <w:rFonts w:ascii="Times New Roman" w:hAnsi="Times New Roman" w:cs="Times New Roman"/>
          <w:sz w:val="32"/>
        </w:rPr>
      </w:pPr>
    </w:p>
    <w:p w14:paraId="2E800991" w14:textId="00FBD087" w:rsidR="00A17918" w:rsidRDefault="00A17918">
      <w:pPr>
        <w:rPr>
          <w:rFonts w:ascii="Times New Roman" w:hAnsi="Times New Roman" w:cs="Times New Roman"/>
          <w:sz w:val="32"/>
        </w:rPr>
      </w:pPr>
    </w:p>
    <w:p w14:paraId="577B7E25" w14:textId="77777777" w:rsidR="00A17918" w:rsidRPr="00816278" w:rsidRDefault="00A17918">
      <w:pPr>
        <w:rPr>
          <w:rFonts w:ascii="Times New Roman" w:hAnsi="Times New Roman" w:cs="Times New Roman"/>
          <w:sz w:val="32"/>
        </w:rPr>
      </w:pPr>
    </w:p>
    <w:p w14:paraId="6E18CF2F" w14:textId="77777777" w:rsidR="00CC4E38" w:rsidRPr="00816278" w:rsidRDefault="00CC4E38" w:rsidP="00987381">
      <w:pPr>
        <w:rPr>
          <w:rFonts w:ascii="Times New Roman" w:hAnsi="Times New Roman" w:cs="Times New Roman"/>
          <w:sz w:val="32"/>
          <w:u w:val="single"/>
        </w:rPr>
      </w:pPr>
      <w:r w:rsidRPr="00816278">
        <w:rPr>
          <w:rFonts w:ascii="Times New Roman" w:hAnsi="Times New Roman" w:cs="Times New Roman"/>
          <w:sz w:val="32"/>
          <w:u w:val="single"/>
        </w:rPr>
        <w:lastRenderedPageBreak/>
        <w:t xml:space="preserve">Slide </w:t>
      </w:r>
      <w:r w:rsidR="00987381" w:rsidRPr="00816278">
        <w:rPr>
          <w:rFonts w:ascii="Times New Roman" w:hAnsi="Times New Roman" w:cs="Times New Roman"/>
          <w:sz w:val="32"/>
          <w:u w:val="single"/>
        </w:rPr>
        <w:t>3</w:t>
      </w:r>
      <w:r w:rsidRPr="00816278">
        <w:rPr>
          <w:rFonts w:ascii="Times New Roman" w:hAnsi="Times New Roman" w:cs="Times New Roman"/>
          <w:sz w:val="32"/>
          <w:u w:val="single"/>
        </w:rPr>
        <w:t xml:space="preserve"> (References)</w:t>
      </w:r>
    </w:p>
    <w:p w14:paraId="48D13EBA" w14:textId="77777777" w:rsidR="00987381" w:rsidRPr="00816278" w:rsidRDefault="00CC4E38" w:rsidP="00CC4E38">
      <w:pPr>
        <w:rPr>
          <w:rFonts w:ascii="Times New Roman" w:hAnsi="Times New Roman" w:cs="Times New Roman"/>
          <w:sz w:val="32"/>
        </w:rPr>
      </w:pPr>
      <w:r w:rsidRPr="00816278">
        <w:rPr>
          <w:rFonts w:ascii="Times New Roman" w:hAnsi="Times New Roman" w:cs="Times New Roman"/>
          <w:sz w:val="32"/>
        </w:rPr>
        <w:t>These are the references regarding the new law, to include the</w:t>
      </w:r>
      <w:r w:rsidR="00583080" w:rsidRPr="00816278">
        <w:rPr>
          <w:rFonts w:ascii="Times New Roman" w:hAnsi="Times New Roman" w:cs="Times New Roman"/>
          <w:sz w:val="32"/>
        </w:rPr>
        <w:t xml:space="preserve"> </w:t>
      </w:r>
      <w:r w:rsidRPr="00816278">
        <w:rPr>
          <w:rFonts w:ascii="Times New Roman" w:hAnsi="Times New Roman" w:cs="Times New Roman"/>
          <w:sz w:val="32"/>
        </w:rPr>
        <w:t>law</w:t>
      </w:r>
      <w:r w:rsidR="00583080" w:rsidRPr="00816278">
        <w:rPr>
          <w:rFonts w:ascii="Times New Roman" w:hAnsi="Times New Roman" w:cs="Times New Roman"/>
          <w:sz w:val="32"/>
        </w:rPr>
        <w:t xml:space="preserve"> itself</w:t>
      </w:r>
      <w:r w:rsidRPr="00816278">
        <w:rPr>
          <w:rFonts w:ascii="Times New Roman" w:hAnsi="Times New Roman" w:cs="Times New Roman"/>
          <w:sz w:val="32"/>
        </w:rPr>
        <w:t xml:space="preserve">, Public Law (PL) 116-23, which we will be going over in today’s training. </w:t>
      </w:r>
    </w:p>
    <w:p w14:paraId="1E603AC4" w14:textId="77777777" w:rsidR="005D38E4" w:rsidRPr="00816278" w:rsidRDefault="005D38E4" w:rsidP="00CC4E38">
      <w:pPr>
        <w:rPr>
          <w:rFonts w:ascii="Times New Roman" w:hAnsi="Times New Roman" w:cs="Times New Roman"/>
          <w:sz w:val="32"/>
          <w:u w:val="single"/>
        </w:rPr>
      </w:pPr>
      <w:bookmarkStart w:id="0" w:name="_Hlk24462359"/>
    </w:p>
    <w:p w14:paraId="6CBB38D5" w14:textId="77777777" w:rsidR="00987381" w:rsidRPr="00816278" w:rsidRDefault="00987381" w:rsidP="00CC4E38">
      <w:pPr>
        <w:rPr>
          <w:rFonts w:ascii="Times New Roman" w:hAnsi="Times New Roman" w:cs="Times New Roman"/>
          <w:sz w:val="32"/>
          <w:u w:val="single"/>
        </w:rPr>
      </w:pPr>
      <w:r w:rsidRPr="00816278">
        <w:rPr>
          <w:rFonts w:ascii="Times New Roman" w:hAnsi="Times New Roman" w:cs="Times New Roman"/>
          <w:sz w:val="32"/>
          <w:u w:val="single"/>
        </w:rPr>
        <w:t xml:space="preserve">Slide </w:t>
      </w:r>
      <w:r w:rsidR="00F927C1" w:rsidRPr="00816278">
        <w:rPr>
          <w:rFonts w:ascii="Times New Roman" w:hAnsi="Times New Roman" w:cs="Times New Roman"/>
          <w:sz w:val="32"/>
          <w:u w:val="single"/>
        </w:rPr>
        <w:t>4</w:t>
      </w:r>
      <w:r w:rsidR="002C1E44" w:rsidRPr="00816278">
        <w:rPr>
          <w:rFonts w:ascii="Times New Roman" w:hAnsi="Times New Roman" w:cs="Times New Roman"/>
          <w:sz w:val="32"/>
          <w:u w:val="single"/>
        </w:rPr>
        <w:t xml:space="preserve"> (Background)</w:t>
      </w:r>
    </w:p>
    <w:p w14:paraId="65803618" w14:textId="77777777" w:rsidR="002C1E44" w:rsidRPr="00816278" w:rsidRDefault="00F927C1" w:rsidP="00CC4E38">
      <w:pPr>
        <w:rPr>
          <w:rFonts w:ascii="Times New Roman" w:hAnsi="Times New Roman" w:cs="Times New Roman"/>
          <w:sz w:val="32"/>
        </w:rPr>
      </w:pPr>
      <w:r w:rsidRPr="00816278">
        <w:rPr>
          <w:rFonts w:ascii="Times New Roman" w:hAnsi="Times New Roman" w:cs="Times New Roman"/>
          <w:sz w:val="32"/>
        </w:rPr>
        <w:t xml:space="preserve">First, I would </w:t>
      </w:r>
      <w:r w:rsidR="005D38E4" w:rsidRPr="00816278">
        <w:rPr>
          <w:rFonts w:ascii="Times New Roman" w:hAnsi="Times New Roman" w:cs="Times New Roman"/>
          <w:sz w:val="32"/>
        </w:rPr>
        <w:t>like</w:t>
      </w:r>
      <w:r w:rsidRPr="00816278">
        <w:rPr>
          <w:rFonts w:ascii="Times New Roman" w:hAnsi="Times New Roman" w:cs="Times New Roman"/>
          <w:sz w:val="32"/>
        </w:rPr>
        <w:t xml:space="preserve"> to provide a little background into the history of the new law and where we are today.  </w:t>
      </w:r>
      <w:bookmarkEnd w:id="0"/>
    </w:p>
    <w:p w14:paraId="02A81429" w14:textId="77777777" w:rsidR="00F927C1" w:rsidRPr="00816278" w:rsidRDefault="00F927C1" w:rsidP="00CC4E38">
      <w:pPr>
        <w:rPr>
          <w:rFonts w:ascii="Times New Roman" w:hAnsi="Times New Roman" w:cs="Times New Roman"/>
          <w:sz w:val="32"/>
        </w:rPr>
      </w:pPr>
    </w:p>
    <w:p w14:paraId="051A096B" w14:textId="37A326A3" w:rsidR="002C1E44" w:rsidRPr="00816278" w:rsidRDefault="002C1E44" w:rsidP="002C1E44">
      <w:pPr>
        <w:rPr>
          <w:rFonts w:ascii="Times New Roman" w:hAnsi="Times New Roman" w:cs="Times New Roman"/>
          <w:sz w:val="32"/>
          <w:u w:val="single"/>
        </w:rPr>
      </w:pPr>
      <w:r w:rsidRPr="00816278">
        <w:rPr>
          <w:rFonts w:ascii="Times New Roman" w:hAnsi="Times New Roman" w:cs="Times New Roman"/>
          <w:sz w:val="32"/>
          <w:u w:val="single"/>
        </w:rPr>
        <w:t xml:space="preserve">Slide </w:t>
      </w:r>
      <w:r w:rsidR="00F927C1" w:rsidRPr="00816278">
        <w:rPr>
          <w:rFonts w:ascii="Times New Roman" w:hAnsi="Times New Roman" w:cs="Times New Roman"/>
          <w:sz w:val="32"/>
          <w:u w:val="single"/>
        </w:rPr>
        <w:t>5</w:t>
      </w:r>
      <w:r w:rsidR="00A755D2" w:rsidRPr="00816278">
        <w:rPr>
          <w:rFonts w:ascii="Times New Roman" w:hAnsi="Times New Roman" w:cs="Times New Roman"/>
          <w:sz w:val="32"/>
          <w:u w:val="single"/>
        </w:rPr>
        <w:t>-6</w:t>
      </w:r>
      <w:r w:rsidRPr="00816278">
        <w:rPr>
          <w:rFonts w:ascii="Times New Roman" w:hAnsi="Times New Roman" w:cs="Times New Roman"/>
          <w:sz w:val="32"/>
          <w:u w:val="single"/>
        </w:rPr>
        <w:t xml:space="preserve"> (</w:t>
      </w:r>
      <w:bookmarkStart w:id="1" w:name="_Hlk24462870"/>
      <w:r w:rsidR="00F927C1" w:rsidRPr="00816278">
        <w:rPr>
          <w:rFonts w:ascii="Times New Roman" w:hAnsi="Times New Roman" w:cs="Times New Roman"/>
          <w:sz w:val="32"/>
          <w:u w:val="single"/>
        </w:rPr>
        <w:t>Recognition of Herbicide Exposure</w:t>
      </w:r>
      <w:r w:rsidRPr="00816278">
        <w:rPr>
          <w:rFonts w:ascii="Times New Roman" w:hAnsi="Times New Roman" w:cs="Times New Roman"/>
          <w:sz w:val="32"/>
          <w:u w:val="single"/>
        </w:rPr>
        <w:t>)</w:t>
      </w:r>
      <w:bookmarkEnd w:id="1"/>
    </w:p>
    <w:p w14:paraId="52E7FAE8" w14:textId="77777777" w:rsidR="002C1E44" w:rsidRPr="00816278" w:rsidRDefault="002C1E44" w:rsidP="002C1E44">
      <w:pPr>
        <w:rPr>
          <w:rFonts w:ascii="Times New Roman" w:hAnsi="Times New Roman" w:cs="Times New Roman"/>
          <w:sz w:val="32"/>
        </w:rPr>
      </w:pPr>
      <w:r w:rsidRPr="00816278">
        <w:rPr>
          <w:rFonts w:ascii="Times New Roman" w:hAnsi="Times New Roman" w:cs="Times New Roman"/>
          <w:sz w:val="32"/>
        </w:rPr>
        <w:t>These changes began with the case Procopio V. Wilkie (2019), which was a case that sought to extend the presumption of herbicide exposure to those Veterans who served in the offshore waters of Vietnam. This was defined as serving in the sea</w:t>
      </w:r>
      <w:r w:rsidR="00A10E02">
        <w:rPr>
          <w:rFonts w:ascii="Times New Roman" w:hAnsi="Times New Roman" w:cs="Times New Roman"/>
          <w:sz w:val="32"/>
        </w:rPr>
        <w:t>s</w:t>
      </w:r>
      <w:r w:rsidRPr="00816278">
        <w:rPr>
          <w:rFonts w:ascii="Times New Roman" w:hAnsi="Times New Roman" w:cs="Times New Roman"/>
          <w:sz w:val="32"/>
        </w:rPr>
        <w:t xml:space="preserve"> of the Republic of Vietnam, or 12 nautical miles from the land mass.</w:t>
      </w:r>
    </w:p>
    <w:p w14:paraId="2891671F" w14:textId="77777777" w:rsidR="00F927C1" w:rsidRPr="00816278" w:rsidRDefault="00F927C1" w:rsidP="002C1E44">
      <w:pPr>
        <w:rPr>
          <w:rFonts w:ascii="Times New Roman" w:hAnsi="Times New Roman" w:cs="Times New Roman"/>
          <w:sz w:val="32"/>
        </w:rPr>
      </w:pPr>
      <w:r w:rsidRPr="00816278">
        <w:rPr>
          <w:rFonts w:ascii="Times New Roman" w:hAnsi="Times New Roman" w:cs="Times New Roman"/>
          <w:sz w:val="32"/>
        </w:rPr>
        <w:t>Prior to the enactment of this new law, the VA extended a presumption of herbicide exposure to any Veteran who served on the ground or on the inland waterways of the Republic of Vietnam between January 9, 1962, and May 7, 1975 based upon 38 U.S.C.§ 1116(a)(1).</w:t>
      </w:r>
    </w:p>
    <w:p w14:paraId="6D2DDA70" w14:textId="77777777" w:rsidR="00F927C1" w:rsidRPr="00816278" w:rsidRDefault="00F927C1" w:rsidP="002C1E44">
      <w:pPr>
        <w:rPr>
          <w:rFonts w:ascii="Times New Roman" w:hAnsi="Times New Roman" w:cs="Times New Roman"/>
          <w:sz w:val="32"/>
        </w:rPr>
      </w:pPr>
    </w:p>
    <w:p w14:paraId="1321F426" w14:textId="77777777" w:rsidR="002C1E44" w:rsidRPr="00816278" w:rsidRDefault="002C1E44" w:rsidP="00CC4E38">
      <w:pPr>
        <w:rPr>
          <w:rFonts w:ascii="Times New Roman" w:hAnsi="Times New Roman" w:cs="Times New Roman"/>
          <w:sz w:val="32"/>
        </w:rPr>
      </w:pPr>
    </w:p>
    <w:p w14:paraId="18A01A38" w14:textId="77777777" w:rsidR="00987381" w:rsidRPr="00816278" w:rsidRDefault="00987381" w:rsidP="00CC4E38">
      <w:pPr>
        <w:rPr>
          <w:rFonts w:ascii="Times New Roman" w:hAnsi="Times New Roman" w:cs="Times New Roman"/>
          <w:sz w:val="32"/>
        </w:rPr>
      </w:pPr>
    </w:p>
    <w:p w14:paraId="511A839A" w14:textId="77777777" w:rsidR="00987381" w:rsidRPr="00816278" w:rsidRDefault="00987381" w:rsidP="00CC4E38">
      <w:pPr>
        <w:rPr>
          <w:rFonts w:ascii="Times New Roman" w:hAnsi="Times New Roman" w:cs="Times New Roman"/>
          <w:sz w:val="32"/>
          <w:u w:val="single"/>
        </w:rPr>
      </w:pPr>
      <w:r w:rsidRPr="00816278">
        <w:rPr>
          <w:rFonts w:ascii="Times New Roman" w:hAnsi="Times New Roman" w:cs="Times New Roman"/>
          <w:sz w:val="32"/>
          <w:u w:val="single"/>
        </w:rPr>
        <w:t xml:space="preserve">Slide </w:t>
      </w:r>
      <w:r w:rsidR="00A755D2" w:rsidRPr="00816278">
        <w:rPr>
          <w:rFonts w:ascii="Times New Roman" w:hAnsi="Times New Roman" w:cs="Times New Roman"/>
          <w:sz w:val="32"/>
          <w:u w:val="single"/>
        </w:rPr>
        <w:t>7</w:t>
      </w:r>
      <w:r w:rsidR="00F927C1" w:rsidRPr="00816278">
        <w:rPr>
          <w:rFonts w:ascii="Times New Roman" w:hAnsi="Times New Roman" w:cs="Times New Roman"/>
          <w:sz w:val="32"/>
          <w:u w:val="single"/>
        </w:rPr>
        <w:t xml:space="preserve"> (</w:t>
      </w:r>
      <w:bookmarkStart w:id="2" w:name="_Hlk25570656"/>
      <w:r w:rsidR="00F927C1" w:rsidRPr="00816278">
        <w:rPr>
          <w:rFonts w:ascii="Times New Roman" w:hAnsi="Times New Roman" w:cs="Times New Roman"/>
          <w:sz w:val="32"/>
          <w:u w:val="single"/>
        </w:rPr>
        <w:t>Recognition of Herbicide Exposure</w:t>
      </w:r>
      <w:bookmarkEnd w:id="2"/>
      <w:r w:rsidR="00F927C1" w:rsidRPr="00816278">
        <w:rPr>
          <w:rFonts w:ascii="Times New Roman" w:hAnsi="Times New Roman" w:cs="Times New Roman"/>
          <w:sz w:val="32"/>
          <w:u w:val="single"/>
        </w:rPr>
        <w:t>)</w:t>
      </w:r>
    </w:p>
    <w:p w14:paraId="013779B3" w14:textId="77777777" w:rsidR="00987381" w:rsidRPr="00816278" w:rsidRDefault="00987381" w:rsidP="00CC4E38">
      <w:pPr>
        <w:rPr>
          <w:rFonts w:ascii="Times New Roman" w:hAnsi="Times New Roman" w:cs="Times New Roman"/>
          <w:sz w:val="32"/>
        </w:rPr>
      </w:pPr>
      <w:r w:rsidRPr="00816278">
        <w:rPr>
          <w:rFonts w:ascii="Times New Roman" w:hAnsi="Times New Roman" w:cs="Times New Roman"/>
          <w:sz w:val="32"/>
        </w:rPr>
        <w:t xml:space="preserve">Following this, PL 116-23, or the Blue Water Navy Vietnam Veterans Act of 2019, was enacted on June 25, 2019. </w:t>
      </w:r>
      <w:r w:rsidR="009C08BE" w:rsidRPr="00816278">
        <w:rPr>
          <w:rFonts w:ascii="Times New Roman" w:hAnsi="Times New Roman" w:cs="Times New Roman"/>
          <w:sz w:val="32"/>
        </w:rPr>
        <w:t>This put into law many of the component</w:t>
      </w:r>
      <w:r w:rsidR="0036777D" w:rsidRPr="00816278">
        <w:rPr>
          <w:rFonts w:ascii="Times New Roman" w:hAnsi="Times New Roman" w:cs="Times New Roman"/>
          <w:sz w:val="32"/>
        </w:rPr>
        <w:t>s</w:t>
      </w:r>
      <w:r w:rsidR="009C08BE" w:rsidRPr="00816278">
        <w:rPr>
          <w:rFonts w:ascii="Times New Roman" w:hAnsi="Times New Roman" w:cs="Times New Roman"/>
          <w:sz w:val="32"/>
        </w:rPr>
        <w:t xml:space="preserve"> of Procopio V. Wilkie. It expanded the definition of what qualifies as nautical service in Vietnam, to include the offshore </w:t>
      </w:r>
      <w:r w:rsidR="009C08BE" w:rsidRPr="00816278">
        <w:rPr>
          <w:rFonts w:ascii="Times New Roman" w:hAnsi="Times New Roman" w:cs="Times New Roman"/>
          <w:sz w:val="32"/>
        </w:rPr>
        <w:lastRenderedPageBreak/>
        <w:t xml:space="preserve">waters. </w:t>
      </w:r>
      <w:r w:rsidR="005D38E4" w:rsidRPr="00816278">
        <w:rPr>
          <w:rFonts w:ascii="Times New Roman" w:hAnsi="Times New Roman" w:cs="Times New Roman"/>
          <w:sz w:val="32"/>
        </w:rPr>
        <w:t xml:space="preserve">A stay was issued on July 1, 2019. </w:t>
      </w:r>
      <w:r w:rsidR="009C08BE" w:rsidRPr="00816278">
        <w:rPr>
          <w:rFonts w:ascii="Times New Roman" w:hAnsi="Times New Roman" w:cs="Times New Roman"/>
          <w:sz w:val="32"/>
        </w:rPr>
        <w:t xml:space="preserve">These changes are set to go into effect on January 1, 2020. We will explore this law </w:t>
      </w:r>
      <w:r w:rsidR="002B73CF" w:rsidRPr="00816278">
        <w:rPr>
          <w:rFonts w:ascii="Times New Roman" w:hAnsi="Times New Roman" w:cs="Times New Roman"/>
          <w:sz w:val="32"/>
        </w:rPr>
        <w:t xml:space="preserve">further </w:t>
      </w:r>
      <w:r w:rsidR="009C08BE" w:rsidRPr="00816278">
        <w:rPr>
          <w:rFonts w:ascii="Times New Roman" w:hAnsi="Times New Roman" w:cs="Times New Roman"/>
          <w:sz w:val="32"/>
        </w:rPr>
        <w:t xml:space="preserve">throughout today’s training. </w:t>
      </w:r>
    </w:p>
    <w:p w14:paraId="484477D5" w14:textId="77777777" w:rsidR="009C08BE" w:rsidRPr="00816278" w:rsidRDefault="009C08BE" w:rsidP="00CC4E38">
      <w:pPr>
        <w:rPr>
          <w:rFonts w:ascii="Times New Roman" w:hAnsi="Times New Roman" w:cs="Times New Roman"/>
          <w:sz w:val="32"/>
        </w:rPr>
      </w:pPr>
    </w:p>
    <w:p w14:paraId="05B5FBE1" w14:textId="77777777" w:rsidR="009C08BE" w:rsidRPr="00816278" w:rsidRDefault="009C08BE" w:rsidP="00CC4E38">
      <w:pPr>
        <w:rPr>
          <w:rFonts w:ascii="Times New Roman" w:hAnsi="Times New Roman" w:cs="Times New Roman"/>
          <w:sz w:val="32"/>
          <w:u w:val="single"/>
        </w:rPr>
      </w:pPr>
      <w:r w:rsidRPr="00816278">
        <w:rPr>
          <w:rFonts w:ascii="Times New Roman" w:hAnsi="Times New Roman" w:cs="Times New Roman"/>
          <w:sz w:val="32"/>
          <w:u w:val="single"/>
        </w:rPr>
        <w:t xml:space="preserve">Slide </w:t>
      </w:r>
      <w:r w:rsidR="00A755D2" w:rsidRPr="00816278">
        <w:rPr>
          <w:rFonts w:ascii="Times New Roman" w:hAnsi="Times New Roman" w:cs="Times New Roman"/>
          <w:sz w:val="32"/>
          <w:u w:val="single"/>
        </w:rPr>
        <w:t>8</w:t>
      </w:r>
      <w:r w:rsidR="00F927C1" w:rsidRPr="00816278">
        <w:rPr>
          <w:rFonts w:ascii="Times New Roman" w:hAnsi="Times New Roman" w:cs="Times New Roman"/>
          <w:sz w:val="32"/>
          <w:u w:val="single"/>
        </w:rPr>
        <w:t xml:space="preserve"> (Definitions)</w:t>
      </w:r>
    </w:p>
    <w:p w14:paraId="318C88FB" w14:textId="77777777" w:rsidR="009C08BE" w:rsidRPr="00816278" w:rsidRDefault="004C7099" w:rsidP="00CC4E38">
      <w:pPr>
        <w:rPr>
          <w:rFonts w:ascii="Times New Roman" w:hAnsi="Times New Roman" w:cs="Times New Roman"/>
          <w:sz w:val="32"/>
        </w:rPr>
      </w:pPr>
      <w:r w:rsidRPr="00816278">
        <w:rPr>
          <w:rFonts w:ascii="Times New Roman" w:hAnsi="Times New Roman" w:cs="Times New Roman"/>
          <w:sz w:val="32"/>
        </w:rPr>
        <w:t>So</w:t>
      </w:r>
      <w:r w:rsidR="009609F1">
        <w:rPr>
          <w:rFonts w:ascii="Times New Roman" w:hAnsi="Times New Roman" w:cs="Times New Roman"/>
          <w:sz w:val="32"/>
        </w:rPr>
        <w:t xml:space="preserve">, </w:t>
      </w:r>
      <w:r w:rsidRPr="00816278">
        <w:rPr>
          <w:rFonts w:ascii="Times New Roman" w:hAnsi="Times New Roman" w:cs="Times New Roman"/>
          <w:sz w:val="32"/>
        </w:rPr>
        <w:t>what do we mean when we say inland</w:t>
      </w:r>
      <w:r w:rsidR="00A10E02">
        <w:rPr>
          <w:rFonts w:ascii="Times New Roman" w:hAnsi="Times New Roman" w:cs="Times New Roman"/>
          <w:sz w:val="32"/>
        </w:rPr>
        <w:t xml:space="preserve"> waterways</w:t>
      </w:r>
      <w:r w:rsidRPr="00816278">
        <w:rPr>
          <w:rFonts w:ascii="Times New Roman" w:hAnsi="Times New Roman" w:cs="Times New Roman"/>
          <w:sz w:val="32"/>
        </w:rPr>
        <w:t xml:space="preserve"> and </w:t>
      </w:r>
      <w:r w:rsidR="00A10E02">
        <w:rPr>
          <w:rFonts w:ascii="Times New Roman" w:hAnsi="Times New Roman" w:cs="Times New Roman"/>
          <w:sz w:val="32"/>
        </w:rPr>
        <w:t xml:space="preserve">eligible </w:t>
      </w:r>
      <w:r w:rsidRPr="00816278">
        <w:rPr>
          <w:rFonts w:ascii="Times New Roman" w:hAnsi="Times New Roman" w:cs="Times New Roman"/>
          <w:sz w:val="32"/>
        </w:rPr>
        <w:t xml:space="preserve">offshore waters? Inland waterways are those that would be freshwater, such as rivers and streams around the mainland. However, </w:t>
      </w:r>
      <w:r w:rsidR="00A10E02">
        <w:rPr>
          <w:rFonts w:ascii="Times New Roman" w:hAnsi="Times New Roman" w:cs="Times New Roman"/>
          <w:sz w:val="32"/>
        </w:rPr>
        <w:t xml:space="preserve">eligible </w:t>
      </w:r>
      <w:r w:rsidRPr="00816278">
        <w:rPr>
          <w:rFonts w:ascii="Times New Roman" w:hAnsi="Times New Roman" w:cs="Times New Roman"/>
          <w:sz w:val="32"/>
        </w:rPr>
        <w:t xml:space="preserve">offshore waters (as referred to in the new law) constitute </w:t>
      </w:r>
      <w:r w:rsidR="00C139F9" w:rsidRPr="00816278">
        <w:rPr>
          <w:rFonts w:ascii="Times New Roman" w:hAnsi="Times New Roman" w:cs="Times New Roman"/>
          <w:sz w:val="32"/>
        </w:rPr>
        <w:t xml:space="preserve">the waters within 12 nautical miles seaward of a line commencing on the southwestern demarcation line of the waters of Vietnam and </w:t>
      </w:r>
      <w:r w:rsidR="009609F1" w:rsidRPr="00816278">
        <w:rPr>
          <w:rFonts w:ascii="Times New Roman" w:hAnsi="Times New Roman" w:cs="Times New Roman"/>
          <w:sz w:val="32"/>
        </w:rPr>
        <w:t>Cambodia and</w:t>
      </w:r>
      <w:r w:rsidR="00C139F9" w:rsidRPr="00816278">
        <w:rPr>
          <w:rFonts w:ascii="Times New Roman" w:hAnsi="Times New Roman" w:cs="Times New Roman"/>
          <w:sz w:val="32"/>
        </w:rPr>
        <w:t xml:space="preserve"> intersecting the coordinates that can be found in PL 116-23. </w:t>
      </w:r>
    </w:p>
    <w:p w14:paraId="776FDF65" w14:textId="77777777" w:rsidR="00A125B0" w:rsidRPr="00816278" w:rsidRDefault="00A125B0" w:rsidP="00CC4E38">
      <w:pPr>
        <w:rPr>
          <w:rFonts w:ascii="Times New Roman" w:hAnsi="Times New Roman" w:cs="Times New Roman"/>
          <w:sz w:val="32"/>
        </w:rPr>
      </w:pPr>
    </w:p>
    <w:p w14:paraId="19DA1A35" w14:textId="77777777" w:rsidR="00A125B0" w:rsidRPr="00816278" w:rsidRDefault="00A125B0" w:rsidP="00CC4E38">
      <w:pPr>
        <w:rPr>
          <w:rFonts w:ascii="Times New Roman" w:hAnsi="Times New Roman" w:cs="Times New Roman"/>
          <w:sz w:val="32"/>
        </w:rPr>
      </w:pPr>
    </w:p>
    <w:p w14:paraId="5F2C281D" w14:textId="77777777" w:rsidR="00C139F9" w:rsidRPr="00816278" w:rsidRDefault="00C139F9" w:rsidP="00CC4E38">
      <w:pPr>
        <w:rPr>
          <w:rFonts w:ascii="Times New Roman" w:hAnsi="Times New Roman" w:cs="Times New Roman"/>
          <w:sz w:val="32"/>
          <w:u w:val="single"/>
        </w:rPr>
      </w:pPr>
      <w:r w:rsidRPr="00816278">
        <w:rPr>
          <w:rFonts w:ascii="Times New Roman" w:hAnsi="Times New Roman" w:cs="Times New Roman"/>
          <w:sz w:val="32"/>
          <w:u w:val="single"/>
        </w:rPr>
        <w:t xml:space="preserve">Slide </w:t>
      </w:r>
      <w:r w:rsidR="00A755D2" w:rsidRPr="00816278">
        <w:rPr>
          <w:rFonts w:ascii="Times New Roman" w:hAnsi="Times New Roman" w:cs="Times New Roman"/>
          <w:sz w:val="32"/>
          <w:u w:val="single"/>
        </w:rPr>
        <w:t>9</w:t>
      </w:r>
      <w:r w:rsidR="00346736" w:rsidRPr="00816278">
        <w:rPr>
          <w:rFonts w:ascii="Times New Roman" w:hAnsi="Times New Roman" w:cs="Times New Roman"/>
          <w:sz w:val="32"/>
          <w:u w:val="single"/>
        </w:rPr>
        <w:t xml:space="preserve"> (Specific Geographic Locations Determined to be Inland Waterways)</w:t>
      </w:r>
    </w:p>
    <w:p w14:paraId="3C0BB79A" w14:textId="77777777" w:rsidR="00346736" w:rsidRPr="00816278" w:rsidRDefault="00346736" w:rsidP="00346736">
      <w:pPr>
        <w:rPr>
          <w:rFonts w:ascii="Times New Roman" w:hAnsi="Times New Roman" w:cs="Times New Roman"/>
          <w:sz w:val="32"/>
        </w:rPr>
      </w:pPr>
      <w:r w:rsidRPr="00816278">
        <w:rPr>
          <w:rFonts w:ascii="Times New Roman" w:hAnsi="Times New Roman" w:cs="Times New Roman"/>
          <w:sz w:val="32"/>
        </w:rPr>
        <w:t>The inland waterways are noted to be all fresh water rivers within Vietnam, all streams, canals and all navigable waterways within the perimeter of land-type vegetation.  This is particularly applicable to the marshes found in the Rung Sat Special Zone and other Vietnam coastal areas.</w:t>
      </w:r>
    </w:p>
    <w:p w14:paraId="288F6B55" w14:textId="77777777" w:rsidR="00346736" w:rsidRPr="00816278" w:rsidRDefault="00346736" w:rsidP="00346736">
      <w:pPr>
        <w:rPr>
          <w:rFonts w:ascii="Times New Roman" w:hAnsi="Times New Roman" w:cs="Times New Roman"/>
          <w:sz w:val="32"/>
        </w:rPr>
      </w:pPr>
    </w:p>
    <w:p w14:paraId="2115744C" w14:textId="77777777" w:rsidR="00346736" w:rsidRPr="00816278" w:rsidRDefault="00346736" w:rsidP="00346736">
      <w:pPr>
        <w:rPr>
          <w:rFonts w:ascii="Times New Roman" w:hAnsi="Times New Roman" w:cs="Times New Roman"/>
          <w:sz w:val="32"/>
        </w:rPr>
      </w:pPr>
      <w:r w:rsidRPr="00816278">
        <w:rPr>
          <w:rFonts w:ascii="Times New Roman" w:hAnsi="Times New Roman" w:cs="Times New Roman"/>
          <w:sz w:val="32"/>
        </w:rPr>
        <w:t xml:space="preserve">Please note Veterans are not required to state that they went ashore when evidence is sufficient to </w:t>
      </w:r>
      <w:r w:rsidR="00A10E02" w:rsidRPr="00816278">
        <w:rPr>
          <w:rFonts w:ascii="Times New Roman" w:hAnsi="Times New Roman" w:cs="Times New Roman"/>
          <w:sz w:val="32"/>
        </w:rPr>
        <w:t>verify,</w:t>
      </w:r>
      <w:r w:rsidRPr="00816278">
        <w:rPr>
          <w:rFonts w:ascii="Times New Roman" w:hAnsi="Times New Roman" w:cs="Times New Roman"/>
          <w:sz w:val="32"/>
        </w:rPr>
        <w:t xml:space="preserve"> they were aboard ships that operated on inland waterways during the specified time periods.</w:t>
      </w:r>
    </w:p>
    <w:p w14:paraId="4F1B47F9" w14:textId="090E0E50" w:rsidR="00A125B0" w:rsidRDefault="00A125B0" w:rsidP="00CC4E38">
      <w:pPr>
        <w:rPr>
          <w:rFonts w:ascii="Times New Roman" w:hAnsi="Times New Roman" w:cs="Times New Roman"/>
          <w:sz w:val="32"/>
        </w:rPr>
      </w:pPr>
    </w:p>
    <w:p w14:paraId="5D9C62B3" w14:textId="77777777" w:rsidR="00A17918" w:rsidRPr="00816278" w:rsidRDefault="00A17918" w:rsidP="00CC4E38">
      <w:pPr>
        <w:rPr>
          <w:rFonts w:ascii="Times New Roman" w:hAnsi="Times New Roman" w:cs="Times New Roman"/>
          <w:sz w:val="32"/>
        </w:rPr>
      </w:pPr>
    </w:p>
    <w:p w14:paraId="64A4F66B" w14:textId="77777777" w:rsidR="00A125B0" w:rsidRPr="00816278" w:rsidRDefault="00A125B0" w:rsidP="00CC4E38">
      <w:pPr>
        <w:rPr>
          <w:rFonts w:ascii="Times New Roman" w:hAnsi="Times New Roman" w:cs="Times New Roman"/>
          <w:sz w:val="32"/>
          <w:u w:val="single"/>
        </w:rPr>
      </w:pPr>
      <w:r w:rsidRPr="00816278">
        <w:rPr>
          <w:rFonts w:ascii="Times New Roman" w:hAnsi="Times New Roman" w:cs="Times New Roman"/>
          <w:sz w:val="32"/>
          <w:u w:val="single"/>
        </w:rPr>
        <w:lastRenderedPageBreak/>
        <w:t xml:space="preserve">Slide </w:t>
      </w:r>
      <w:r w:rsidR="00A755D2" w:rsidRPr="00816278">
        <w:rPr>
          <w:rFonts w:ascii="Times New Roman" w:hAnsi="Times New Roman" w:cs="Times New Roman"/>
          <w:sz w:val="32"/>
          <w:u w:val="single"/>
        </w:rPr>
        <w:t>10</w:t>
      </w:r>
      <w:r w:rsidR="00F36510" w:rsidRPr="00816278">
        <w:rPr>
          <w:rFonts w:ascii="Times New Roman" w:hAnsi="Times New Roman" w:cs="Times New Roman"/>
          <w:sz w:val="32"/>
          <w:u w:val="single"/>
        </w:rPr>
        <w:t xml:space="preserve"> (Definition of </w:t>
      </w:r>
      <w:r w:rsidR="00A10E02">
        <w:rPr>
          <w:rFonts w:ascii="Times New Roman" w:hAnsi="Times New Roman" w:cs="Times New Roman"/>
          <w:sz w:val="32"/>
          <w:u w:val="single"/>
        </w:rPr>
        <w:t>Eligible Offshore Waters</w:t>
      </w:r>
      <w:r w:rsidR="005A0760" w:rsidRPr="00816278">
        <w:rPr>
          <w:rFonts w:ascii="Times New Roman" w:hAnsi="Times New Roman" w:cs="Times New Roman"/>
          <w:sz w:val="32"/>
          <w:u w:val="single"/>
        </w:rPr>
        <w:t>)</w:t>
      </w:r>
    </w:p>
    <w:p w14:paraId="278E5458" w14:textId="77777777" w:rsidR="00AD2821" w:rsidRDefault="00AD2821" w:rsidP="005A0760">
      <w:pPr>
        <w:rPr>
          <w:rFonts w:ascii="Times New Roman" w:hAnsi="Times New Roman" w:cs="Times New Roman"/>
          <w:sz w:val="32"/>
        </w:rPr>
      </w:pPr>
      <w:r w:rsidRPr="00AD2821">
        <w:rPr>
          <w:rFonts w:ascii="Times New Roman" w:hAnsi="Times New Roman" w:cs="Times New Roman"/>
          <w:sz w:val="32"/>
        </w:rPr>
        <w:t xml:space="preserve">VA will recognize service in the eligible offshore waters as service in the Republic of Vietnam effective January 1, 2020. The eligible offshore waters include the seas of the Republic of Vietnam, which, under international law extends 12-nautical miles from an established baseline. </w:t>
      </w:r>
    </w:p>
    <w:p w14:paraId="1A4675E9" w14:textId="77777777" w:rsidR="005A0760" w:rsidRPr="00816278" w:rsidRDefault="005A0760" w:rsidP="005A0760">
      <w:pPr>
        <w:rPr>
          <w:rFonts w:ascii="Times New Roman" w:hAnsi="Times New Roman" w:cs="Times New Roman"/>
          <w:sz w:val="32"/>
        </w:rPr>
      </w:pPr>
      <w:r w:rsidRPr="00816278">
        <w:rPr>
          <w:rFonts w:ascii="Times New Roman" w:hAnsi="Times New Roman" w:cs="Times New Roman"/>
          <w:sz w:val="32"/>
        </w:rPr>
        <w:t xml:space="preserve">Service in the </w:t>
      </w:r>
      <w:r w:rsidR="00AD2821">
        <w:rPr>
          <w:rFonts w:ascii="Times New Roman" w:hAnsi="Times New Roman" w:cs="Times New Roman"/>
          <w:sz w:val="32"/>
        </w:rPr>
        <w:t>eligible offshore waters</w:t>
      </w:r>
      <w:r w:rsidRPr="00816278">
        <w:rPr>
          <w:rFonts w:ascii="Times New Roman" w:hAnsi="Times New Roman" w:cs="Times New Roman"/>
          <w:sz w:val="32"/>
        </w:rPr>
        <w:t xml:space="preserve"> of Vietnam during the time period beginning on January 9, 1962 through May 7, 1975, now qualifies a Veteran for presumption of herbicide exposure based on service in the Republic of Vietnam as defined in 38 CFR 3.313.</w:t>
      </w:r>
    </w:p>
    <w:p w14:paraId="1C261921" w14:textId="77777777" w:rsidR="00DD1FAA" w:rsidRPr="00816278" w:rsidRDefault="005A0760" w:rsidP="005A0760">
      <w:pPr>
        <w:rPr>
          <w:rFonts w:ascii="Times New Roman" w:hAnsi="Times New Roman" w:cs="Times New Roman"/>
          <w:sz w:val="32"/>
        </w:rPr>
      </w:pPr>
      <w:r w:rsidRPr="00816278">
        <w:rPr>
          <w:rFonts w:ascii="Times New Roman" w:hAnsi="Times New Roman" w:cs="Times New Roman"/>
          <w:sz w:val="32"/>
        </w:rPr>
        <w:t xml:space="preserve">It is important to note Regional Office staff are not authorized to make the evidence-based determination regarding </w:t>
      </w:r>
      <w:r w:rsidR="00AD2821">
        <w:rPr>
          <w:rFonts w:ascii="Times New Roman" w:hAnsi="Times New Roman" w:cs="Times New Roman"/>
          <w:sz w:val="32"/>
        </w:rPr>
        <w:t>eligible offshore waters o</w:t>
      </w:r>
      <w:r w:rsidRPr="00816278">
        <w:rPr>
          <w:rFonts w:ascii="Times New Roman" w:hAnsi="Times New Roman" w:cs="Times New Roman"/>
          <w:sz w:val="32"/>
        </w:rPr>
        <w:t>f the Republic of Vietnam.  This function is designated solely to the Records Review Specialists for consistency and recordkeeping purposes, and their determination is binding on Regional Offices</w:t>
      </w:r>
      <w:r w:rsidR="00A755D2" w:rsidRPr="00816278">
        <w:rPr>
          <w:rFonts w:ascii="Times New Roman" w:hAnsi="Times New Roman" w:cs="Times New Roman"/>
          <w:sz w:val="32"/>
        </w:rPr>
        <w:t xml:space="preserve">, Pension </w:t>
      </w:r>
      <w:r w:rsidR="00704681" w:rsidRPr="00816278">
        <w:rPr>
          <w:rFonts w:ascii="Times New Roman" w:hAnsi="Times New Roman" w:cs="Times New Roman"/>
          <w:sz w:val="32"/>
        </w:rPr>
        <w:t>Ma</w:t>
      </w:r>
      <w:r w:rsidR="00704681">
        <w:rPr>
          <w:rFonts w:ascii="Times New Roman" w:hAnsi="Times New Roman" w:cs="Times New Roman"/>
          <w:sz w:val="32"/>
        </w:rPr>
        <w:t>nagement C</w:t>
      </w:r>
      <w:r w:rsidR="00A755D2" w:rsidRPr="00816278">
        <w:rPr>
          <w:rFonts w:ascii="Times New Roman" w:hAnsi="Times New Roman" w:cs="Times New Roman"/>
          <w:sz w:val="32"/>
        </w:rPr>
        <w:t>enters and D</w:t>
      </w:r>
      <w:r w:rsidR="00704681">
        <w:rPr>
          <w:rFonts w:ascii="Times New Roman" w:hAnsi="Times New Roman" w:cs="Times New Roman"/>
          <w:sz w:val="32"/>
        </w:rPr>
        <w:t xml:space="preserve">ecision </w:t>
      </w:r>
      <w:r w:rsidR="00A755D2" w:rsidRPr="00816278">
        <w:rPr>
          <w:rFonts w:ascii="Times New Roman" w:hAnsi="Times New Roman" w:cs="Times New Roman"/>
          <w:sz w:val="32"/>
        </w:rPr>
        <w:t>R</w:t>
      </w:r>
      <w:r w:rsidR="00704681">
        <w:rPr>
          <w:rFonts w:ascii="Times New Roman" w:hAnsi="Times New Roman" w:cs="Times New Roman"/>
          <w:sz w:val="32"/>
        </w:rPr>
        <w:t xml:space="preserve">eview </w:t>
      </w:r>
      <w:r w:rsidR="00A755D2" w:rsidRPr="00816278">
        <w:rPr>
          <w:rFonts w:ascii="Times New Roman" w:hAnsi="Times New Roman" w:cs="Times New Roman"/>
          <w:sz w:val="32"/>
        </w:rPr>
        <w:t>O</w:t>
      </w:r>
      <w:r w:rsidR="00704681">
        <w:rPr>
          <w:rFonts w:ascii="Times New Roman" w:hAnsi="Times New Roman" w:cs="Times New Roman"/>
          <w:sz w:val="32"/>
        </w:rPr>
        <w:t xml:space="preserve">peration </w:t>
      </w:r>
      <w:r w:rsidR="00A755D2" w:rsidRPr="00816278">
        <w:rPr>
          <w:rFonts w:ascii="Times New Roman" w:hAnsi="Times New Roman" w:cs="Times New Roman"/>
          <w:sz w:val="32"/>
        </w:rPr>
        <w:t>C</w:t>
      </w:r>
      <w:r w:rsidR="00704681">
        <w:rPr>
          <w:rFonts w:ascii="Times New Roman" w:hAnsi="Times New Roman" w:cs="Times New Roman"/>
          <w:sz w:val="32"/>
        </w:rPr>
        <w:t>enters or DROC</w:t>
      </w:r>
      <w:r w:rsidR="00A755D2" w:rsidRPr="00816278">
        <w:rPr>
          <w:rFonts w:ascii="Times New Roman" w:hAnsi="Times New Roman" w:cs="Times New Roman"/>
          <w:sz w:val="32"/>
        </w:rPr>
        <w:t>S</w:t>
      </w:r>
      <w:r w:rsidRPr="00816278">
        <w:rPr>
          <w:rFonts w:ascii="Times New Roman" w:hAnsi="Times New Roman" w:cs="Times New Roman"/>
          <w:sz w:val="32"/>
        </w:rPr>
        <w:t>.</w:t>
      </w:r>
    </w:p>
    <w:p w14:paraId="7C9EC447" w14:textId="77777777" w:rsidR="005A0760" w:rsidRPr="00816278" w:rsidRDefault="005A0760" w:rsidP="00CC4E38">
      <w:pPr>
        <w:rPr>
          <w:rFonts w:ascii="Times New Roman" w:hAnsi="Times New Roman" w:cs="Times New Roman"/>
          <w:sz w:val="32"/>
          <w:u w:val="single"/>
        </w:rPr>
      </w:pPr>
    </w:p>
    <w:p w14:paraId="71DCC7F5" w14:textId="77777777" w:rsidR="00DD1FAA" w:rsidRPr="00816278" w:rsidRDefault="00DD1FAA" w:rsidP="00CC4E38">
      <w:pPr>
        <w:rPr>
          <w:rFonts w:ascii="Times New Roman" w:hAnsi="Times New Roman" w:cs="Times New Roman"/>
          <w:sz w:val="32"/>
          <w:u w:val="single"/>
        </w:rPr>
      </w:pPr>
      <w:r w:rsidRPr="00816278">
        <w:rPr>
          <w:rFonts w:ascii="Times New Roman" w:hAnsi="Times New Roman" w:cs="Times New Roman"/>
          <w:sz w:val="32"/>
          <w:u w:val="single"/>
        </w:rPr>
        <w:t xml:space="preserve">Slide </w:t>
      </w:r>
      <w:r w:rsidR="005A0760" w:rsidRPr="00816278">
        <w:rPr>
          <w:rFonts w:ascii="Times New Roman" w:hAnsi="Times New Roman" w:cs="Times New Roman"/>
          <w:sz w:val="32"/>
          <w:u w:val="single"/>
        </w:rPr>
        <w:t>1</w:t>
      </w:r>
      <w:r w:rsidR="00A755D2" w:rsidRPr="00816278">
        <w:rPr>
          <w:rFonts w:ascii="Times New Roman" w:hAnsi="Times New Roman" w:cs="Times New Roman"/>
          <w:sz w:val="32"/>
          <w:u w:val="single"/>
        </w:rPr>
        <w:t>1</w:t>
      </w:r>
      <w:r w:rsidR="005A0760" w:rsidRPr="00816278">
        <w:rPr>
          <w:rFonts w:ascii="Times New Roman" w:hAnsi="Times New Roman" w:cs="Times New Roman"/>
          <w:sz w:val="32"/>
          <w:u w:val="single"/>
        </w:rPr>
        <w:t xml:space="preserve"> (Centralized Processing)</w:t>
      </w:r>
    </w:p>
    <w:p w14:paraId="3DEFFF0F" w14:textId="77777777" w:rsidR="00A755D2" w:rsidRPr="00A755D2" w:rsidRDefault="00A755D2" w:rsidP="00A755D2">
      <w:pPr>
        <w:numPr>
          <w:ilvl w:val="0"/>
          <w:numId w:val="8"/>
        </w:numPr>
        <w:rPr>
          <w:rFonts w:ascii="Times New Roman" w:hAnsi="Times New Roman" w:cs="Times New Roman"/>
          <w:sz w:val="32"/>
        </w:rPr>
      </w:pPr>
      <w:r w:rsidRPr="00A755D2">
        <w:rPr>
          <w:rFonts w:ascii="Times New Roman" w:hAnsi="Times New Roman" w:cs="Times New Roman"/>
          <w:sz w:val="32"/>
        </w:rPr>
        <w:t>VA is requiring centralized processing of all affected herbicide claims based on Vietnam era service</w:t>
      </w:r>
    </w:p>
    <w:p w14:paraId="3B18C26F" w14:textId="77777777" w:rsidR="00A755D2" w:rsidRPr="00A755D2" w:rsidRDefault="00A755D2" w:rsidP="00A755D2">
      <w:pPr>
        <w:numPr>
          <w:ilvl w:val="0"/>
          <w:numId w:val="8"/>
        </w:numPr>
        <w:rPr>
          <w:rFonts w:ascii="Times New Roman" w:hAnsi="Times New Roman" w:cs="Times New Roman"/>
          <w:sz w:val="32"/>
        </w:rPr>
      </w:pPr>
      <w:r w:rsidRPr="00A755D2">
        <w:rPr>
          <w:rFonts w:ascii="Times New Roman" w:hAnsi="Times New Roman" w:cs="Times New Roman"/>
          <w:sz w:val="32"/>
        </w:rPr>
        <w:t>Centralized processing teams will analyze, research, and document a Veteran’s service in the RVN which includes:</w:t>
      </w:r>
    </w:p>
    <w:p w14:paraId="3FE7E9F3" w14:textId="77777777" w:rsidR="00A755D2" w:rsidRPr="00A755D2" w:rsidRDefault="00A755D2" w:rsidP="00A755D2">
      <w:pPr>
        <w:numPr>
          <w:ilvl w:val="1"/>
          <w:numId w:val="8"/>
        </w:numPr>
        <w:rPr>
          <w:rFonts w:ascii="Times New Roman" w:hAnsi="Times New Roman" w:cs="Times New Roman"/>
          <w:sz w:val="32"/>
        </w:rPr>
      </w:pPr>
      <w:r w:rsidRPr="00A755D2">
        <w:rPr>
          <w:rFonts w:ascii="Times New Roman" w:hAnsi="Times New Roman" w:cs="Times New Roman"/>
          <w:sz w:val="32"/>
        </w:rPr>
        <w:t>centralized processing for determining the category of RVN service</w:t>
      </w:r>
    </w:p>
    <w:p w14:paraId="3F06F003" w14:textId="77777777" w:rsidR="00A755D2" w:rsidRPr="00A755D2" w:rsidRDefault="00A755D2" w:rsidP="00A755D2">
      <w:pPr>
        <w:numPr>
          <w:ilvl w:val="1"/>
          <w:numId w:val="8"/>
        </w:numPr>
        <w:rPr>
          <w:rFonts w:ascii="Times New Roman" w:hAnsi="Times New Roman" w:cs="Times New Roman"/>
          <w:sz w:val="32"/>
        </w:rPr>
      </w:pPr>
      <w:r w:rsidRPr="00A755D2">
        <w:rPr>
          <w:rFonts w:ascii="Times New Roman" w:hAnsi="Times New Roman" w:cs="Times New Roman"/>
          <w:sz w:val="32"/>
        </w:rPr>
        <w:t>creation of the Records Research Specialists Team to conduct additional research of complex cases</w:t>
      </w:r>
    </w:p>
    <w:p w14:paraId="083269AD" w14:textId="77777777" w:rsidR="00A755D2" w:rsidRPr="00A755D2" w:rsidRDefault="00A755D2" w:rsidP="00A755D2">
      <w:pPr>
        <w:numPr>
          <w:ilvl w:val="0"/>
          <w:numId w:val="8"/>
        </w:numPr>
        <w:rPr>
          <w:rFonts w:ascii="Times New Roman" w:hAnsi="Times New Roman" w:cs="Times New Roman"/>
          <w:sz w:val="32"/>
        </w:rPr>
      </w:pPr>
      <w:r w:rsidRPr="00A755D2">
        <w:rPr>
          <w:rFonts w:ascii="Times New Roman" w:hAnsi="Times New Roman" w:cs="Times New Roman"/>
          <w:sz w:val="32"/>
        </w:rPr>
        <w:t>Centralized processing teams will determine if the Veteran</w:t>
      </w:r>
    </w:p>
    <w:p w14:paraId="110CC95F" w14:textId="77777777" w:rsidR="00A755D2" w:rsidRPr="00A755D2" w:rsidRDefault="00A755D2" w:rsidP="00A755D2">
      <w:pPr>
        <w:numPr>
          <w:ilvl w:val="1"/>
          <w:numId w:val="8"/>
        </w:numPr>
        <w:rPr>
          <w:rFonts w:ascii="Times New Roman" w:hAnsi="Times New Roman" w:cs="Times New Roman"/>
          <w:sz w:val="32"/>
        </w:rPr>
      </w:pPr>
      <w:r w:rsidRPr="00A755D2">
        <w:rPr>
          <w:rFonts w:ascii="Times New Roman" w:hAnsi="Times New Roman" w:cs="Times New Roman"/>
          <w:sz w:val="32"/>
        </w:rPr>
        <w:t xml:space="preserve">had service in Korea or Thailand </w:t>
      </w:r>
    </w:p>
    <w:p w14:paraId="32960BD7" w14:textId="77777777" w:rsidR="00A755D2" w:rsidRPr="00A755D2" w:rsidRDefault="00A755D2" w:rsidP="00A755D2">
      <w:pPr>
        <w:numPr>
          <w:ilvl w:val="1"/>
          <w:numId w:val="8"/>
        </w:numPr>
        <w:rPr>
          <w:rFonts w:ascii="Times New Roman" w:hAnsi="Times New Roman" w:cs="Times New Roman"/>
          <w:sz w:val="32"/>
        </w:rPr>
      </w:pPr>
      <w:r w:rsidRPr="00A755D2">
        <w:rPr>
          <w:rFonts w:ascii="Times New Roman" w:hAnsi="Times New Roman" w:cs="Times New Roman"/>
          <w:sz w:val="32"/>
        </w:rPr>
        <w:lastRenderedPageBreak/>
        <w:t xml:space="preserve">had duty or visitation on land in the RVN </w:t>
      </w:r>
    </w:p>
    <w:p w14:paraId="41511823" w14:textId="77777777" w:rsidR="00A755D2" w:rsidRPr="00A755D2" w:rsidRDefault="00A755D2" w:rsidP="00A755D2">
      <w:pPr>
        <w:numPr>
          <w:ilvl w:val="1"/>
          <w:numId w:val="8"/>
        </w:numPr>
        <w:rPr>
          <w:rFonts w:ascii="Times New Roman" w:hAnsi="Times New Roman" w:cs="Times New Roman"/>
          <w:sz w:val="32"/>
        </w:rPr>
      </w:pPr>
      <w:r w:rsidRPr="00A755D2">
        <w:rPr>
          <w:rFonts w:ascii="Times New Roman" w:hAnsi="Times New Roman" w:cs="Times New Roman"/>
          <w:sz w:val="32"/>
        </w:rPr>
        <w:t xml:space="preserve">served on a ship that was in the </w:t>
      </w:r>
    </w:p>
    <w:p w14:paraId="5F17D92B" w14:textId="77777777" w:rsidR="00A755D2" w:rsidRPr="00A755D2" w:rsidRDefault="00A755D2" w:rsidP="00A755D2">
      <w:pPr>
        <w:numPr>
          <w:ilvl w:val="2"/>
          <w:numId w:val="8"/>
        </w:numPr>
        <w:rPr>
          <w:rFonts w:ascii="Times New Roman" w:hAnsi="Times New Roman" w:cs="Times New Roman"/>
          <w:sz w:val="32"/>
        </w:rPr>
      </w:pPr>
      <w:r w:rsidRPr="00A755D2">
        <w:rPr>
          <w:rFonts w:ascii="Times New Roman" w:hAnsi="Times New Roman" w:cs="Times New Roman"/>
          <w:sz w:val="32"/>
        </w:rPr>
        <w:t xml:space="preserve">eligible offshore waters, to include visitation of a qualifying bay or harbor, or </w:t>
      </w:r>
    </w:p>
    <w:p w14:paraId="30F33A63" w14:textId="77777777" w:rsidR="00A755D2" w:rsidRPr="00A755D2" w:rsidRDefault="00A755D2" w:rsidP="00A755D2">
      <w:pPr>
        <w:numPr>
          <w:ilvl w:val="2"/>
          <w:numId w:val="8"/>
        </w:numPr>
        <w:rPr>
          <w:rFonts w:ascii="Times New Roman" w:hAnsi="Times New Roman" w:cs="Times New Roman"/>
          <w:sz w:val="32"/>
        </w:rPr>
      </w:pPr>
      <w:r w:rsidRPr="00A755D2">
        <w:rPr>
          <w:rFonts w:ascii="Times New Roman" w:hAnsi="Times New Roman" w:cs="Times New Roman"/>
          <w:sz w:val="32"/>
        </w:rPr>
        <w:t>inland waterways.</w:t>
      </w:r>
    </w:p>
    <w:p w14:paraId="7E13B3CA" w14:textId="77777777" w:rsidR="00A755D2" w:rsidRPr="00A755D2" w:rsidRDefault="00A755D2" w:rsidP="00A755D2">
      <w:pPr>
        <w:numPr>
          <w:ilvl w:val="0"/>
          <w:numId w:val="8"/>
        </w:numPr>
        <w:rPr>
          <w:rFonts w:ascii="Times New Roman" w:hAnsi="Times New Roman" w:cs="Times New Roman"/>
          <w:sz w:val="32"/>
        </w:rPr>
      </w:pPr>
      <w:r w:rsidRPr="00A755D2">
        <w:rPr>
          <w:rFonts w:ascii="Times New Roman" w:hAnsi="Times New Roman" w:cs="Times New Roman"/>
          <w:sz w:val="32"/>
        </w:rPr>
        <w:t>Centralized processing of rating and authorization activity for all claims impacted by the new law</w:t>
      </w:r>
    </w:p>
    <w:p w14:paraId="54E545B1" w14:textId="77777777" w:rsidR="00DD1FAA" w:rsidRPr="00816278" w:rsidRDefault="00DD1FAA" w:rsidP="00CC4E38">
      <w:pPr>
        <w:rPr>
          <w:rFonts w:ascii="Times New Roman" w:hAnsi="Times New Roman" w:cs="Times New Roman"/>
          <w:sz w:val="32"/>
        </w:rPr>
      </w:pPr>
    </w:p>
    <w:p w14:paraId="7AAF7422" w14:textId="77777777" w:rsidR="00DD1FAA" w:rsidRPr="00816278" w:rsidRDefault="00DD1FAA" w:rsidP="00CC4E38">
      <w:pPr>
        <w:rPr>
          <w:rFonts w:ascii="Times New Roman" w:hAnsi="Times New Roman" w:cs="Times New Roman"/>
          <w:sz w:val="32"/>
          <w:u w:val="single"/>
        </w:rPr>
      </w:pPr>
      <w:r w:rsidRPr="00816278">
        <w:rPr>
          <w:rFonts w:ascii="Times New Roman" w:hAnsi="Times New Roman" w:cs="Times New Roman"/>
          <w:sz w:val="32"/>
          <w:u w:val="single"/>
        </w:rPr>
        <w:t xml:space="preserve">Slide </w:t>
      </w:r>
      <w:r w:rsidR="005438B2" w:rsidRPr="00816278">
        <w:rPr>
          <w:rFonts w:ascii="Times New Roman" w:hAnsi="Times New Roman" w:cs="Times New Roman"/>
          <w:sz w:val="32"/>
          <w:u w:val="single"/>
        </w:rPr>
        <w:t>1</w:t>
      </w:r>
      <w:r w:rsidR="00A755D2" w:rsidRPr="00816278">
        <w:rPr>
          <w:rFonts w:ascii="Times New Roman" w:hAnsi="Times New Roman" w:cs="Times New Roman"/>
          <w:sz w:val="32"/>
          <w:u w:val="single"/>
        </w:rPr>
        <w:t>2</w:t>
      </w:r>
      <w:r w:rsidR="005438B2" w:rsidRPr="00816278">
        <w:rPr>
          <w:rFonts w:ascii="Times New Roman" w:hAnsi="Times New Roman" w:cs="Times New Roman"/>
          <w:sz w:val="32"/>
          <w:u w:val="single"/>
        </w:rPr>
        <w:t xml:space="preserve"> (Centralized Processing)</w:t>
      </w:r>
    </w:p>
    <w:p w14:paraId="38073E94" w14:textId="77777777" w:rsidR="005438B2" w:rsidRPr="00816278" w:rsidRDefault="005438B2" w:rsidP="005438B2">
      <w:pPr>
        <w:rPr>
          <w:rFonts w:ascii="Times New Roman" w:hAnsi="Times New Roman" w:cs="Times New Roman"/>
          <w:sz w:val="32"/>
        </w:rPr>
      </w:pPr>
      <w:r w:rsidRPr="00816278">
        <w:rPr>
          <w:rFonts w:ascii="Times New Roman" w:hAnsi="Times New Roman" w:cs="Times New Roman"/>
          <w:sz w:val="32"/>
        </w:rPr>
        <w:t>All Blue Water Claims will be processed at 8 designated regional offices</w:t>
      </w:r>
      <w:r w:rsidR="00704681">
        <w:rPr>
          <w:rFonts w:ascii="Times New Roman" w:hAnsi="Times New Roman" w:cs="Times New Roman"/>
          <w:sz w:val="32"/>
        </w:rPr>
        <w:t>. Those offices are</w:t>
      </w:r>
      <w:r w:rsidRPr="00816278">
        <w:rPr>
          <w:rFonts w:ascii="Times New Roman" w:hAnsi="Times New Roman" w:cs="Times New Roman"/>
          <w:sz w:val="32"/>
        </w:rPr>
        <w:t>:</w:t>
      </w:r>
    </w:p>
    <w:p w14:paraId="08F881EB" w14:textId="77777777" w:rsidR="005438B2" w:rsidRPr="00816278" w:rsidRDefault="005438B2" w:rsidP="005438B2">
      <w:pPr>
        <w:rPr>
          <w:rFonts w:ascii="Times New Roman" w:hAnsi="Times New Roman" w:cs="Times New Roman"/>
          <w:sz w:val="32"/>
        </w:rPr>
      </w:pPr>
    </w:p>
    <w:p w14:paraId="409CD928" w14:textId="77777777" w:rsidR="005438B2" w:rsidRPr="00816278" w:rsidRDefault="005438B2" w:rsidP="005438B2">
      <w:pPr>
        <w:rPr>
          <w:rFonts w:ascii="Times New Roman" w:hAnsi="Times New Roman" w:cs="Times New Roman"/>
          <w:sz w:val="32"/>
        </w:rPr>
      </w:pPr>
      <w:r w:rsidRPr="00816278">
        <w:rPr>
          <w:rFonts w:ascii="Times New Roman" w:hAnsi="Times New Roman" w:cs="Times New Roman"/>
          <w:sz w:val="32"/>
        </w:rPr>
        <w:t>St. Louis</w:t>
      </w:r>
    </w:p>
    <w:p w14:paraId="5C43A3A1" w14:textId="77777777" w:rsidR="005438B2" w:rsidRPr="00816278" w:rsidRDefault="005438B2" w:rsidP="005438B2">
      <w:pPr>
        <w:rPr>
          <w:rFonts w:ascii="Times New Roman" w:hAnsi="Times New Roman" w:cs="Times New Roman"/>
          <w:sz w:val="32"/>
        </w:rPr>
      </w:pPr>
      <w:r w:rsidRPr="00816278">
        <w:rPr>
          <w:rFonts w:ascii="Times New Roman" w:hAnsi="Times New Roman" w:cs="Times New Roman"/>
          <w:sz w:val="32"/>
        </w:rPr>
        <w:t>Cleveland</w:t>
      </w:r>
    </w:p>
    <w:p w14:paraId="29E937FF" w14:textId="77777777" w:rsidR="005438B2" w:rsidRPr="00816278" w:rsidRDefault="005438B2" w:rsidP="005438B2">
      <w:pPr>
        <w:rPr>
          <w:rFonts w:ascii="Times New Roman" w:hAnsi="Times New Roman" w:cs="Times New Roman"/>
          <w:sz w:val="32"/>
        </w:rPr>
      </w:pPr>
      <w:r w:rsidRPr="00816278">
        <w:rPr>
          <w:rFonts w:ascii="Times New Roman" w:hAnsi="Times New Roman" w:cs="Times New Roman"/>
          <w:sz w:val="32"/>
        </w:rPr>
        <w:t>Waco</w:t>
      </w:r>
    </w:p>
    <w:p w14:paraId="731609AD" w14:textId="77777777" w:rsidR="005438B2" w:rsidRPr="00816278" w:rsidRDefault="005438B2" w:rsidP="005438B2">
      <w:pPr>
        <w:rPr>
          <w:rFonts w:ascii="Times New Roman" w:hAnsi="Times New Roman" w:cs="Times New Roman"/>
          <w:sz w:val="32"/>
        </w:rPr>
      </w:pPr>
      <w:r w:rsidRPr="00816278">
        <w:rPr>
          <w:rFonts w:ascii="Times New Roman" w:hAnsi="Times New Roman" w:cs="Times New Roman"/>
          <w:sz w:val="32"/>
        </w:rPr>
        <w:t>St. Paul (VSC/PMC)</w:t>
      </w:r>
    </w:p>
    <w:p w14:paraId="2F7E1C19" w14:textId="77777777" w:rsidR="005438B2" w:rsidRPr="00816278" w:rsidRDefault="005438B2" w:rsidP="005438B2">
      <w:pPr>
        <w:rPr>
          <w:rFonts w:ascii="Times New Roman" w:hAnsi="Times New Roman" w:cs="Times New Roman"/>
          <w:sz w:val="32"/>
        </w:rPr>
      </w:pPr>
      <w:r w:rsidRPr="00816278">
        <w:rPr>
          <w:rFonts w:ascii="Times New Roman" w:hAnsi="Times New Roman" w:cs="Times New Roman"/>
          <w:sz w:val="32"/>
        </w:rPr>
        <w:t>Roanoke</w:t>
      </w:r>
    </w:p>
    <w:p w14:paraId="1408B471" w14:textId="77777777" w:rsidR="005438B2" w:rsidRPr="00816278" w:rsidRDefault="005438B2" w:rsidP="005438B2">
      <w:pPr>
        <w:rPr>
          <w:rFonts w:ascii="Times New Roman" w:hAnsi="Times New Roman" w:cs="Times New Roman"/>
          <w:sz w:val="32"/>
        </w:rPr>
      </w:pPr>
      <w:r w:rsidRPr="00816278">
        <w:rPr>
          <w:rFonts w:ascii="Times New Roman" w:hAnsi="Times New Roman" w:cs="Times New Roman"/>
          <w:sz w:val="32"/>
        </w:rPr>
        <w:t>St. Petersburg</w:t>
      </w:r>
    </w:p>
    <w:p w14:paraId="2CFEFFDC" w14:textId="77777777" w:rsidR="005438B2" w:rsidRPr="00816278" w:rsidRDefault="005438B2" w:rsidP="005438B2">
      <w:pPr>
        <w:rPr>
          <w:rFonts w:ascii="Times New Roman" w:hAnsi="Times New Roman" w:cs="Times New Roman"/>
          <w:sz w:val="32"/>
        </w:rPr>
      </w:pPr>
      <w:r w:rsidRPr="00816278">
        <w:rPr>
          <w:rFonts w:ascii="Times New Roman" w:hAnsi="Times New Roman" w:cs="Times New Roman"/>
          <w:sz w:val="32"/>
        </w:rPr>
        <w:t>Phoenix</w:t>
      </w:r>
    </w:p>
    <w:p w14:paraId="4DAA6639" w14:textId="77777777" w:rsidR="005438B2" w:rsidRPr="00816278" w:rsidRDefault="005438B2" w:rsidP="005438B2">
      <w:pPr>
        <w:rPr>
          <w:rFonts w:ascii="Times New Roman" w:hAnsi="Times New Roman" w:cs="Times New Roman"/>
          <w:sz w:val="32"/>
        </w:rPr>
      </w:pPr>
      <w:r w:rsidRPr="00816278">
        <w:rPr>
          <w:rFonts w:ascii="Times New Roman" w:hAnsi="Times New Roman" w:cs="Times New Roman"/>
          <w:sz w:val="32"/>
        </w:rPr>
        <w:t>Salt Lake City</w:t>
      </w:r>
    </w:p>
    <w:p w14:paraId="1D20879A" w14:textId="77777777" w:rsidR="005438B2" w:rsidRPr="00816278" w:rsidRDefault="005438B2" w:rsidP="005438B2">
      <w:pPr>
        <w:rPr>
          <w:rFonts w:ascii="Times New Roman" w:hAnsi="Times New Roman" w:cs="Times New Roman"/>
          <w:sz w:val="32"/>
        </w:rPr>
      </w:pPr>
    </w:p>
    <w:p w14:paraId="03FEF232" w14:textId="77777777" w:rsidR="005438B2" w:rsidRPr="00816278" w:rsidRDefault="005438B2" w:rsidP="005438B2">
      <w:pPr>
        <w:rPr>
          <w:rFonts w:ascii="Times New Roman" w:hAnsi="Times New Roman" w:cs="Times New Roman"/>
          <w:sz w:val="32"/>
        </w:rPr>
      </w:pPr>
      <w:r w:rsidRPr="00816278">
        <w:rPr>
          <w:rFonts w:ascii="Times New Roman" w:hAnsi="Times New Roman" w:cs="Times New Roman"/>
          <w:sz w:val="32"/>
        </w:rPr>
        <w:t>These claims will be routed to the Designated regional offices by NWQ</w:t>
      </w:r>
    </w:p>
    <w:p w14:paraId="669E1412" w14:textId="538349CA" w:rsidR="00DD1FAA" w:rsidRDefault="00DD1FAA" w:rsidP="00CC4E38">
      <w:pPr>
        <w:rPr>
          <w:rFonts w:ascii="Times New Roman" w:hAnsi="Times New Roman" w:cs="Times New Roman"/>
          <w:sz w:val="32"/>
        </w:rPr>
      </w:pPr>
    </w:p>
    <w:p w14:paraId="6EB29F46" w14:textId="77777777" w:rsidR="00A17918" w:rsidRPr="00816278" w:rsidRDefault="00A17918" w:rsidP="00CC4E38">
      <w:pPr>
        <w:rPr>
          <w:rFonts w:ascii="Times New Roman" w:hAnsi="Times New Roman" w:cs="Times New Roman"/>
          <w:sz w:val="32"/>
        </w:rPr>
      </w:pPr>
    </w:p>
    <w:p w14:paraId="5974E150" w14:textId="2667C9E2" w:rsidR="00DD1FAA" w:rsidRPr="00816278" w:rsidRDefault="00DD1FAA" w:rsidP="00CC4E38">
      <w:pPr>
        <w:rPr>
          <w:rFonts w:ascii="Times New Roman" w:hAnsi="Times New Roman" w:cs="Times New Roman"/>
          <w:sz w:val="32"/>
          <w:u w:val="single"/>
        </w:rPr>
      </w:pPr>
      <w:r w:rsidRPr="00816278">
        <w:rPr>
          <w:rFonts w:ascii="Times New Roman" w:hAnsi="Times New Roman" w:cs="Times New Roman"/>
          <w:sz w:val="32"/>
          <w:u w:val="single"/>
        </w:rPr>
        <w:lastRenderedPageBreak/>
        <w:t>Slide 1</w:t>
      </w:r>
      <w:r w:rsidR="00A755D2" w:rsidRPr="00816278">
        <w:rPr>
          <w:rFonts w:ascii="Times New Roman" w:hAnsi="Times New Roman" w:cs="Times New Roman"/>
          <w:sz w:val="32"/>
          <w:u w:val="single"/>
        </w:rPr>
        <w:t>3</w:t>
      </w:r>
      <w:r w:rsidR="00290983" w:rsidRPr="00816278">
        <w:rPr>
          <w:rFonts w:ascii="Times New Roman" w:hAnsi="Times New Roman" w:cs="Times New Roman"/>
          <w:sz w:val="32"/>
          <w:u w:val="single"/>
        </w:rPr>
        <w:t>-14</w:t>
      </w:r>
      <w:r w:rsidR="005438B2" w:rsidRPr="00816278">
        <w:rPr>
          <w:rFonts w:ascii="Times New Roman" w:hAnsi="Times New Roman" w:cs="Times New Roman"/>
          <w:sz w:val="32"/>
          <w:u w:val="single"/>
        </w:rPr>
        <w:t xml:space="preserve"> </w:t>
      </w:r>
      <w:r w:rsidR="00A17918">
        <w:rPr>
          <w:rFonts w:ascii="Times New Roman" w:hAnsi="Times New Roman" w:cs="Times New Roman"/>
          <w:sz w:val="32"/>
          <w:u w:val="single"/>
        </w:rPr>
        <w:t>(</w:t>
      </w:r>
      <w:r w:rsidR="005438B2" w:rsidRPr="00816278">
        <w:rPr>
          <w:rFonts w:ascii="Times New Roman" w:hAnsi="Times New Roman" w:cs="Times New Roman"/>
          <w:sz w:val="32"/>
          <w:u w:val="single"/>
        </w:rPr>
        <w:t>Herbicide</w:t>
      </w:r>
      <w:r w:rsidR="00A17918">
        <w:rPr>
          <w:rFonts w:ascii="Times New Roman" w:hAnsi="Times New Roman" w:cs="Times New Roman"/>
          <w:sz w:val="32"/>
          <w:u w:val="single"/>
        </w:rPr>
        <w:t xml:space="preserve"> </w:t>
      </w:r>
      <w:r w:rsidR="005438B2" w:rsidRPr="00816278">
        <w:rPr>
          <w:rFonts w:ascii="Times New Roman" w:hAnsi="Times New Roman" w:cs="Times New Roman"/>
          <w:sz w:val="32"/>
          <w:u w:val="single"/>
        </w:rPr>
        <w:t>Exposure: New Claim Received)</w:t>
      </w:r>
    </w:p>
    <w:p w14:paraId="73F48DAE" w14:textId="77777777" w:rsidR="00A755D2" w:rsidRPr="00A755D2" w:rsidRDefault="00A755D2" w:rsidP="00A755D2">
      <w:pPr>
        <w:rPr>
          <w:rFonts w:ascii="Times New Roman" w:hAnsi="Times New Roman" w:cs="Times New Roman"/>
          <w:sz w:val="32"/>
        </w:rPr>
      </w:pPr>
      <w:r w:rsidRPr="00A755D2">
        <w:rPr>
          <w:rFonts w:ascii="Times New Roman" w:hAnsi="Times New Roman" w:cs="Times New Roman"/>
          <w:sz w:val="32"/>
        </w:rPr>
        <w:t>Establish the appropriate EP (110, 010, 020, 030, 040</w:t>
      </w:r>
      <w:r w:rsidR="00704681">
        <w:rPr>
          <w:rFonts w:ascii="Times New Roman" w:hAnsi="Times New Roman" w:cs="Times New Roman"/>
          <w:sz w:val="32"/>
        </w:rPr>
        <w:t>, 140, 165</w:t>
      </w:r>
      <w:r w:rsidRPr="00A755D2">
        <w:rPr>
          <w:rFonts w:ascii="Times New Roman" w:hAnsi="Times New Roman" w:cs="Times New Roman"/>
          <w:sz w:val="32"/>
        </w:rPr>
        <w:t>) for all claimed condition(s)</w:t>
      </w:r>
    </w:p>
    <w:p w14:paraId="07EC4154" w14:textId="77777777" w:rsidR="00A755D2" w:rsidRPr="00A755D2" w:rsidRDefault="00A755D2" w:rsidP="00A755D2">
      <w:pPr>
        <w:rPr>
          <w:rFonts w:ascii="Times New Roman" w:hAnsi="Times New Roman" w:cs="Times New Roman"/>
          <w:sz w:val="32"/>
        </w:rPr>
      </w:pPr>
      <w:r w:rsidRPr="00A755D2">
        <w:rPr>
          <w:rFonts w:ascii="Times New Roman" w:hAnsi="Times New Roman" w:cs="Times New Roman"/>
          <w:sz w:val="32"/>
        </w:rPr>
        <w:t>(1) Does claim include AO issues?</w:t>
      </w:r>
    </w:p>
    <w:p w14:paraId="0D92E366" w14:textId="77777777" w:rsidR="00A755D2" w:rsidRPr="00A755D2" w:rsidRDefault="00A755D2" w:rsidP="00A755D2">
      <w:pPr>
        <w:rPr>
          <w:rFonts w:ascii="Times New Roman" w:hAnsi="Times New Roman" w:cs="Times New Roman"/>
          <w:sz w:val="32"/>
        </w:rPr>
      </w:pPr>
      <w:r w:rsidRPr="00A755D2">
        <w:rPr>
          <w:rFonts w:ascii="Times New Roman" w:hAnsi="Times New Roman" w:cs="Times New Roman"/>
          <w:sz w:val="32"/>
        </w:rPr>
        <w:t>(2) If no = process under normal claims procedures</w:t>
      </w:r>
    </w:p>
    <w:p w14:paraId="572A7627" w14:textId="77777777" w:rsidR="00A755D2" w:rsidRPr="00A755D2" w:rsidRDefault="00A755D2" w:rsidP="00A755D2">
      <w:pPr>
        <w:rPr>
          <w:rFonts w:ascii="Times New Roman" w:hAnsi="Times New Roman" w:cs="Times New Roman"/>
          <w:sz w:val="32"/>
        </w:rPr>
      </w:pPr>
      <w:r w:rsidRPr="00A755D2">
        <w:rPr>
          <w:rFonts w:ascii="Times New Roman" w:hAnsi="Times New Roman" w:cs="Times New Roman"/>
          <w:sz w:val="32"/>
        </w:rPr>
        <w:t xml:space="preserve">(3) Was criteria under </w:t>
      </w:r>
      <w:r w:rsidR="00704681">
        <w:rPr>
          <w:rFonts w:ascii="Times New Roman" w:hAnsi="Times New Roman" w:cs="Times New Roman"/>
          <w:sz w:val="32"/>
        </w:rPr>
        <w:t xml:space="preserve">38 CFR </w:t>
      </w:r>
      <w:r w:rsidRPr="00A755D2">
        <w:rPr>
          <w:rFonts w:ascii="Times New Roman" w:hAnsi="Times New Roman" w:cs="Times New Roman"/>
          <w:sz w:val="32"/>
        </w:rPr>
        <w:t>3.307(a)(6) met?</w:t>
      </w:r>
    </w:p>
    <w:p w14:paraId="1303958E" w14:textId="77777777" w:rsidR="00A755D2" w:rsidRPr="00A755D2" w:rsidRDefault="00A755D2" w:rsidP="00A755D2">
      <w:pPr>
        <w:rPr>
          <w:rFonts w:ascii="Times New Roman" w:hAnsi="Times New Roman" w:cs="Times New Roman"/>
          <w:sz w:val="32"/>
        </w:rPr>
      </w:pPr>
      <w:r w:rsidRPr="00A755D2">
        <w:rPr>
          <w:rFonts w:ascii="Times New Roman" w:hAnsi="Times New Roman" w:cs="Times New Roman"/>
          <w:sz w:val="32"/>
        </w:rPr>
        <w:t>(4) If no = process under non BWN procedures</w:t>
      </w:r>
    </w:p>
    <w:p w14:paraId="0B8D24D5" w14:textId="77777777" w:rsidR="00A755D2" w:rsidRPr="00A755D2" w:rsidRDefault="00A755D2" w:rsidP="00A755D2">
      <w:pPr>
        <w:rPr>
          <w:rFonts w:ascii="Times New Roman" w:hAnsi="Times New Roman" w:cs="Times New Roman"/>
          <w:sz w:val="32"/>
        </w:rPr>
      </w:pPr>
      <w:r w:rsidRPr="00A755D2">
        <w:rPr>
          <w:rFonts w:ascii="Times New Roman" w:hAnsi="Times New Roman" w:cs="Times New Roman"/>
          <w:sz w:val="32"/>
        </w:rPr>
        <w:t xml:space="preserve">(5) If yes = </w:t>
      </w:r>
      <w:r w:rsidR="00B2386A">
        <w:rPr>
          <w:rFonts w:ascii="Times New Roman" w:hAnsi="Times New Roman" w:cs="Times New Roman"/>
          <w:sz w:val="32"/>
        </w:rPr>
        <w:t xml:space="preserve">then check, </w:t>
      </w:r>
      <w:r w:rsidRPr="00A755D2">
        <w:rPr>
          <w:rFonts w:ascii="Times New Roman" w:hAnsi="Times New Roman" w:cs="Times New Roman"/>
          <w:sz w:val="32"/>
        </w:rPr>
        <w:t>were non- 38 CFR 3.309(e), conditions listed?</w:t>
      </w:r>
    </w:p>
    <w:p w14:paraId="40CAB45A" w14:textId="77777777" w:rsidR="007D6F18" w:rsidRPr="00816278" w:rsidRDefault="00A755D2" w:rsidP="00A755D2">
      <w:pPr>
        <w:rPr>
          <w:rFonts w:ascii="Times New Roman" w:hAnsi="Times New Roman" w:cs="Times New Roman"/>
          <w:sz w:val="32"/>
        </w:rPr>
      </w:pPr>
      <w:r w:rsidRPr="00816278">
        <w:rPr>
          <w:rFonts w:ascii="Times New Roman" w:hAnsi="Times New Roman" w:cs="Times New Roman"/>
          <w:sz w:val="32"/>
        </w:rPr>
        <w:t>(6) Is scientific</w:t>
      </w:r>
      <w:r w:rsidR="00B2386A">
        <w:rPr>
          <w:rFonts w:ascii="Times New Roman" w:hAnsi="Times New Roman" w:cs="Times New Roman"/>
          <w:sz w:val="32"/>
        </w:rPr>
        <w:t xml:space="preserve"> or</w:t>
      </w:r>
      <w:r w:rsidRPr="00816278">
        <w:rPr>
          <w:rFonts w:ascii="Times New Roman" w:hAnsi="Times New Roman" w:cs="Times New Roman"/>
          <w:sz w:val="32"/>
        </w:rPr>
        <w:t xml:space="preserve"> medical evidence available?</w:t>
      </w:r>
    </w:p>
    <w:p w14:paraId="3B75CAA5" w14:textId="77777777" w:rsidR="00290983" w:rsidRPr="00290983" w:rsidRDefault="00290983" w:rsidP="00290983">
      <w:pPr>
        <w:rPr>
          <w:rFonts w:ascii="Times New Roman" w:hAnsi="Times New Roman" w:cs="Times New Roman"/>
          <w:sz w:val="32"/>
        </w:rPr>
      </w:pPr>
      <w:r w:rsidRPr="00290983">
        <w:rPr>
          <w:rFonts w:ascii="Times New Roman" w:hAnsi="Times New Roman" w:cs="Times New Roman"/>
          <w:sz w:val="32"/>
        </w:rPr>
        <w:t>(7) If yes : Is DD214/ STR’s/OMPF of record? : (8) Add BWN AO Special Issue to all BWN Contentions.</w:t>
      </w:r>
    </w:p>
    <w:p w14:paraId="30EBEFA3" w14:textId="77777777" w:rsidR="00290983" w:rsidRPr="00290983" w:rsidRDefault="00290983" w:rsidP="00290983">
      <w:pPr>
        <w:rPr>
          <w:rFonts w:ascii="Times New Roman" w:hAnsi="Times New Roman" w:cs="Times New Roman"/>
          <w:sz w:val="32"/>
        </w:rPr>
      </w:pPr>
      <w:r w:rsidRPr="00290983">
        <w:rPr>
          <w:rFonts w:ascii="Times New Roman" w:hAnsi="Times New Roman" w:cs="Times New Roman"/>
          <w:sz w:val="32"/>
        </w:rPr>
        <w:t xml:space="preserve">(9) If no: Request  DD214/STR’s/OMPF : Add Secondary action required then Add BWN Special Issue  </w:t>
      </w:r>
    </w:p>
    <w:p w14:paraId="665515EE" w14:textId="77777777" w:rsidR="00290983" w:rsidRDefault="00290983" w:rsidP="00290983">
      <w:pPr>
        <w:rPr>
          <w:rFonts w:ascii="Times New Roman" w:hAnsi="Times New Roman" w:cs="Times New Roman"/>
          <w:sz w:val="32"/>
        </w:rPr>
      </w:pPr>
      <w:r w:rsidRPr="00290983">
        <w:rPr>
          <w:rFonts w:ascii="Times New Roman" w:hAnsi="Times New Roman" w:cs="Times New Roman"/>
          <w:sz w:val="32"/>
        </w:rPr>
        <w:t xml:space="preserve">(10) If no Medical evidence: Send </w:t>
      </w:r>
      <w:r w:rsidR="00B2386A">
        <w:rPr>
          <w:rFonts w:ascii="Times New Roman" w:hAnsi="Times New Roman" w:cs="Times New Roman"/>
          <w:sz w:val="32"/>
        </w:rPr>
        <w:t xml:space="preserve">development letter </w:t>
      </w:r>
      <w:r w:rsidRPr="00290983">
        <w:rPr>
          <w:rFonts w:ascii="Times New Roman" w:hAnsi="Times New Roman" w:cs="Times New Roman"/>
          <w:sz w:val="32"/>
        </w:rPr>
        <w:t>to Veteran</w:t>
      </w:r>
      <w:r w:rsidR="00B2386A">
        <w:rPr>
          <w:rFonts w:ascii="Times New Roman" w:hAnsi="Times New Roman" w:cs="Times New Roman"/>
          <w:sz w:val="32"/>
        </w:rPr>
        <w:t xml:space="preserve"> requesting scientific or medical evidence.  </w:t>
      </w:r>
    </w:p>
    <w:p w14:paraId="693743DE" w14:textId="77777777" w:rsidR="00B2386A" w:rsidRDefault="00B2386A" w:rsidP="00290983">
      <w:pPr>
        <w:rPr>
          <w:rFonts w:ascii="Times New Roman" w:hAnsi="Times New Roman" w:cs="Times New Roman"/>
          <w:sz w:val="32"/>
        </w:rPr>
      </w:pPr>
      <w:r>
        <w:rPr>
          <w:rFonts w:ascii="Times New Roman" w:hAnsi="Times New Roman" w:cs="Times New Roman"/>
          <w:sz w:val="32"/>
        </w:rPr>
        <w:t>(11) Was medical evidence received: no – process under non-BWN procedures</w:t>
      </w:r>
    </w:p>
    <w:p w14:paraId="083397E2" w14:textId="77777777" w:rsidR="00B2386A" w:rsidRPr="00290983" w:rsidRDefault="00B2386A" w:rsidP="00290983">
      <w:pPr>
        <w:rPr>
          <w:rFonts w:ascii="Times New Roman" w:hAnsi="Times New Roman" w:cs="Times New Roman"/>
          <w:sz w:val="32"/>
        </w:rPr>
      </w:pPr>
      <w:r>
        <w:rPr>
          <w:rFonts w:ascii="Times New Roman" w:hAnsi="Times New Roman" w:cs="Times New Roman"/>
          <w:sz w:val="32"/>
        </w:rPr>
        <w:t xml:space="preserve">(12) </w:t>
      </w:r>
      <w:r>
        <w:rPr>
          <w:rFonts w:ascii="Times New Roman" w:hAnsi="Times New Roman" w:cs="Times New Roman"/>
          <w:sz w:val="32"/>
        </w:rPr>
        <w:tab/>
        <w:t>yes Go to Step 7</w:t>
      </w:r>
    </w:p>
    <w:p w14:paraId="3E5672B9" w14:textId="77777777" w:rsidR="00290983" w:rsidRDefault="00290983" w:rsidP="00290983">
      <w:pPr>
        <w:rPr>
          <w:rFonts w:ascii="Times New Roman" w:hAnsi="Times New Roman" w:cs="Times New Roman"/>
          <w:sz w:val="32"/>
        </w:rPr>
      </w:pPr>
    </w:p>
    <w:p w14:paraId="157BF0D6" w14:textId="77777777" w:rsidR="00B2386A" w:rsidRPr="00290983" w:rsidRDefault="00B2386A" w:rsidP="00290983">
      <w:pPr>
        <w:rPr>
          <w:rFonts w:ascii="Times New Roman" w:hAnsi="Times New Roman" w:cs="Times New Roman"/>
          <w:sz w:val="32"/>
        </w:rPr>
      </w:pPr>
      <w:r>
        <w:rPr>
          <w:rFonts w:ascii="Times New Roman" w:hAnsi="Times New Roman" w:cs="Times New Roman"/>
          <w:sz w:val="32"/>
        </w:rPr>
        <w:t xml:space="preserve">Reminder:  Development to the Veteran for Medical evidence and </w:t>
      </w:r>
      <w:r w:rsidR="00CF6EBA">
        <w:rPr>
          <w:rFonts w:ascii="Times New Roman" w:hAnsi="Times New Roman" w:cs="Times New Roman"/>
          <w:sz w:val="32"/>
        </w:rPr>
        <w:t>request for STR’s/DD214/OMPF should occur simultaneously</w:t>
      </w:r>
    </w:p>
    <w:p w14:paraId="4ED2FC1C" w14:textId="77777777" w:rsidR="00290983" w:rsidRPr="00816278" w:rsidRDefault="00290983" w:rsidP="00290983">
      <w:pPr>
        <w:rPr>
          <w:rFonts w:ascii="Times New Roman" w:hAnsi="Times New Roman" w:cs="Times New Roman"/>
          <w:sz w:val="32"/>
        </w:rPr>
      </w:pPr>
      <w:r w:rsidRPr="00816278">
        <w:rPr>
          <w:rFonts w:ascii="Times New Roman" w:hAnsi="Times New Roman" w:cs="Times New Roman"/>
          <w:sz w:val="32"/>
        </w:rPr>
        <w:t xml:space="preserve">Note:  All claims that fit the criteria of BWN will be routed to the </w:t>
      </w:r>
      <w:r w:rsidR="007417F7" w:rsidRPr="00816278">
        <w:rPr>
          <w:rFonts w:ascii="Times New Roman" w:hAnsi="Times New Roman" w:cs="Times New Roman"/>
          <w:sz w:val="32"/>
        </w:rPr>
        <w:t>Centralized</w:t>
      </w:r>
      <w:r w:rsidRPr="00816278">
        <w:rPr>
          <w:rFonts w:ascii="Times New Roman" w:hAnsi="Times New Roman" w:cs="Times New Roman"/>
          <w:sz w:val="32"/>
        </w:rPr>
        <w:t xml:space="preserve"> processing RO’s by the NWQ.</w:t>
      </w:r>
    </w:p>
    <w:p w14:paraId="0F1EAB1F" w14:textId="76B899F2" w:rsidR="00F905E3" w:rsidRDefault="00F905E3" w:rsidP="00CC4E38">
      <w:pPr>
        <w:rPr>
          <w:rFonts w:ascii="Times New Roman" w:hAnsi="Times New Roman" w:cs="Times New Roman"/>
          <w:sz w:val="32"/>
        </w:rPr>
      </w:pPr>
    </w:p>
    <w:p w14:paraId="22F6D79F" w14:textId="77777777" w:rsidR="00A17918" w:rsidRDefault="00A17918" w:rsidP="00CC4E38">
      <w:pPr>
        <w:rPr>
          <w:rFonts w:ascii="Times New Roman" w:hAnsi="Times New Roman" w:cs="Times New Roman"/>
          <w:sz w:val="32"/>
        </w:rPr>
      </w:pPr>
      <w:bookmarkStart w:id="3" w:name="_GoBack"/>
      <w:bookmarkEnd w:id="3"/>
    </w:p>
    <w:p w14:paraId="26977BC9" w14:textId="77777777" w:rsidR="00A65C0F" w:rsidRPr="00A65C0F" w:rsidRDefault="00A65C0F" w:rsidP="00CC4E38">
      <w:pPr>
        <w:rPr>
          <w:rFonts w:ascii="Times New Roman" w:hAnsi="Times New Roman" w:cs="Times New Roman"/>
          <w:sz w:val="32"/>
          <w:u w:val="single"/>
        </w:rPr>
      </w:pPr>
      <w:r w:rsidRPr="00A65C0F">
        <w:rPr>
          <w:rFonts w:ascii="Times New Roman" w:hAnsi="Times New Roman" w:cs="Times New Roman"/>
          <w:sz w:val="32"/>
          <w:u w:val="single"/>
        </w:rPr>
        <w:lastRenderedPageBreak/>
        <w:t>Slide 15 Herbicide Exposure: Supplemental Claims</w:t>
      </w:r>
    </w:p>
    <w:p w14:paraId="1C74985A" w14:textId="77777777" w:rsidR="00A65C0F" w:rsidRPr="00A65C0F" w:rsidRDefault="00A65C0F" w:rsidP="00A65C0F">
      <w:pPr>
        <w:rPr>
          <w:rFonts w:ascii="Times New Roman" w:hAnsi="Times New Roman" w:cs="Times New Roman"/>
          <w:sz w:val="32"/>
        </w:rPr>
      </w:pPr>
      <w:r w:rsidRPr="00A65C0F">
        <w:rPr>
          <w:rFonts w:ascii="Times New Roman" w:hAnsi="Times New Roman" w:cs="Times New Roman"/>
          <w:sz w:val="32"/>
        </w:rPr>
        <w:t xml:space="preserve">Supplemental claims (Veteran or survivor) for service connection for a disease associated with herbicide exposure </w:t>
      </w:r>
    </w:p>
    <w:p w14:paraId="40056F5D" w14:textId="77777777" w:rsidR="00A65C0F" w:rsidRPr="00A65C0F" w:rsidRDefault="00A65C0F" w:rsidP="00A65C0F">
      <w:pPr>
        <w:pStyle w:val="ListParagraph"/>
        <w:numPr>
          <w:ilvl w:val="0"/>
          <w:numId w:val="9"/>
        </w:numPr>
        <w:rPr>
          <w:rFonts w:ascii="Times New Roman" w:hAnsi="Times New Roman" w:cs="Times New Roman"/>
          <w:sz w:val="32"/>
        </w:rPr>
      </w:pPr>
      <w:r w:rsidRPr="00A65C0F">
        <w:rPr>
          <w:rFonts w:ascii="Times New Roman" w:hAnsi="Times New Roman" w:cs="Times New Roman"/>
          <w:sz w:val="32"/>
        </w:rPr>
        <w:t>Establish EP 040 for all claimed condition(s).</w:t>
      </w:r>
    </w:p>
    <w:p w14:paraId="2B8E253E" w14:textId="77777777" w:rsidR="00A65C0F" w:rsidRPr="00A65C0F" w:rsidRDefault="00A65C0F" w:rsidP="00A65C0F">
      <w:pPr>
        <w:pStyle w:val="ListParagraph"/>
        <w:numPr>
          <w:ilvl w:val="0"/>
          <w:numId w:val="9"/>
        </w:numPr>
        <w:rPr>
          <w:rFonts w:ascii="Times New Roman" w:hAnsi="Times New Roman" w:cs="Times New Roman"/>
          <w:sz w:val="32"/>
        </w:rPr>
      </w:pPr>
      <w:r w:rsidRPr="00A65C0F">
        <w:rPr>
          <w:rFonts w:ascii="Times New Roman" w:hAnsi="Times New Roman" w:cs="Times New Roman"/>
          <w:sz w:val="32"/>
        </w:rPr>
        <w:t>Process flow for supplemental claims will follow the same path as non-supplemental claims</w:t>
      </w:r>
    </w:p>
    <w:p w14:paraId="073788EE" w14:textId="77777777" w:rsidR="00F905E3" w:rsidRPr="00816278" w:rsidRDefault="00F905E3" w:rsidP="00CC4E38">
      <w:pPr>
        <w:rPr>
          <w:rFonts w:ascii="Times New Roman" w:hAnsi="Times New Roman" w:cs="Times New Roman"/>
          <w:sz w:val="32"/>
        </w:rPr>
      </w:pPr>
    </w:p>
    <w:p w14:paraId="788CB7EC" w14:textId="77777777" w:rsidR="00B54704" w:rsidRPr="00816278" w:rsidRDefault="00B54704" w:rsidP="00CC4E38">
      <w:pPr>
        <w:rPr>
          <w:rFonts w:ascii="Times New Roman" w:hAnsi="Times New Roman" w:cs="Times New Roman"/>
          <w:sz w:val="32"/>
          <w:u w:val="single"/>
        </w:rPr>
      </w:pPr>
    </w:p>
    <w:p w14:paraId="4978D20B" w14:textId="77777777" w:rsidR="007D6F18" w:rsidRPr="00816278" w:rsidRDefault="007D6F18" w:rsidP="00CC4E38">
      <w:pPr>
        <w:rPr>
          <w:rFonts w:ascii="Times New Roman" w:hAnsi="Times New Roman" w:cs="Times New Roman"/>
          <w:sz w:val="32"/>
          <w:u w:val="single"/>
        </w:rPr>
      </w:pPr>
      <w:r w:rsidRPr="00816278">
        <w:rPr>
          <w:rFonts w:ascii="Times New Roman" w:hAnsi="Times New Roman" w:cs="Times New Roman"/>
          <w:sz w:val="32"/>
          <w:u w:val="single"/>
        </w:rPr>
        <w:t>Slide 1</w:t>
      </w:r>
      <w:r w:rsidR="00290983" w:rsidRPr="00816278">
        <w:rPr>
          <w:rFonts w:ascii="Times New Roman" w:hAnsi="Times New Roman" w:cs="Times New Roman"/>
          <w:sz w:val="32"/>
          <w:u w:val="single"/>
        </w:rPr>
        <w:t>5</w:t>
      </w:r>
      <w:r w:rsidR="00B54704" w:rsidRPr="00816278">
        <w:rPr>
          <w:rFonts w:ascii="Times New Roman" w:hAnsi="Times New Roman" w:cs="Times New Roman"/>
          <w:sz w:val="32"/>
          <w:u w:val="single"/>
        </w:rPr>
        <w:t xml:space="preserve"> (Herbicide Exposure: Supplemental Claims)</w:t>
      </w:r>
    </w:p>
    <w:p w14:paraId="3B1ECCD5" w14:textId="77777777" w:rsidR="00290983" w:rsidRPr="00290983" w:rsidRDefault="00290983" w:rsidP="00290983">
      <w:pPr>
        <w:rPr>
          <w:rFonts w:ascii="Times New Roman" w:hAnsi="Times New Roman" w:cs="Times New Roman"/>
          <w:sz w:val="32"/>
        </w:rPr>
      </w:pPr>
      <w:r w:rsidRPr="00290983">
        <w:rPr>
          <w:rFonts w:ascii="Times New Roman" w:hAnsi="Times New Roman" w:cs="Times New Roman"/>
          <w:sz w:val="32"/>
        </w:rPr>
        <w:t xml:space="preserve">Supplemental claims (Veteran or survivor) for service connection for a disease associated with herbicide exposure </w:t>
      </w:r>
    </w:p>
    <w:p w14:paraId="27A4E33E" w14:textId="77777777" w:rsidR="00290983" w:rsidRPr="00290983" w:rsidRDefault="00290983" w:rsidP="00290983">
      <w:pPr>
        <w:rPr>
          <w:rFonts w:ascii="Times New Roman" w:hAnsi="Times New Roman" w:cs="Times New Roman"/>
          <w:sz w:val="32"/>
        </w:rPr>
      </w:pPr>
      <w:r w:rsidRPr="00290983">
        <w:rPr>
          <w:rFonts w:ascii="Times New Roman" w:hAnsi="Times New Roman" w:cs="Times New Roman"/>
          <w:sz w:val="32"/>
        </w:rPr>
        <w:t>Establish EP 040 for all claimed condition(s).</w:t>
      </w:r>
    </w:p>
    <w:p w14:paraId="7BAE8F85" w14:textId="77777777" w:rsidR="00AD2515" w:rsidRPr="00816278" w:rsidRDefault="00290983" w:rsidP="00290983">
      <w:pPr>
        <w:rPr>
          <w:rFonts w:ascii="Times New Roman" w:hAnsi="Times New Roman" w:cs="Times New Roman"/>
          <w:sz w:val="32"/>
        </w:rPr>
      </w:pPr>
      <w:r w:rsidRPr="00816278">
        <w:rPr>
          <w:rFonts w:ascii="Times New Roman" w:hAnsi="Times New Roman" w:cs="Times New Roman"/>
          <w:sz w:val="32"/>
        </w:rPr>
        <w:t>Process flow for supplemental claims will follow the same path as non-supplemental claims</w:t>
      </w:r>
    </w:p>
    <w:p w14:paraId="72C4E4E3" w14:textId="77777777" w:rsidR="00AF6DF6" w:rsidRPr="00816278" w:rsidRDefault="00AF6DF6" w:rsidP="00290983">
      <w:pPr>
        <w:rPr>
          <w:rFonts w:ascii="Times New Roman" w:hAnsi="Times New Roman" w:cs="Times New Roman"/>
          <w:sz w:val="32"/>
        </w:rPr>
      </w:pPr>
    </w:p>
    <w:p w14:paraId="068DD72C" w14:textId="77777777" w:rsidR="00AF6DF6" w:rsidRPr="00816278" w:rsidRDefault="00AF6DF6" w:rsidP="00290983">
      <w:pPr>
        <w:rPr>
          <w:rFonts w:ascii="Times New Roman" w:hAnsi="Times New Roman" w:cs="Times New Roman"/>
          <w:sz w:val="32"/>
        </w:rPr>
      </w:pPr>
      <w:r w:rsidRPr="00816278">
        <w:rPr>
          <w:rFonts w:ascii="Times New Roman" w:hAnsi="Times New Roman" w:cs="Times New Roman"/>
          <w:sz w:val="32"/>
        </w:rPr>
        <w:t>Included with this training will be a process map that will lay out the</w:t>
      </w:r>
      <w:r w:rsidR="00D54E9A" w:rsidRPr="00816278">
        <w:rPr>
          <w:rFonts w:ascii="Times New Roman" w:hAnsi="Times New Roman" w:cs="Times New Roman"/>
          <w:sz w:val="32"/>
        </w:rPr>
        <w:t xml:space="preserve"> flow of claims that are associated with Agent Orange exposure.</w:t>
      </w:r>
    </w:p>
    <w:sectPr w:rsidR="00AF6DF6" w:rsidRPr="00816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643C"/>
    <w:multiLevelType w:val="hybridMultilevel"/>
    <w:tmpl w:val="5DC83924"/>
    <w:lvl w:ilvl="0" w:tplc="6C1E347A">
      <w:start w:val="1"/>
      <w:numFmt w:val="decimal"/>
      <w:lvlText w:val="(%1)"/>
      <w:lvlJc w:val="left"/>
      <w:pPr>
        <w:tabs>
          <w:tab w:val="num" w:pos="720"/>
        </w:tabs>
        <w:ind w:left="720" w:hanging="360"/>
      </w:pPr>
    </w:lvl>
    <w:lvl w:ilvl="1" w:tplc="7A4077F8" w:tentative="1">
      <w:start w:val="1"/>
      <w:numFmt w:val="decimal"/>
      <w:lvlText w:val="(%2)"/>
      <w:lvlJc w:val="left"/>
      <w:pPr>
        <w:tabs>
          <w:tab w:val="num" w:pos="1440"/>
        </w:tabs>
        <w:ind w:left="1440" w:hanging="360"/>
      </w:pPr>
    </w:lvl>
    <w:lvl w:ilvl="2" w:tplc="0B18EB06" w:tentative="1">
      <w:start w:val="1"/>
      <w:numFmt w:val="decimal"/>
      <w:lvlText w:val="(%3)"/>
      <w:lvlJc w:val="left"/>
      <w:pPr>
        <w:tabs>
          <w:tab w:val="num" w:pos="2160"/>
        </w:tabs>
        <w:ind w:left="2160" w:hanging="360"/>
      </w:pPr>
    </w:lvl>
    <w:lvl w:ilvl="3" w:tplc="E6ACF804" w:tentative="1">
      <w:start w:val="1"/>
      <w:numFmt w:val="decimal"/>
      <w:lvlText w:val="(%4)"/>
      <w:lvlJc w:val="left"/>
      <w:pPr>
        <w:tabs>
          <w:tab w:val="num" w:pos="2880"/>
        </w:tabs>
        <w:ind w:left="2880" w:hanging="360"/>
      </w:pPr>
    </w:lvl>
    <w:lvl w:ilvl="4" w:tplc="4712FC5C" w:tentative="1">
      <w:start w:val="1"/>
      <w:numFmt w:val="decimal"/>
      <w:lvlText w:val="(%5)"/>
      <w:lvlJc w:val="left"/>
      <w:pPr>
        <w:tabs>
          <w:tab w:val="num" w:pos="3600"/>
        </w:tabs>
        <w:ind w:left="3600" w:hanging="360"/>
      </w:pPr>
    </w:lvl>
    <w:lvl w:ilvl="5" w:tplc="21C6EBF4" w:tentative="1">
      <w:start w:val="1"/>
      <w:numFmt w:val="decimal"/>
      <w:lvlText w:val="(%6)"/>
      <w:lvlJc w:val="left"/>
      <w:pPr>
        <w:tabs>
          <w:tab w:val="num" w:pos="4320"/>
        </w:tabs>
        <w:ind w:left="4320" w:hanging="360"/>
      </w:pPr>
    </w:lvl>
    <w:lvl w:ilvl="6" w:tplc="7A92AED2" w:tentative="1">
      <w:start w:val="1"/>
      <w:numFmt w:val="decimal"/>
      <w:lvlText w:val="(%7)"/>
      <w:lvlJc w:val="left"/>
      <w:pPr>
        <w:tabs>
          <w:tab w:val="num" w:pos="5040"/>
        </w:tabs>
        <w:ind w:left="5040" w:hanging="360"/>
      </w:pPr>
    </w:lvl>
    <w:lvl w:ilvl="7" w:tplc="22D23310" w:tentative="1">
      <w:start w:val="1"/>
      <w:numFmt w:val="decimal"/>
      <w:lvlText w:val="(%8)"/>
      <w:lvlJc w:val="left"/>
      <w:pPr>
        <w:tabs>
          <w:tab w:val="num" w:pos="5760"/>
        </w:tabs>
        <w:ind w:left="5760" w:hanging="360"/>
      </w:pPr>
    </w:lvl>
    <w:lvl w:ilvl="8" w:tplc="3DB6E83A" w:tentative="1">
      <w:start w:val="1"/>
      <w:numFmt w:val="decimal"/>
      <w:lvlText w:val="(%9)"/>
      <w:lvlJc w:val="left"/>
      <w:pPr>
        <w:tabs>
          <w:tab w:val="num" w:pos="6480"/>
        </w:tabs>
        <w:ind w:left="6480" w:hanging="360"/>
      </w:pPr>
    </w:lvl>
  </w:abstractNum>
  <w:abstractNum w:abstractNumId="1" w15:restartNumberingAfterBreak="0">
    <w:nsid w:val="17FC6395"/>
    <w:multiLevelType w:val="hybridMultilevel"/>
    <w:tmpl w:val="35CA124A"/>
    <w:lvl w:ilvl="0" w:tplc="F3D0F40C">
      <w:start w:val="1"/>
      <w:numFmt w:val="bullet"/>
      <w:lvlText w:val="•"/>
      <w:lvlJc w:val="left"/>
      <w:pPr>
        <w:tabs>
          <w:tab w:val="num" w:pos="720"/>
        </w:tabs>
        <w:ind w:left="720" w:hanging="360"/>
      </w:pPr>
      <w:rPr>
        <w:rFonts w:ascii="Arial" w:hAnsi="Arial" w:hint="default"/>
      </w:rPr>
    </w:lvl>
    <w:lvl w:ilvl="1" w:tplc="2C46F0A4" w:tentative="1">
      <w:start w:val="1"/>
      <w:numFmt w:val="bullet"/>
      <w:lvlText w:val="•"/>
      <w:lvlJc w:val="left"/>
      <w:pPr>
        <w:tabs>
          <w:tab w:val="num" w:pos="1440"/>
        </w:tabs>
        <w:ind w:left="1440" w:hanging="360"/>
      </w:pPr>
      <w:rPr>
        <w:rFonts w:ascii="Arial" w:hAnsi="Arial" w:hint="default"/>
      </w:rPr>
    </w:lvl>
    <w:lvl w:ilvl="2" w:tplc="83D04A04" w:tentative="1">
      <w:start w:val="1"/>
      <w:numFmt w:val="bullet"/>
      <w:lvlText w:val="•"/>
      <w:lvlJc w:val="left"/>
      <w:pPr>
        <w:tabs>
          <w:tab w:val="num" w:pos="2160"/>
        </w:tabs>
        <w:ind w:left="2160" w:hanging="360"/>
      </w:pPr>
      <w:rPr>
        <w:rFonts w:ascii="Arial" w:hAnsi="Arial" w:hint="default"/>
      </w:rPr>
    </w:lvl>
    <w:lvl w:ilvl="3" w:tplc="04CEAB86" w:tentative="1">
      <w:start w:val="1"/>
      <w:numFmt w:val="bullet"/>
      <w:lvlText w:val="•"/>
      <w:lvlJc w:val="left"/>
      <w:pPr>
        <w:tabs>
          <w:tab w:val="num" w:pos="2880"/>
        </w:tabs>
        <w:ind w:left="2880" w:hanging="360"/>
      </w:pPr>
      <w:rPr>
        <w:rFonts w:ascii="Arial" w:hAnsi="Arial" w:hint="default"/>
      </w:rPr>
    </w:lvl>
    <w:lvl w:ilvl="4" w:tplc="A398AD9A" w:tentative="1">
      <w:start w:val="1"/>
      <w:numFmt w:val="bullet"/>
      <w:lvlText w:val="•"/>
      <w:lvlJc w:val="left"/>
      <w:pPr>
        <w:tabs>
          <w:tab w:val="num" w:pos="3600"/>
        </w:tabs>
        <w:ind w:left="3600" w:hanging="360"/>
      </w:pPr>
      <w:rPr>
        <w:rFonts w:ascii="Arial" w:hAnsi="Arial" w:hint="default"/>
      </w:rPr>
    </w:lvl>
    <w:lvl w:ilvl="5" w:tplc="94E48A9E" w:tentative="1">
      <w:start w:val="1"/>
      <w:numFmt w:val="bullet"/>
      <w:lvlText w:val="•"/>
      <w:lvlJc w:val="left"/>
      <w:pPr>
        <w:tabs>
          <w:tab w:val="num" w:pos="4320"/>
        </w:tabs>
        <w:ind w:left="4320" w:hanging="360"/>
      </w:pPr>
      <w:rPr>
        <w:rFonts w:ascii="Arial" w:hAnsi="Arial" w:hint="default"/>
      </w:rPr>
    </w:lvl>
    <w:lvl w:ilvl="6" w:tplc="485C6EC6" w:tentative="1">
      <w:start w:val="1"/>
      <w:numFmt w:val="bullet"/>
      <w:lvlText w:val="•"/>
      <w:lvlJc w:val="left"/>
      <w:pPr>
        <w:tabs>
          <w:tab w:val="num" w:pos="5040"/>
        </w:tabs>
        <w:ind w:left="5040" w:hanging="360"/>
      </w:pPr>
      <w:rPr>
        <w:rFonts w:ascii="Arial" w:hAnsi="Arial" w:hint="default"/>
      </w:rPr>
    </w:lvl>
    <w:lvl w:ilvl="7" w:tplc="F9F033E0" w:tentative="1">
      <w:start w:val="1"/>
      <w:numFmt w:val="bullet"/>
      <w:lvlText w:val="•"/>
      <w:lvlJc w:val="left"/>
      <w:pPr>
        <w:tabs>
          <w:tab w:val="num" w:pos="5760"/>
        </w:tabs>
        <w:ind w:left="5760" w:hanging="360"/>
      </w:pPr>
      <w:rPr>
        <w:rFonts w:ascii="Arial" w:hAnsi="Arial" w:hint="default"/>
      </w:rPr>
    </w:lvl>
    <w:lvl w:ilvl="8" w:tplc="8966A3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F6600B"/>
    <w:multiLevelType w:val="hybridMultilevel"/>
    <w:tmpl w:val="B5E4817E"/>
    <w:lvl w:ilvl="0" w:tplc="5A60B0FC">
      <w:start w:val="1"/>
      <w:numFmt w:val="bullet"/>
      <w:lvlText w:val="•"/>
      <w:lvlJc w:val="left"/>
      <w:pPr>
        <w:tabs>
          <w:tab w:val="num" w:pos="720"/>
        </w:tabs>
        <w:ind w:left="720" w:hanging="360"/>
      </w:pPr>
      <w:rPr>
        <w:rFonts w:ascii="Arial" w:hAnsi="Arial" w:hint="default"/>
      </w:rPr>
    </w:lvl>
    <w:lvl w:ilvl="1" w:tplc="6B10A1B6" w:tentative="1">
      <w:start w:val="1"/>
      <w:numFmt w:val="bullet"/>
      <w:lvlText w:val="•"/>
      <w:lvlJc w:val="left"/>
      <w:pPr>
        <w:tabs>
          <w:tab w:val="num" w:pos="1440"/>
        </w:tabs>
        <w:ind w:left="1440" w:hanging="360"/>
      </w:pPr>
      <w:rPr>
        <w:rFonts w:ascii="Arial" w:hAnsi="Arial" w:hint="default"/>
      </w:rPr>
    </w:lvl>
    <w:lvl w:ilvl="2" w:tplc="3C8C312A" w:tentative="1">
      <w:start w:val="1"/>
      <w:numFmt w:val="bullet"/>
      <w:lvlText w:val="•"/>
      <w:lvlJc w:val="left"/>
      <w:pPr>
        <w:tabs>
          <w:tab w:val="num" w:pos="2160"/>
        </w:tabs>
        <w:ind w:left="2160" w:hanging="360"/>
      </w:pPr>
      <w:rPr>
        <w:rFonts w:ascii="Arial" w:hAnsi="Arial" w:hint="default"/>
      </w:rPr>
    </w:lvl>
    <w:lvl w:ilvl="3" w:tplc="8C90DF02" w:tentative="1">
      <w:start w:val="1"/>
      <w:numFmt w:val="bullet"/>
      <w:lvlText w:val="•"/>
      <w:lvlJc w:val="left"/>
      <w:pPr>
        <w:tabs>
          <w:tab w:val="num" w:pos="2880"/>
        </w:tabs>
        <w:ind w:left="2880" w:hanging="360"/>
      </w:pPr>
      <w:rPr>
        <w:rFonts w:ascii="Arial" w:hAnsi="Arial" w:hint="default"/>
      </w:rPr>
    </w:lvl>
    <w:lvl w:ilvl="4" w:tplc="0964BDDE" w:tentative="1">
      <w:start w:val="1"/>
      <w:numFmt w:val="bullet"/>
      <w:lvlText w:val="•"/>
      <w:lvlJc w:val="left"/>
      <w:pPr>
        <w:tabs>
          <w:tab w:val="num" w:pos="3600"/>
        </w:tabs>
        <w:ind w:left="3600" w:hanging="360"/>
      </w:pPr>
      <w:rPr>
        <w:rFonts w:ascii="Arial" w:hAnsi="Arial" w:hint="default"/>
      </w:rPr>
    </w:lvl>
    <w:lvl w:ilvl="5" w:tplc="5EA08D0C" w:tentative="1">
      <w:start w:val="1"/>
      <w:numFmt w:val="bullet"/>
      <w:lvlText w:val="•"/>
      <w:lvlJc w:val="left"/>
      <w:pPr>
        <w:tabs>
          <w:tab w:val="num" w:pos="4320"/>
        </w:tabs>
        <w:ind w:left="4320" w:hanging="360"/>
      </w:pPr>
      <w:rPr>
        <w:rFonts w:ascii="Arial" w:hAnsi="Arial" w:hint="default"/>
      </w:rPr>
    </w:lvl>
    <w:lvl w:ilvl="6" w:tplc="80CCBAD0" w:tentative="1">
      <w:start w:val="1"/>
      <w:numFmt w:val="bullet"/>
      <w:lvlText w:val="•"/>
      <w:lvlJc w:val="left"/>
      <w:pPr>
        <w:tabs>
          <w:tab w:val="num" w:pos="5040"/>
        </w:tabs>
        <w:ind w:left="5040" w:hanging="360"/>
      </w:pPr>
      <w:rPr>
        <w:rFonts w:ascii="Arial" w:hAnsi="Arial" w:hint="default"/>
      </w:rPr>
    </w:lvl>
    <w:lvl w:ilvl="7" w:tplc="4FD4CDE4" w:tentative="1">
      <w:start w:val="1"/>
      <w:numFmt w:val="bullet"/>
      <w:lvlText w:val="•"/>
      <w:lvlJc w:val="left"/>
      <w:pPr>
        <w:tabs>
          <w:tab w:val="num" w:pos="5760"/>
        </w:tabs>
        <w:ind w:left="5760" w:hanging="360"/>
      </w:pPr>
      <w:rPr>
        <w:rFonts w:ascii="Arial" w:hAnsi="Arial" w:hint="default"/>
      </w:rPr>
    </w:lvl>
    <w:lvl w:ilvl="8" w:tplc="49A6D3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964C26"/>
    <w:multiLevelType w:val="hybridMultilevel"/>
    <w:tmpl w:val="1FE0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60B3C"/>
    <w:multiLevelType w:val="hybridMultilevel"/>
    <w:tmpl w:val="766EC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6253E"/>
    <w:multiLevelType w:val="hybridMultilevel"/>
    <w:tmpl w:val="0F6C154C"/>
    <w:lvl w:ilvl="0" w:tplc="8350FD08">
      <w:start w:val="1"/>
      <w:numFmt w:val="bullet"/>
      <w:lvlText w:val="•"/>
      <w:lvlJc w:val="left"/>
      <w:pPr>
        <w:tabs>
          <w:tab w:val="num" w:pos="720"/>
        </w:tabs>
        <w:ind w:left="720" w:hanging="360"/>
      </w:pPr>
      <w:rPr>
        <w:rFonts w:ascii="Arial" w:hAnsi="Arial" w:hint="default"/>
      </w:rPr>
    </w:lvl>
    <w:lvl w:ilvl="1" w:tplc="C874A92C">
      <w:start w:val="24"/>
      <w:numFmt w:val="bullet"/>
      <w:lvlText w:val="•"/>
      <w:lvlJc w:val="left"/>
      <w:pPr>
        <w:tabs>
          <w:tab w:val="num" w:pos="1440"/>
        </w:tabs>
        <w:ind w:left="1440" w:hanging="360"/>
      </w:pPr>
      <w:rPr>
        <w:rFonts w:ascii="Arial" w:hAnsi="Arial" w:hint="default"/>
      </w:rPr>
    </w:lvl>
    <w:lvl w:ilvl="2" w:tplc="7B04D6E6">
      <w:start w:val="24"/>
      <w:numFmt w:val="bullet"/>
      <w:lvlText w:val="•"/>
      <w:lvlJc w:val="left"/>
      <w:pPr>
        <w:tabs>
          <w:tab w:val="num" w:pos="2160"/>
        </w:tabs>
        <w:ind w:left="2160" w:hanging="360"/>
      </w:pPr>
      <w:rPr>
        <w:rFonts w:ascii="Arial" w:hAnsi="Arial" w:hint="default"/>
      </w:rPr>
    </w:lvl>
    <w:lvl w:ilvl="3" w:tplc="B942A08E" w:tentative="1">
      <w:start w:val="1"/>
      <w:numFmt w:val="bullet"/>
      <w:lvlText w:val="•"/>
      <w:lvlJc w:val="left"/>
      <w:pPr>
        <w:tabs>
          <w:tab w:val="num" w:pos="2880"/>
        </w:tabs>
        <w:ind w:left="2880" w:hanging="360"/>
      </w:pPr>
      <w:rPr>
        <w:rFonts w:ascii="Arial" w:hAnsi="Arial" w:hint="default"/>
      </w:rPr>
    </w:lvl>
    <w:lvl w:ilvl="4" w:tplc="DE64387C" w:tentative="1">
      <w:start w:val="1"/>
      <w:numFmt w:val="bullet"/>
      <w:lvlText w:val="•"/>
      <w:lvlJc w:val="left"/>
      <w:pPr>
        <w:tabs>
          <w:tab w:val="num" w:pos="3600"/>
        </w:tabs>
        <w:ind w:left="3600" w:hanging="360"/>
      </w:pPr>
      <w:rPr>
        <w:rFonts w:ascii="Arial" w:hAnsi="Arial" w:hint="default"/>
      </w:rPr>
    </w:lvl>
    <w:lvl w:ilvl="5" w:tplc="66F2E608" w:tentative="1">
      <w:start w:val="1"/>
      <w:numFmt w:val="bullet"/>
      <w:lvlText w:val="•"/>
      <w:lvlJc w:val="left"/>
      <w:pPr>
        <w:tabs>
          <w:tab w:val="num" w:pos="4320"/>
        </w:tabs>
        <w:ind w:left="4320" w:hanging="360"/>
      </w:pPr>
      <w:rPr>
        <w:rFonts w:ascii="Arial" w:hAnsi="Arial" w:hint="default"/>
      </w:rPr>
    </w:lvl>
    <w:lvl w:ilvl="6" w:tplc="485E9CE8" w:tentative="1">
      <w:start w:val="1"/>
      <w:numFmt w:val="bullet"/>
      <w:lvlText w:val="•"/>
      <w:lvlJc w:val="left"/>
      <w:pPr>
        <w:tabs>
          <w:tab w:val="num" w:pos="5040"/>
        </w:tabs>
        <w:ind w:left="5040" w:hanging="360"/>
      </w:pPr>
      <w:rPr>
        <w:rFonts w:ascii="Arial" w:hAnsi="Arial" w:hint="default"/>
      </w:rPr>
    </w:lvl>
    <w:lvl w:ilvl="7" w:tplc="DACC6216" w:tentative="1">
      <w:start w:val="1"/>
      <w:numFmt w:val="bullet"/>
      <w:lvlText w:val="•"/>
      <w:lvlJc w:val="left"/>
      <w:pPr>
        <w:tabs>
          <w:tab w:val="num" w:pos="5760"/>
        </w:tabs>
        <w:ind w:left="5760" w:hanging="360"/>
      </w:pPr>
      <w:rPr>
        <w:rFonts w:ascii="Arial" w:hAnsi="Arial" w:hint="default"/>
      </w:rPr>
    </w:lvl>
    <w:lvl w:ilvl="8" w:tplc="780871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CF75E8"/>
    <w:multiLevelType w:val="hybridMultilevel"/>
    <w:tmpl w:val="49EC6C56"/>
    <w:lvl w:ilvl="0" w:tplc="0C0CA464">
      <w:start w:val="1"/>
      <w:numFmt w:val="bullet"/>
      <w:lvlText w:val="‒"/>
      <w:lvlJc w:val="left"/>
      <w:pPr>
        <w:tabs>
          <w:tab w:val="num" w:pos="720"/>
        </w:tabs>
        <w:ind w:left="720" w:hanging="360"/>
      </w:pPr>
      <w:rPr>
        <w:rFonts w:ascii="Arial" w:hAnsi="Arial" w:hint="default"/>
      </w:rPr>
    </w:lvl>
    <w:lvl w:ilvl="1" w:tplc="7F8E11DE">
      <w:start w:val="1"/>
      <w:numFmt w:val="decimal"/>
      <w:lvlText w:val="%2."/>
      <w:lvlJc w:val="left"/>
      <w:pPr>
        <w:tabs>
          <w:tab w:val="num" w:pos="1440"/>
        </w:tabs>
        <w:ind w:left="1440" w:hanging="360"/>
      </w:pPr>
      <w:rPr>
        <w:rFonts w:asciiTheme="minorHAnsi" w:eastAsiaTheme="minorHAnsi" w:hAnsiTheme="minorHAnsi" w:cstheme="minorBidi"/>
      </w:rPr>
    </w:lvl>
    <w:lvl w:ilvl="2" w:tplc="716A561C" w:tentative="1">
      <w:start w:val="1"/>
      <w:numFmt w:val="bullet"/>
      <w:lvlText w:val="‒"/>
      <w:lvlJc w:val="left"/>
      <w:pPr>
        <w:tabs>
          <w:tab w:val="num" w:pos="2160"/>
        </w:tabs>
        <w:ind w:left="2160" w:hanging="360"/>
      </w:pPr>
      <w:rPr>
        <w:rFonts w:ascii="Arial" w:hAnsi="Arial" w:hint="default"/>
      </w:rPr>
    </w:lvl>
    <w:lvl w:ilvl="3" w:tplc="E5963E64" w:tentative="1">
      <w:start w:val="1"/>
      <w:numFmt w:val="bullet"/>
      <w:lvlText w:val="‒"/>
      <w:lvlJc w:val="left"/>
      <w:pPr>
        <w:tabs>
          <w:tab w:val="num" w:pos="2880"/>
        </w:tabs>
        <w:ind w:left="2880" w:hanging="360"/>
      </w:pPr>
      <w:rPr>
        <w:rFonts w:ascii="Arial" w:hAnsi="Arial" w:hint="default"/>
      </w:rPr>
    </w:lvl>
    <w:lvl w:ilvl="4" w:tplc="ECEA8DF6" w:tentative="1">
      <w:start w:val="1"/>
      <w:numFmt w:val="bullet"/>
      <w:lvlText w:val="‒"/>
      <w:lvlJc w:val="left"/>
      <w:pPr>
        <w:tabs>
          <w:tab w:val="num" w:pos="3600"/>
        </w:tabs>
        <w:ind w:left="3600" w:hanging="360"/>
      </w:pPr>
      <w:rPr>
        <w:rFonts w:ascii="Arial" w:hAnsi="Arial" w:hint="default"/>
      </w:rPr>
    </w:lvl>
    <w:lvl w:ilvl="5" w:tplc="BFC09AAA" w:tentative="1">
      <w:start w:val="1"/>
      <w:numFmt w:val="bullet"/>
      <w:lvlText w:val="‒"/>
      <w:lvlJc w:val="left"/>
      <w:pPr>
        <w:tabs>
          <w:tab w:val="num" w:pos="4320"/>
        </w:tabs>
        <w:ind w:left="4320" w:hanging="360"/>
      </w:pPr>
      <w:rPr>
        <w:rFonts w:ascii="Arial" w:hAnsi="Arial" w:hint="default"/>
      </w:rPr>
    </w:lvl>
    <w:lvl w:ilvl="6" w:tplc="136EBC92" w:tentative="1">
      <w:start w:val="1"/>
      <w:numFmt w:val="bullet"/>
      <w:lvlText w:val="‒"/>
      <w:lvlJc w:val="left"/>
      <w:pPr>
        <w:tabs>
          <w:tab w:val="num" w:pos="5040"/>
        </w:tabs>
        <w:ind w:left="5040" w:hanging="360"/>
      </w:pPr>
      <w:rPr>
        <w:rFonts w:ascii="Arial" w:hAnsi="Arial" w:hint="default"/>
      </w:rPr>
    </w:lvl>
    <w:lvl w:ilvl="7" w:tplc="9E384DF0" w:tentative="1">
      <w:start w:val="1"/>
      <w:numFmt w:val="bullet"/>
      <w:lvlText w:val="‒"/>
      <w:lvlJc w:val="left"/>
      <w:pPr>
        <w:tabs>
          <w:tab w:val="num" w:pos="5760"/>
        </w:tabs>
        <w:ind w:left="5760" w:hanging="360"/>
      </w:pPr>
      <w:rPr>
        <w:rFonts w:ascii="Arial" w:hAnsi="Arial" w:hint="default"/>
      </w:rPr>
    </w:lvl>
    <w:lvl w:ilvl="8" w:tplc="4470F8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992A19"/>
    <w:multiLevelType w:val="hybridMultilevel"/>
    <w:tmpl w:val="47BE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632F4"/>
    <w:multiLevelType w:val="hybridMultilevel"/>
    <w:tmpl w:val="15A6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0"/>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EB"/>
    <w:rsid w:val="000664C2"/>
    <w:rsid w:val="0006715B"/>
    <w:rsid w:val="000D374B"/>
    <w:rsid w:val="0011057C"/>
    <w:rsid w:val="00194B54"/>
    <w:rsid w:val="001D4AE8"/>
    <w:rsid w:val="001F1DBF"/>
    <w:rsid w:val="002158DA"/>
    <w:rsid w:val="002215C3"/>
    <w:rsid w:val="002769CB"/>
    <w:rsid w:val="00290983"/>
    <w:rsid w:val="002A09A9"/>
    <w:rsid w:val="002B73CF"/>
    <w:rsid w:val="002C1E44"/>
    <w:rsid w:val="00334107"/>
    <w:rsid w:val="00345395"/>
    <w:rsid w:val="00346736"/>
    <w:rsid w:val="0036777D"/>
    <w:rsid w:val="00370E25"/>
    <w:rsid w:val="003B1F20"/>
    <w:rsid w:val="003B3CED"/>
    <w:rsid w:val="003B6946"/>
    <w:rsid w:val="003E66E1"/>
    <w:rsid w:val="00405F31"/>
    <w:rsid w:val="00421743"/>
    <w:rsid w:val="00432DD9"/>
    <w:rsid w:val="00477AFF"/>
    <w:rsid w:val="00477D2B"/>
    <w:rsid w:val="004C7099"/>
    <w:rsid w:val="004D00EF"/>
    <w:rsid w:val="004F4EA6"/>
    <w:rsid w:val="00535C97"/>
    <w:rsid w:val="005438B2"/>
    <w:rsid w:val="00583080"/>
    <w:rsid w:val="005A0760"/>
    <w:rsid w:val="005C636E"/>
    <w:rsid w:val="005D38E4"/>
    <w:rsid w:val="00613D4C"/>
    <w:rsid w:val="00655268"/>
    <w:rsid w:val="006706F6"/>
    <w:rsid w:val="006F354E"/>
    <w:rsid w:val="00704681"/>
    <w:rsid w:val="00713069"/>
    <w:rsid w:val="00733367"/>
    <w:rsid w:val="007417F7"/>
    <w:rsid w:val="007C3422"/>
    <w:rsid w:val="007D6F18"/>
    <w:rsid w:val="007E5DC0"/>
    <w:rsid w:val="007E7794"/>
    <w:rsid w:val="00816278"/>
    <w:rsid w:val="00891EEB"/>
    <w:rsid w:val="009609F1"/>
    <w:rsid w:val="00987381"/>
    <w:rsid w:val="009B63FF"/>
    <w:rsid w:val="009C08BE"/>
    <w:rsid w:val="009D1F70"/>
    <w:rsid w:val="009E33BC"/>
    <w:rsid w:val="00A066D0"/>
    <w:rsid w:val="00A10E02"/>
    <w:rsid w:val="00A125B0"/>
    <w:rsid w:val="00A17918"/>
    <w:rsid w:val="00A337A1"/>
    <w:rsid w:val="00A524C3"/>
    <w:rsid w:val="00A65C0F"/>
    <w:rsid w:val="00A755D2"/>
    <w:rsid w:val="00AB06CD"/>
    <w:rsid w:val="00AC061C"/>
    <w:rsid w:val="00AD2515"/>
    <w:rsid w:val="00AD2821"/>
    <w:rsid w:val="00AF6DF6"/>
    <w:rsid w:val="00B2386A"/>
    <w:rsid w:val="00B54704"/>
    <w:rsid w:val="00BA52FB"/>
    <w:rsid w:val="00BF47D4"/>
    <w:rsid w:val="00C139F9"/>
    <w:rsid w:val="00C24693"/>
    <w:rsid w:val="00C447B3"/>
    <w:rsid w:val="00CA2FC2"/>
    <w:rsid w:val="00CC4E38"/>
    <w:rsid w:val="00CD0D1F"/>
    <w:rsid w:val="00CF6EBA"/>
    <w:rsid w:val="00D11403"/>
    <w:rsid w:val="00D214C9"/>
    <w:rsid w:val="00D26FF0"/>
    <w:rsid w:val="00D54E9A"/>
    <w:rsid w:val="00DB7A6B"/>
    <w:rsid w:val="00DD04C6"/>
    <w:rsid w:val="00DD1FAA"/>
    <w:rsid w:val="00DE2AEC"/>
    <w:rsid w:val="00E11248"/>
    <w:rsid w:val="00E253B9"/>
    <w:rsid w:val="00F36510"/>
    <w:rsid w:val="00F7281F"/>
    <w:rsid w:val="00F905E3"/>
    <w:rsid w:val="00F927C1"/>
    <w:rsid w:val="00FE0FDF"/>
    <w:rsid w:val="00FF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8432"/>
  <w15:chartTrackingRefBased/>
  <w15:docId w15:val="{0E1A8C8C-BBD0-4ACA-BB53-83A50836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38"/>
    <w:pPr>
      <w:ind w:left="720"/>
      <w:contextualSpacing/>
    </w:pPr>
  </w:style>
  <w:style w:type="paragraph" w:styleId="NormalWeb">
    <w:name w:val="Normal (Web)"/>
    <w:basedOn w:val="Normal"/>
    <w:uiPriority w:val="99"/>
    <w:semiHidden/>
    <w:unhideWhenUsed/>
    <w:rsid w:val="006552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6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39876">
      <w:bodyDiv w:val="1"/>
      <w:marLeft w:val="0"/>
      <w:marRight w:val="0"/>
      <w:marTop w:val="0"/>
      <w:marBottom w:val="0"/>
      <w:divBdr>
        <w:top w:val="none" w:sz="0" w:space="0" w:color="auto"/>
        <w:left w:val="none" w:sz="0" w:space="0" w:color="auto"/>
        <w:bottom w:val="none" w:sz="0" w:space="0" w:color="auto"/>
        <w:right w:val="none" w:sz="0" w:space="0" w:color="auto"/>
      </w:divBdr>
      <w:divsChild>
        <w:div w:id="748965099">
          <w:marLeft w:val="547"/>
          <w:marRight w:val="0"/>
          <w:marTop w:val="106"/>
          <w:marBottom w:val="0"/>
          <w:divBdr>
            <w:top w:val="none" w:sz="0" w:space="0" w:color="auto"/>
            <w:left w:val="none" w:sz="0" w:space="0" w:color="auto"/>
            <w:bottom w:val="none" w:sz="0" w:space="0" w:color="auto"/>
            <w:right w:val="none" w:sz="0" w:space="0" w:color="auto"/>
          </w:divBdr>
        </w:div>
        <w:div w:id="1243297684">
          <w:marLeft w:val="547"/>
          <w:marRight w:val="0"/>
          <w:marTop w:val="106"/>
          <w:marBottom w:val="0"/>
          <w:divBdr>
            <w:top w:val="none" w:sz="0" w:space="0" w:color="auto"/>
            <w:left w:val="none" w:sz="0" w:space="0" w:color="auto"/>
            <w:bottom w:val="none" w:sz="0" w:space="0" w:color="auto"/>
            <w:right w:val="none" w:sz="0" w:space="0" w:color="auto"/>
          </w:divBdr>
        </w:div>
        <w:div w:id="397676017">
          <w:marLeft w:val="1166"/>
          <w:marRight w:val="0"/>
          <w:marTop w:val="0"/>
          <w:marBottom w:val="0"/>
          <w:divBdr>
            <w:top w:val="none" w:sz="0" w:space="0" w:color="auto"/>
            <w:left w:val="none" w:sz="0" w:space="0" w:color="auto"/>
            <w:bottom w:val="none" w:sz="0" w:space="0" w:color="auto"/>
            <w:right w:val="none" w:sz="0" w:space="0" w:color="auto"/>
          </w:divBdr>
        </w:div>
        <w:div w:id="373162609">
          <w:marLeft w:val="1166"/>
          <w:marRight w:val="0"/>
          <w:marTop w:val="0"/>
          <w:marBottom w:val="0"/>
          <w:divBdr>
            <w:top w:val="none" w:sz="0" w:space="0" w:color="auto"/>
            <w:left w:val="none" w:sz="0" w:space="0" w:color="auto"/>
            <w:bottom w:val="none" w:sz="0" w:space="0" w:color="auto"/>
            <w:right w:val="none" w:sz="0" w:space="0" w:color="auto"/>
          </w:divBdr>
        </w:div>
        <w:div w:id="795756718">
          <w:marLeft w:val="547"/>
          <w:marRight w:val="0"/>
          <w:marTop w:val="106"/>
          <w:marBottom w:val="0"/>
          <w:divBdr>
            <w:top w:val="none" w:sz="0" w:space="0" w:color="auto"/>
            <w:left w:val="none" w:sz="0" w:space="0" w:color="auto"/>
            <w:bottom w:val="none" w:sz="0" w:space="0" w:color="auto"/>
            <w:right w:val="none" w:sz="0" w:space="0" w:color="auto"/>
          </w:divBdr>
        </w:div>
        <w:div w:id="1287782958">
          <w:marLeft w:val="1166"/>
          <w:marRight w:val="0"/>
          <w:marTop w:val="91"/>
          <w:marBottom w:val="0"/>
          <w:divBdr>
            <w:top w:val="none" w:sz="0" w:space="0" w:color="auto"/>
            <w:left w:val="none" w:sz="0" w:space="0" w:color="auto"/>
            <w:bottom w:val="none" w:sz="0" w:space="0" w:color="auto"/>
            <w:right w:val="none" w:sz="0" w:space="0" w:color="auto"/>
          </w:divBdr>
        </w:div>
        <w:div w:id="1154298974">
          <w:marLeft w:val="1166"/>
          <w:marRight w:val="0"/>
          <w:marTop w:val="91"/>
          <w:marBottom w:val="0"/>
          <w:divBdr>
            <w:top w:val="none" w:sz="0" w:space="0" w:color="auto"/>
            <w:left w:val="none" w:sz="0" w:space="0" w:color="auto"/>
            <w:bottom w:val="none" w:sz="0" w:space="0" w:color="auto"/>
            <w:right w:val="none" w:sz="0" w:space="0" w:color="auto"/>
          </w:divBdr>
        </w:div>
        <w:div w:id="1315724151">
          <w:marLeft w:val="1166"/>
          <w:marRight w:val="0"/>
          <w:marTop w:val="91"/>
          <w:marBottom w:val="0"/>
          <w:divBdr>
            <w:top w:val="none" w:sz="0" w:space="0" w:color="auto"/>
            <w:left w:val="none" w:sz="0" w:space="0" w:color="auto"/>
            <w:bottom w:val="none" w:sz="0" w:space="0" w:color="auto"/>
            <w:right w:val="none" w:sz="0" w:space="0" w:color="auto"/>
          </w:divBdr>
        </w:div>
        <w:div w:id="1120299374">
          <w:marLeft w:val="1800"/>
          <w:marRight w:val="0"/>
          <w:marTop w:val="96"/>
          <w:marBottom w:val="0"/>
          <w:divBdr>
            <w:top w:val="none" w:sz="0" w:space="0" w:color="auto"/>
            <w:left w:val="none" w:sz="0" w:space="0" w:color="auto"/>
            <w:bottom w:val="none" w:sz="0" w:space="0" w:color="auto"/>
            <w:right w:val="none" w:sz="0" w:space="0" w:color="auto"/>
          </w:divBdr>
        </w:div>
        <w:div w:id="1179008062">
          <w:marLeft w:val="1800"/>
          <w:marRight w:val="0"/>
          <w:marTop w:val="96"/>
          <w:marBottom w:val="0"/>
          <w:divBdr>
            <w:top w:val="none" w:sz="0" w:space="0" w:color="auto"/>
            <w:left w:val="none" w:sz="0" w:space="0" w:color="auto"/>
            <w:bottom w:val="none" w:sz="0" w:space="0" w:color="auto"/>
            <w:right w:val="none" w:sz="0" w:space="0" w:color="auto"/>
          </w:divBdr>
        </w:div>
        <w:div w:id="1486506163">
          <w:marLeft w:val="547"/>
          <w:marRight w:val="0"/>
          <w:marTop w:val="106"/>
          <w:marBottom w:val="0"/>
          <w:divBdr>
            <w:top w:val="none" w:sz="0" w:space="0" w:color="auto"/>
            <w:left w:val="none" w:sz="0" w:space="0" w:color="auto"/>
            <w:bottom w:val="none" w:sz="0" w:space="0" w:color="auto"/>
            <w:right w:val="none" w:sz="0" w:space="0" w:color="auto"/>
          </w:divBdr>
        </w:div>
      </w:divsChild>
    </w:div>
    <w:div w:id="498615835">
      <w:bodyDiv w:val="1"/>
      <w:marLeft w:val="0"/>
      <w:marRight w:val="0"/>
      <w:marTop w:val="0"/>
      <w:marBottom w:val="0"/>
      <w:divBdr>
        <w:top w:val="none" w:sz="0" w:space="0" w:color="auto"/>
        <w:left w:val="none" w:sz="0" w:space="0" w:color="auto"/>
        <w:bottom w:val="none" w:sz="0" w:space="0" w:color="auto"/>
        <w:right w:val="none" w:sz="0" w:space="0" w:color="auto"/>
      </w:divBdr>
      <w:divsChild>
        <w:div w:id="581451084">
          <w:marLeft w:val="360"/>
          <w:marRight w:val="0"/>
          <w:marTop w:val="0"/>
          <w:marBottom w:val="0"/>
          <w:divBdr>
            <w:top w:val="none" w:sz="0" w:space="0" w:color="auto"/>
            <w:left w:val="none" w:sz="0" w:space="0" w:color="auto"/>
            <w:bottom w:val="none" w:sz="0" w:space="0" w:color="auto"/>
            <w:right w:val="none" w:sz="0" w:space="0" w:color="auto"/>
          </w:divBdr>
        </w:div>
        <w:div w:id="230502424">
          <w:marLeft w:val="360"/>
          <w:marRight w:val="0"/>
          <w:marTop w:val="0"/>
          <w:marBottom w:val="0"/>
          <w:divBdr>
            <w:top w:val="none" w:sz="0" w:space="0" w:color="auto"/>
            <w:left w:val="none" w:sz="0" w:space="0" w:color="auto"/>
            <w:bottom w:val="none" w:sz="0" w:space="0" w:color="auto"/>
            <w:right w:val="none" w:sz="0" w:space="0" w:color="auto"/>
          </w:divBdr>
        </w:div>
        <w:div w:id="122890361">
          <w:marLeft w:val="360"/>
          <w:marRight w:val="0"/>
          <w:marTop w:val="0"/>
          <w:marBottom w:val="0"/>
          <w:divBdr>
            <w:top w:val="none" w:sz="0" w:space="0" w:color="auto"/>
            <w:left w:val="none" w:sz="0" w:space="0" w:color="auto"/>
            <w:bottom w:val="none" w:sz="0" w:space="0" w:color="auto"/>
            <w:right w:val="none" w:sz="0" w:space="0" w:color="auto"/>
          </w:divBdr>
        </w:div>
        <w:div w:id="982009141">
          <w:marLeft w:val="360"/>
          <w:marRight w:val="0"/>
          <w:marTop w:val="0"/>
          <w:marBottom w:val="0"/>
          <w:divBdr>
            <w:top w:val="none" w:sz="0" w:space="0" w:color="auto"/>
            <w:left w:val="none" w:sz="0" w:space="0" w:color="auto"/>
            <w:bottom w:val="none" w:sz="0" w:space="0" w:color="auto"/>
            <w:right w:val="none" w:sz="0" w:space="0" w:color="auto"/>
          </w:divBdr>
        </w:div>
        <w:div w:id="1642727688">
          <w:marLeft w:val="360"/>
          <w:marRight w:val="0"/>
          <w:marTop w:val="0"/>
          <w:marBottom w:val="0"/>
          <w:divBdr>
            <w:top w:val="none" w:sz="0" w:space="0" w:color="auto"/>
            <w:left w:val="none" w:sz="0" w:space="0" w:color="auto"/>
            <w:bottom w:val="none" w:sz="0" w:space="0" w:color="auto"/>
            <w:right w:val="none" w:sz="0" w:space="0" w:color="auto"/>
          </w:divBdr>
        </w:div>
        <w:div w:id="106564146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Blue Water Navy - Initial Training Script</vt:lpstr>
    </vt:vector>
  </TitlesOfParts>
  <Company>Veterans Benefits Administration</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Water Navy - Initial Training Script</dc:title>
  <dc:subject>VSR, AQRS, PCT VSR, Pre-D MSC, RVSR, RQRS, DRO, CA, MST</dc:subject>
  <dc:creator>Department of Veterans Affairs, Veterans Benefits Administration, Compensation Service, STAFF</dc:creator>
  <cp:keywords/>
  <dc:description/>
  <cp:lastModifiedBy>Kathy Poole</cp:lastModifiedBy>
  <cp:revision>3</cp:revision>
  <cp:lastPrinted>2019-11-25T19:33:00Z</cp:lastPrinted>
  <dcterms:created xsi:type="dcterms:W3CDTF">2019-12-05T19:34:00Z</dcterms:created>
  <dcterms:modified xsi:type="dcterms:W3CDTF">2019-12-06T20:40:00Z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