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B2F3" w14:textId="56D3BA85" w:rsidR="001432B7" w:rsidRPr="00226AE9" w:rsidRDefault="001432B7" w:rsidP="008B3CB4">
      <w:pPr>
        <w:spacing w:before="1500" w:after="200" w:line="276" w:lineRule="auto"/>
        <w:jc w:val="center"/>
        <w:rPr>
          <w:b/>
          <w:sz w:val="72"/>
          <w:szCs w:val="72"/>
        </w:rPr>
      </w:pPr>
      <w:bookmarkStart w:id="0" w:name="_Toc343007190"/>
      <w:bookmarkStart w:id="1" w:name="_GoBack"/>
      <w:bookmarkEnd w:id="1"/>
      <w:r w:rsidRPr="00226AE9">
        <w:rPr>
          <w:b/>
          <w:sz w:val="72"/>
          <w:szCs w:val="72"/>
        </w:rPr>
        <w:t xml:space="preserve">VBA </w:t>
      </w:r>
      <w:r w:rsidR="009B574F">
        <w:rPr>
          <w:b/>
          <w:sz w:val="72"/>
          <w:szCs w:val="72"/>
        </w:rPr>
        <w:t>Accounts Receivable</w:t>
      </w:r>
      <w:r w:rsidR="007E7FAB">
        <w:rPr>
          <w:b/>
          <w:sz w:val="72"/>
          <w:szCs w:val="72"/>
        </w:rPr>
        <w:t>s</w:t>
      </w:r>
      <w:r w:rsidR="009B574F">
        <w:rPr>
          <w:b/>
          <w:sz w:val="72"/>
          <w:szCs w:val="72"/>
        </w:rPr>
        <w:t xml:space="preserve"> </w:t>
      </w:r>
      <w:r w:rsidR="008B3CB4">
        <w:rPr>
          <w:b/>
          <w:sz w:val="72"/>
          <w:szCs w:val="72"/>
        </w:rPr>
        <w:t>Webinar Tr</w:t>
      </w:r>
      <w:r w:rsidRPr="00226AE9">
        <w:rPr>
          <w:b/>
          <w:sz w:val="72"/>
          <w:szCs w:val="72"/>
        </w:rPr>
        <w:t>aining</w:t>
      </w:r>
    </w:p>
    <w:p w14:paraId="5E869696" w14:textId="77777777" w:rsidR="00A16FC4" w:rsidRDefault="00A16FC4" w:rsidP="00226AE9">
      <w:pPr>
        <w:spacing w:after="200" w:line="276" w:lineRule="auto"/>
        <w:jc w:val="center"/>
        <w:rPr>
          <w:b/>
          <w:sz w:val="72"/>
          <w:szCs w:val="72"/>
        </w:rPr>
      </w:pPr>
      <w:r>
        <w:rPr>
          <w:b/>
          <w:sz w:val="72"/>
          <w:szCs w:val="72"/>
        </w:rPr>
        <w:t>Frequently Asked Questions</w:t>
      </w:r>
    </w:p>
    <w:p w14:paraId="1A3D76EB" w14:textId="6C4BD5ED" w:rsidR="00A31566" w:rsidRPr="00226AE9" w:rsidRDefault="00C90D47" w:rsidP="00226AE9">
      <w:pPr>
        <w:spacing w:after="200" w:line="276" w:lineRule="auto"/>
        <w:jc w:val="center"/>
        <w:rPr>
          <w:b/>
          <w:sz w:val="72"/>
          <w:szCs w:val="72"/>
        </w:rPr>
      </w:pPr>
      <w:r w:rsidRPr="00226AE9">
        <w:rPr>
          <w:b/>
          <w:sz w:val="72"/>
          <w:szCs w:val="72"/>
        </w:rPr>
        <w:t>Resource Guide</w:t>
      </w:r>
    </w:p>
    <w:p w14:paraId="0E3B13E7" w14:textId="3557E4FF" w:rsidR="00D246E9" w:rsidRPr="00D246E9" w:rsidRDefault="009B574F" w:rsidP="00D246E9">
      <w:pPr>
        <w:spacing w:after="1080" w:line="276" w:lineRule="auto"/>
        <w:jc w:val="center"/>
        <w:rPr>
          <w:b/>
          <w:sz w:val="72"/>
          <w:szCs w:val="72"/>
        </w:rPr>
      </w:pPr>
      <w:r>
        <w:rPr>
          <w:b/>
          <w:sz w:val="72"/>
          <w:szCs w:val="72"/>
        </w:rPr>
        <w:t xml:space="preserve">November </w:t>
      </w:r>
      <w:r w:rsidR="001432B7" w:rsidRPr="00226AE9">
        <w:rPr>
          <w:b/>
          <w:sz w:val="72"/>
          <w:szCs w:val="72"/>
        </w:rPr>
        <w:t>2017</w:t>
      </w:r>
    </w:p>
    <w:p w14:paraId="7D9C47F2" w14:textId="77777777" w:rsidR="00AF118C" w:rsidRPr="00FE1A6F" w:rsidRDefault="00AF118C" w:rsidP="00AF118C">
      <w:pPr>
        <w:rPr>
          <w:b/>
          <w:sz w:val="32"/>
          <w:szCs w:val="32"/>
        </w:rPr>
      </w:pPr>
      <w:r w:rsidRPr="00FE1A6F">
        <w:rPr>
          <w:b/>
          <w:sz w:val="32"/>
          <w:szCs w:val="32"/>
        </w:rPr>
        <w:t xml:space="preserve">Sponsored by: </w:t>
      </w:r>
    </w:p>
    <w:p w14:paraId="6F810659" w14:textId="77777777" w:rsidR="00AF118C" w:rsidRPr="00FE1A6F" w:rsidRDefault="00AF118C" w:rsidP="00AF118C">
      <w:pPr>
        <w:pStyle w:val="ListParagraph"/>
        <w:numPr>
          <w:ilvl w:val="0"/>
          <w:numId w:val="6"/>
        </w:numPr>
        <w:rPr>
          <w:sz w:val="24"/>
          <w:szCs w:val="24"/>
        </w:rPr>
      </w:pPr>
      <w:r w:rsidRPr="00FE1A6F">
        <w:rPr>
          <w:sz w:val="24"/>
          <w:szCs w:val="24"/>
        </w:rPr>
        <w:t>Veterans Benefits Administration (VBA)</w:t>
      </w:r>
    </w:p>
    <w:p w14:paraId="04FEB372" w14:textId="77777777" w:rsidR="00AF118C" w:rsidRPr="00FE1A6F" w:rsidRDefault="00AF118C" w:rsidP="00AF118C">
      <w:pPr>
        <w:pStyle w:val="ListParagraph"/>
        <w:numPr>
          <w:ilvl w:val="0"/>
          <w:numId w:val="6"/>
        </w:numPr>
        <w:rPr>
          <w:sz w:val="24"/>
          <w:szCs w:val="24"/>
        </w:rPr>
      </w:pPr>
      <w:r w:rsidRPr="00FE1A6F">
        <w:rPr>
          <w:sz w:val="24"/>
          <w:szCs w:val="24"/>
        </w:rPr>
        <w:t>Office of Resource Management (ORM)</w:t>
      </w:r>
    </w:p>
    <w:p w14:paraId="68BDA5AD" w14:textId="5DC7A4D0" w:rsidR="00AF118C" w:rsidRPr="00FE1A6F" w:rsidRDefault="00AF118C" w:rsidP="00AF118C">
      <w:pPr>
        <w:pStyle w:val="ListParagraph"/>
        <w:numPr>
          <w:ilvl w:val="0"/>
          <w:numId w:val="6"/>
        </w:numPr>
        <w:rPr>
          <w:sz w:val="24"/>
          <w:szCs w:val="24"/>
        </w:rPr>
      </w:pPr>
      <w:r w:rsidRPr="00FE1A6F">
        <w:rPr>
          <w:sz w:val="24"/>
          <w:szCs w:val="24"/>
        </w:rPr>
        <w:t>VBA Administrative and Loan Accounting Center (ALAC)</w:t>
      </w:r>
    </w:p>
    <w:bookmarkEnd w:id="0"/>
    <w:p w14:paraId="51F41980" w14:textId="24F95CC7" w:rsidR="001432B7" w:rsidRPr="0022786E" w:rsidRDefault="001432B7">
      <w:pPr>
        <w:spacing w:after="200" w:line="276" w:lineRule="auto"/>
        <w:rPr>
          <w:u w:val="single"/>
        </w:rPr>
      </w:pPr>
    </w:p>
    <w:p w14:paraId="6CCD8F25" w14:textId="77777777" w:rsidR="001432B7" w:rsidRPr="0022786E" w:rsidRDefault="001432B7">
      <w:pPr>
        <w:spacing w:after="200" w:line="276" w:lineRule="auto"/>
        <w:rPr>
          <w:u w:val="single"/>
        </w:rPr>
        <w:sectPr w:rsidR="001432B7" w:rsidRPr="0022786E" w:rsidSect="00397F3D">
          <w:footerReference w:type="default" r:id="rId13"/>
          <w:headerReference w:type="first" r:id="rId14"/>
          <w:pgSz w:w="12240" w:h="15840" w:code="1"/>
          <w:pgMar w:top="1886" w:right="1440" w:bottom="994" w:left="1440" w:header="634" w:footer="763" w:gutter="0"/>
          <w:pgNumType w:start="1"/>
          <w:cols w:space="720"/>
          <w:titlePg/>
          <w:docGrid w:linePitch="360"/>
        </w:sectPr>
      </w:pPr>
    </w:p>
    <w:p w14:paraId="6658BFE4" w14:textId="13A76CAA" w:rsidR="00DC6413" w:rsidRPr="00FE1A6F" w:rsidRDefault="002C1639">
      <w:pPr>
        <w:spacing w:after="200" w:line="276" w:lineRule="auto"/>
      </w:pPr>
      <w:r w:rsidRPr="00FE1A6F">
        <w:lastRenderedPageBreak/>
        <w:t xml:space="preserve">This </w:t>
      </w:r>
      <w:r w:rsidR="00C90D47" w:rsidRPr="00FE1A6F">
        <w:t xml:space="preserve">resource guide provides answers to questions asked during the </w:t>
      </w:r>
      <w:r w:rsidR="009B574F">
        <w:t>Accounts Receivable</w:t>
      </w:r>
      <w:r w:rsidR="007E7FAB">
        <w:t>s</w:t>
      </w:r>
      <w:r w:rsidR="009B574F">
        <w:t xml:space="preserve"> </w:t>
      </w:r>
      <w:r w:rsidR="008B3CB4">
        <w:t>Webinar Training</w:t>
      </w:r>
      <w:r w:rsidR="00997362" w:rsidRPr="00FE1A6F">
        <w:t xml:space="preserve"> delivered by </w:t>
      </w:r>
      <w:r w:rsidR="008B3CB4">
        <w:t>Administrative Accounting Division (AAD) from VBA Administrative and Loan Accounting Center (</w:t>
      </w:r>
      <w:r w:rsidR="00997362" w:rsidRPr="00FE1A6F">
        <w:t>ALAC) on</w:t>
      </w:r>
      <w:r w:rsidR="009B574F">
        <w:t xml:space="preserve"> November </w:t>
      </w:r>
      <w:r w:rsidR="00A5296E">
        <w:t>30,</w:t>
      </w:r>
      <w:r w:rsidR="008B3CB4">
        <w:t xml:space="preserve"> 2017.  </w:t>
      </w:r>
      <w:r w:rsidR="0042538F" w:rsidRPr="00FE1A6F">
        <w:t xml:space="preserve"> The questions are listed in the </w:t>
      </w:r>
      <w:r w:rsidR="008B3CB4">
        <w:t xml:space="preserve">asked in on the whiteboard during the </w:t>
      </w:r>
      <w:r w:rsidR="0042538F" w:rsidRPr="00FE1A6F">
        <w:t>training.</w:t>
      </w:r>
    </w:p>
    <w:p w14:paraId="23659CB3" w14:textId="07F8DEC9" w:rsidR="00296938" w:rsidRPr="00FE1A6F" w:rsidRDefault="00DC6413" w:rsidP="00FE1A6F">
      <w:pPr>
        <w:pStyle w:val="Heading2"/>
      </w:pPr>
      <w:bookmarkStart w:id="2" w:name="_Toc491943808"/>
      <w:r w:rsidRPr="00FE1A6F">
        <w:t>VBA Questions and Answers (Q&amp;A)</w:t>
      </w:r>
      <w:bookmarkEnd w:id="2"/>
    </w:p>
    <w:tbl>
      <w:tblPr>
        <w:tblStyle w:val="TableGrid"/>
        <w:tblW w:w="0" w:type="auto"/>
        <w:shd w:val="clear" w:color="auto" w:fill="DBE5F1" w:themeFill="accent1" w:themeFillTint="33"/>
        <w:tblLayout w:type="fixed"/>
        <w:tblLook w:val="04A0" w:firstRow="1" w:lastRow="0" w:firstColumn="1" w:lastColumn="0" w:noHBand="0" w:noVBand="1"/>
      </w:tblPr>
      <w:tblGrid>
        <w:gridCol w:w="4274"/>
        <w:gridCol w:w="5302"/>
      </w:tblGrid>
      <w:tr w:rsidR="00A35AE2" w:rsidRPr="00FE1A6F" w14:paraId="6C808382" w14:textId="77777777" w:rsidTr="00C43A5E">
        <w:trPr>
          <w:tblHeader/>
        </w:trPr>
        <w:tc>
          <w:tcPr>
            <w:tcW w:w="4274" w:type="dxa"/>
            <w:shd w:val="clear" w:color="auto" w:fill="DBE5F1" w:themeFill="accent1" w:themeFillTint="33"/>
          </w:tcPr>
          <w:p w14:paraId="1642EEB8" w14:textId="034320F8" w:rsidR="00A35AE2" w:rsidRPr="00AA78B2" w:rsidRDefault="00071A31" w:rsidP="0042538F">
            <w:pPr>
              <w:pStyle w:val="TableText"/>
              <w:jc w:val="center"/>
              <w:rPr>
                <w:b/>
              </w:rPr>
            </w:pPr>
            <w:r>
              <w:rPr>
                <w:b/>
              </w:rPr>
              <w:t>Accounts Receivable</w:t>
            </w:r>
            <w:r w:rsidR="00C96B1A">
              <w:rPr>
                <w:b/>
              </w:rPr>
              <w:t>s</w:t>
            </w:r>
            <w:r w:rsidR="0042538F" w:rsidRPr="00AA78B2">
              <w:rPr>
                <w:b/>
              </w:rPr>
              <w:t xml:space="preserve"> </w:t>
            </w:r>
            <w:r w:rsidR="00A35AE2" w:rsidRPr="00AA78B2">
              <w:rPr>
                <w:b/>
              </w:rPr>
              <w:t>Question</w:t>
            </w:r>
          </w:p>
        </w:tc>
        <w:tc>
          <w:tcPr>
            <w:tcW w:w="5302" w:type="dxa"/>
            <w:shd w:val="clear" w:color="auto" w:fill="DBE5F1" w:themeFill="accent1" w:themeFillTint="33"/>
          </w:tcPr>
          <w:p w14:paraId="20CCD127" w14:textId="41546D89" w:rsidR="00A35AE2" w:rsidRPr="00AA78B2" w:rsidRDefault="00071A31" w:rsidP="00120F03">
            <w:pPr>
              <w:pStyle w:val="TableText"/>
              <w:jc w:val="center"/>
              <w:rPr>
                <w:b/>
              </w:rPr>
            </w:pPr>
            <w:r>
              <w:rPr>
                <w:b/>
              </w:rPr>
              <w:t>Accounts Receivable</w:t>
            </w:r>
            <w:r w:rsidR="00C96B1A">
              <w:rPr>
                <w:b/>
              </w:rPr>
              <w:t>s</w:t>
            </w:r>
            <w:r w:rsidR="00120F03" w:rsidRPr="00AA78B2">
              <w:rPr>
                <w:b/>
              </w:rPr>
              <w:t xml:space="preserve"> </w:t>
            </w:r>
            <w:r w:rsidR="00A35AE2" w:rsidRPr="00AA78B2">
              <w:rPr>
                <w:b/>
              </w:rPr>
              <w:t>Answer</w:t>
            </w:r>
          </w:p>
        </w:tc>
      </w:tr>
      <w:tr w:rsidR="00A35AE2" w:rsidRPr="0022786E" w14:paraId="5D2BCC18" w14:textId="77777777" w:rsidTr="00C43A5E">
        <w:tc>
          <w:tcPr>
            <w:tcW w:w="4274" w:type="dxa"/>
            <w:shd w:val="clear" w:color="auto" w:fill="auto"/>
          </w:tcPr>
          <w:p w14:paraId="1941F0DD" w14:textId="5648F4BE" w:rsidR="00A35AE2" w:rsidRPr="00AA78B2" w:rsidRDefault="00687142" w:rsidP="00C43A5E">
            <w:pPr>
              <w:jc w:val="both"/>
            </w:pPr>
            <w:r w:rsidRPr="00F75A5A">
              <w:rPr>
                <w:rFonts w:ascii="Verdana" w:hAnsi="Verdana"/>
                <w:b/>
                <w:color w:val="000000"/>
                <w:sz w:val="19"/>
                <w:szCs w:val="19"/>
              </w:rPr>
              <w:t xml:space="preserve">1. </w:t>
            </w:r>
            <w:r w:rsidR="00AB73AD">
              <w:rPr>
                <w:rFonts w:ascii="Verdana" w:hAnsi="Verdana"/>
                <w:color w:val="000000"/>
                <w:sz w:val="19"/>
                <w:szCs w:val="19"/>
              </w:rPr>
              <w:t>H</w:t>
            </w:r>
            <w:r w:rsidR="00A5296E">
              <w:rPr>
                <w:rFonts w:ascii="Verdana" w:hAnsi="Verdana"/>
                <w:color w:val="000000"/>
                <w:sz w:val="19"/>
                <w:szCs w:val="19"/>
              </w:rPr>
              <w:t>ow do we determine the FUND?</w:t>
            </w:r>
          </w:p>
        </w:tc>
        <w:tc>
          <w:tcPr>
            <w:tcW w:w="5302" w:type="dxa"/>
            <w:shd w:val="clear" w:color="auto" w:fill="auto"/>
          </w:tcPr>
          <w:p w14:paraId="11C211A6" w14:textId="2AD3F2AB" w:rsidR="00A35AE2" w:rsidRPr="00C43A5E" w:rsidRDefault="00CD6807" w:rsidP="00C43A5E">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The appropriation used to establish the debt (BD) in CAATS will be the same as the appropriation that was used to make the payment.  For example, if a payment was processed from an obligation, the BD will be established with the same accounting string as the obligation.</w:t>
            </w:r>
          </w:p>
        </w:tc>
      </w:tr>
      <w:tr w:rsidR="004E35C9" w:rsidRPr="0022786E" w14:paraId="4F790C42" w14:textId="77777777" w:rsidTr="00C43A5E">
        <w:tc>
          <w:tcPr>
            <w:tcW w:w="4274" w:type="dxa"/>
            <w:shd w:val="clear" w:color="auto" w:fill="auto"/>
          </w:tcPr>
          <w:p w14:paraId="643DA2DA" w14:textId="43078B1D" w:rsidR="006761B3" w:rsidRPr="00AA78B2" w:rsidRDefault="00687142" w:rsidP="00C43A5E">
            <w:pPr>
              <w:jc w:val="both"/>
              <w:rPr>
                <w:u w:val="single"/>
              </w:rPr>
            </w:pPr>
            <w:r w:rsidRPr="00F75A5A">
              <w:rPr>
                <w:rFonts w:ascii="Verdana" w:hAnsi="Verdana"/>
                <w:b/>
                <w:color w:val="000000"/>
                <w:sz w:val="19"/>
                <w:szCs w:val="19"/>
              </w:rPr>
              <w:t xml:space="preserve">2. </w:t>
            </w:r>
            <w:r w:rsidR="00AB73AD">
              <w:rPr>
                <w:rFonts w:ascii="Verdana" w:hAnsi="Verdana"/>
                <w:color w:val="000000"/>
                <w:sz w:val="19"/>
                <w:szCs w:val="19"/>
              </w:rPr>
              <w:t>W</w:t>
            </w:r>
            <w:r w:rsidR="00A5296E">
              <w:rPr>
                <w:rFonts w:ascii="Verdana" w:hAnsi="Verdana"/>
                <w:color w:val="000000"/>
                <w:sz w:val="19"/>
                <w:szCs w:val="19"/>
              </w:rPr>
              <w:t>ill there be a document with description for each type of A/R debt we input into CAATS?</w:t>
            </w:r>
          </w:p>
        </w:tc>
        <w:tc>
          <w:tcPr>
            <w:tcW w:w="5302" w:type="dxa"/>
            <w:shd w:val="clear" w:color="auto" w:fill="auto"/>
          </w:tcPr>
          <w:p w14:paraId="2B9D6003" w14:textId="63299A60" w:rsidR="004E35C9" w:rsidRPr="00C43A5E" w:rsidRDefault="0024150B" w:rsidP="00C43A5E">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t>All debts successfully established in CAATS will interface with FMS and result in a BD transaction.  The ‘reason’ field in the CAATS AR module populates the description field on the FMS ARLT table.</w:t>
            </w:r>
          </w:p>
        </w:tc>
      </w:tr>
      <w:tr w:rsidR="00BB4638" w:rsidRPr="0022786E" w14:paraId="2F2C888D" w14:textId="77777777" w:rsidTr="00C43A5E">
        <w:tc>
          <w:tcPr>
            <w:tcW w:w="4274" w:type="dxa"/>
            <w:shd w:val="clear" w:color="auto" w:fill="auto"/>
          </w:tcPr>
          <w:p w14:paraId="0405EE5D" w14:textId="3A11373A" w:rsidR="00BB4638" w:rsidRPr="00AA78B2" w:rsidRDefault="00687142" w:rsidP="00C43A5E">
            <w:pPr>
              <w:jc w:val="both"/>
            </w:pPr>
            <w:r w:rsidRPr="00F75A5A">
              <w:rPr>
                <w:rFonts w:ascii="Verdana" w:hAnsi="Verdana"/>
                <w:b/>
                <w:sz w:val="19"/>
                <w:szCs w:val="19"/>
              </w:rPr>
              <w:t xml:space="preserve">3. </w:t>
            </w:r>
            <w:r w:rsidR="00A5296E">
              <w:t>If we are not a Fiduciary hub, but we are establishing a debt on Fiduciary, we do not check “yes”?</w:t>
            </w:r>
          </w:p>
        </w:tc>
        <w:tc>
          <w:tcPr>
            <w:tcW w:w="5302" w:type="dxa"/>
            <w:tcBorders>
              <w:bottom w:val="single" w:sz="4" w:space="0" w:color="auto"/>
            </w:tcBorders>
            <w:shd w:val="clear" w:color="auto" w:fill="auto"/>
          </w:tcPr>
          <w:p w14:paraId="6A4D3664" w14:textId="41807CEB" w:rsidR="000E7CED" w:rsidRPr="00C43A5E" w:rsidRDefault="00B62E01" w:rsidP="00C43A5E">
            <w:pPr>
              <w:spacing w:before="40" w:after="40"/>
              <w:jc w:val="both"/>
              <w:rPr>
                <w:rFonts w:ascii="Verdana" w:hAnsi="Verdana"/>
                <w:color w:val="4F81BD" w:themeColor="accent1"/>
                <w:sz w:val="17"/>
                <w:szCs w:val="17"/>
              </w:rPr>
            </w:pPr>
            <w:r w:rsidRPr="00C43A5E">
              <w:rPr>
                <w:rFonts w:ascii="Verdana" w:hAnsi="Verdana"/>
                <w:color w:val="4F81BD" w:themeColor="accent1"/>
                <w:sz w:val="17"/>
                <w:szCs w:val="17"/>
              </w:rPr>
              <w:t xml:space="preserve">ROs may use the Benefit Debt module to establish non-fiduciary benefit debts.  However, </w:t>
            </w:r>
            <w:hyperlink r:id="rId15" w:history="1">
              <w:r w:rsidRPr="00C43A5E">
                <w:rPr>
                  <w:rStyle w:val="Hyperlink"/>
                  <w:rFonts w:ascii="Verdana" w:hAnsi="Verdana"/>
                  <w:sz w:val="17"/>
                  <w:szCs w:val="17"/>
                </w:rPr>
                <w:t xml:space="preserve">Fiduciary Hubs </w:t>
              </w:r>
            </w:hyperlink>
            <w:r w:rsidRPr="00C43A5E">
              <w:rPr>
                <w:rFonts w:ascii="Verdana" w:hAnsi="Verdana"/>
                <w:color w:val="4F81BD" w:themeColor="accent1"/>
                <w:sz w:val="17"/>
                <w:szCs w:val="17"/>
              </w:rPr>
              <w:t>provide oversight of fiduciary conduct.  Upon a misuse of funds determination, the Fiduciary Hub’s Station Finance will initiate collection and establish the debt in CAATS.</w:t>
            </w:r>
          </w:p>
        </w:tc>
      </w:tr>
      <w:tr w:rsidR="00BB4638" w:rsidRPr="0022786E" w14:paraId="5785C2F4" w14:textId="77777777" w:rsidTr="00C43A5E">
        <w:tc>
          <w:tcPr>
            <w:tcW w:w="4274" w:type="dxa"/>
            <w:shd w:val="clear" w:color="auto" w:fill="auto"/>
          </w:tcPr>
          <w:p w14:paraId="1D964796" w14:textId="79451CD5" w:rsidR="00BB4638" w:rsidRPr="00AA78B2" w:rsidRDefault="00687142" w:rsidP="00C43A5E">
            <w:pPr>
              <w:jc w:val="both"/>
            </w:pPr>
            <w:r w:rsidRPr="00F75A5A">
              <w:rPr>
                <w:rFonts w:ascii="Verdana" w:hAnsi="Verdana"/>
                <w:b/>
                <w:color w:val="000000"/>
                <w:sz w:val="19"/>
                <w:szCs w:val="19"/>
              </w:rPr>
              <w:t xml:space="preserve">4. </w:t>
            </w:r>
            <w:r w:rsidR="00A5296E" w:rsidRPr="00D92434">
              <w:rPr>
                <w:rFonts w:ascii="Verdana" w:hAnsi="Verdana"/>
                <w:color w:val="000000"/>
                <w:sz w:val="19"/>
                <w:szCs w:val="19"/>
              </w:rPr>
              <w:t>Is</w:t>
            </w:r>
            <w:r w:rsidR="00A5296E">
              <w:rPr>
                <w:rFonts w:ascii="Verdana" w:hAnsi="Verdana"/>
                <w:color w:val="000000"/>
                <w:sz w:val="19"/>
                <w:szCs w:val="19"/>
              </w:rPr>
              <w:t xml:space="preserve"> DFAS the one that lets us know how much as employee owe for being absent for an extended period of time</w:t>
            </w:r>
          </w:p>
        </w:tc>
        <w:tc>
          <w:tcPr>
            <w:tcW w:w="5302" w:type="dxa"/>
            <w:shd w:val="clear" w:color="auto" w:fill="FFFFFF" w:themeFill="background1"/>
          </w:tcPr>
          <w:p w14:paraId="294502B6" w14:textId="459348E5" w:rsidR="00BB4638" w:rsidRPr="00C43A5E" w:rsidRDefault="003855DA" w:rsidP="00C43A5E">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DFAS establishes refund receivables (BD transaction in FMS) due from the employee for FEHBLWOP.  These receivables increase bi-weekly for the duration of time the employee is on LWOP. These amounts appear as Advanced Premiums on FMS RSD payroll report, Prepaid FEHB Premium Collections Report from DFAS/DCPS (FEPH). </w:t>
            </w:r>
            <w:r w:rsidRPr="00C43A5E">
              <w:rPr>
                <w:rFonts w:ascii="Verdana" w:hAnsi="Verdana" w:cs="Segoe UI"/>
                <w:i/>
                <w:color w:val="4F81BD" w:themeColor="accent1"/>
                <w:sz w:val="17"/>
                <w:szCs w:val="17"/>
              </w:rPr>
              <w:t xml:space="preserve"> See RSD report examples provided in webinar attachments. </w:t>
            </w:r>
          </w:p>
        </w:tc>
      </w:tr>
      <w:tr w:rsidR="004E35C9" w:rsidRPr="0022786E" w14:paraId="26F4004A" w14:textId="77777777" w:rsidTr="00C43A5E">
        <w:tc>
          <w:tcPr>
            <w:tcW w:w="4274" w:type="dxa"/>
            <w:shd w:val="clear" w:color="auto" w:fill="auto"/>
          </w:tcPr>
          <w:p w14:paraId="31C03EB5" w14:textId="7C13138E" w:rsidR="004E35C9" w:rsidRPr="00AA78B2" w:rsidRDefault="00687142" w:rsidP="00C43A5E">
            <w:pPr>
              <w:jc w:val="both"/>
            </w:pPr>
            <w:r w:rsidRPr="00F75A5A">
              <w:rPr>
                <w:rFonts w:ascii="Verdana" w:hAnsi="Verdana"/>
                <w:b/>
                <w:color w:val="000000"/>
                <w:sz w:val="19"/>
                <w:szCs w:val="19"/>
              </w:rPr>
              <w:t xml:space="preserve">5. </w:t>
            </w:r>
            <w:r w:rsidR="00A5296E">
              <w:rPr>
                <w:rFonts w:ascii="Verdana" w:hAnsi="Verdana"/>
                <w:color w:val="000000"/>
                <w:sz w:val="19"/>
                <w:szCs w:val="19"/>
              </w:rPr>
              <w:t>Does either one of the tables descri</w:t>
            </w:r>
            <w:r w:rsidR="00AB73AD">
              <w:rPr>
                <w:rFonts w:ascii="Verdana" w:hAnsi="Verdana"/>
                <w:color w:val="000000"/>
                <w:sz w:val="19"/>
                <w:szCs w:val="19"/>
              </w:rPr>
              <w:t>be how the debt was paid off. IE check EFT</w:t>
            </w:r>
            <w:r w:rsidR="00A5296E">
              <w:rPr>
                <w:rFonts w:ascii="Verdana" w:hAnsi="Verdana"/>
                <w:color w:val="000000"/>
                <w:sz w:val="19"/>
                <w:szCs w:val="19"/>
              </w:rPr>
              <w:t xml:space="preserve"> Top?</w:t>
            </w:r>
          </w:p>
        </w:tc>
        <w:tc>
          <w:tcPr>
            <w:tcW w:w="5302" w:type="dxa"/>
            <w:shd w:val="clear" w:color="auto" w:fill="FFFFFF" w:themeFill="background1"/>
          </w:tcPr>
          <w:p w14:paraId="37327D0C" w14:textId="49A4D5F9" w:rsidR="004E35C9" w:rsidRPr="00C43A5E" w:rsidRDefault="00E72964" w:rsidP="00C43A5E">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t>The ARHT provides summary information of all outstanding and recently closed accounts receivable documents.  The ARLT table gives a detailed disposition of the receivable.  DXRF (Document Cross – Reference Table) provides historical view of every transaction (CR/TR/WR/</w:t>
            </w:r>
            <w:r w:rsidR="00794455" w:rsidRPr="00C43A5E">
              <w:rPr>
                <w:rFonts w:ascii="Verdana" w:hAnsi="Verdana" w:cs="Segoe UI"/>
                <w:color w:val="4F81BD" w:themeColor="accent1"/>
                <w:sz w:val="17"/>
                <w:szCs w:val="17"/>
              </w:rPr>
              <w:t>etc.</w:t>
            </w:r>
            <w:r w:rsidRPr="00C43A5E">
              <w:rPr>
                <w:rFonts w:ascii="Verdana" w:hAnsi="Verdana" w:cs="Segoe UI"/>
                <w:color w:val="4F81BD" w:themeColor="accent1"/>
                <w:sz w:val="17"/>
                <w:szCs w:val="17"/>
              </w:rPr>
              <w:t>) associated with the BD (receivable) in FMS.  The combined use of all tables can assist in determining how the debt was resolved.</w:t>
            </w:r>
          </w:p>
        </w:tc>
      </w:tr>
      <w:tr w:rsidR="00B97E67" w:rsidRPr="0022786E" w14:paraId="72471A96" w14:textId="77777777" w:rsidTr="00C43A5E">
        <w:tc>
          <w:tcPr>
            <w:tcW w:w="4274" w:type="dxa"/>
            <w:shd w:val="clear" w:color="auto" w:fill="auto"/>
          </w:tcPr>
          <w:p w14:paraId="68B53703" w14:textId="5C791CF2" w:rsidR="00B97E67" w:rsidRPr="00AA78B2" w:rsidRDefault="00687142" w:rsidP="00C43A5E">
            <w:pPr>
              <w:jc w:val="both"/>
            </w:pPr>
            <w:r w:rsidRPr="00F75A5A">
              <w:rPr>
                <w:rFonts w:ascii="Verdana" w:hAnsi="Verdana"/>
                <w:b/>
                <w:color w:val="000000"/>
                <w:sz w:val="19"/>
                <w:szCs w:val="19"/>
              </w:rPr>
              <w:t xml:space="preserve">6. </w:t>
            </w:r>
            <w:r w:rsidR="00A5296E">
              <w:rPr>
                <w:rFonts w:ascii="Verdana" w:hAnsi="Verdana"/>
                <w:color w:val="000000"/>
                <w:sz w:val="19"/>
                <w:szCs w:val="19"/>
              </w:rPr>
              <w:t>If a school says they did not receive a payment can I check in FMS under one of these Codes - ARHT or ARLT?</w:t>
            </w:r>
          </w:p>
        </w:tc>
        <w:tc>
          <w:tcPr>
            <w:tcW w:w="5302" w:type="dxa"/>
            <w:shd w:val="clear" w:color="auto" w:fill="FFFFFF" w:themeFill="background1"/>
          </w:tcPr>
          <w:p w14:paraId="0B0C4F33" w14:textId="2524CB12" w:rsidR="00B97E67" w:rsidRPr="00C43A5E" w:rsidRDefault="003621E4" w:rsidP="00C43A5E">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The ARHT/ARLT tables will not provide information on whether a school received a payment.  A </w:t>
            </w:r>
            <w:hyperlink r:id="rId16" w:history="1">
              <w:r w:rsidRPr="00C43A5E">
                <w:rPr>
                  <w:rStyle w:val="Hyperlink"/>
                  <w:rFonts w:ascii="Verdana" w:hAnsi="Verdana" w:cs="Segoe UI"/>
                  <w:sz w:val="17"/>
                  <w:szCs w:val="17"/>
                </w:rPr>
                <w:t>check tracer</w:t>
              </w:r>
            </w:hyperlink>
            <w:r w:rsidRPr="00C43A5E">
              <w:rPr>
                <w:rFonts w:ascii="Verdana" w:hAnsi="Verdana" w:cs="Segoe UI"/>
                <w:color w:val="4F81BD" w:themeColor="accent1"/>
                <w:sz w:val="17"/>
                <w:szCs w:val="17"/>
              </w:rPr>
              <w:t xml:space="preserve"> maybe required to determine the status of a vendor payment.</w:t>
            </w:r>
          </w:p>
        </w:tc>
      </w:tr>
      <w:tr w:rsidR="001B5396" w:rsidRPr="0022786E" w14:paraId="6EF825F0" w14:textId="77777777" w:rsidTr="00C43A5E">
        <w:tc>
          <w:tcPr>
            <w:tcW w:w="4274" w:type="dxa"/>
            <w:shd w:val="clear" w:color="auto" w:fill="auto"/>
          </w:tcPr>
          <w:p w14:paraId="092890B4" w14:textId="51651851" w:rsidR="001B5396" w:rsidRPr="00AA78B2" w:rsidRDefault="00687142" w:rsidP="00C43A5E">
            <w:pPr>
              <w:jc w:val="both"/>
            </w:pPr>
            <w:r w:rsidRPr="00F75A5A">
              <w:rPr>
                <w:rFonts w:ascii="Verdana" w:hAnsi="Verdana"/>
                <w:b/>
                <w:color w:val="000000"/>
                <w:sz w:val="19"/>
                <w:szCs w:val="19"/>
              </w:rPr>
              <w:t xml:space="preserve">7. </w:t>
            </w:r>
            <w:r w:rsidR="00A5296E">
              <w:rPr>
                <w:rFonts w:ascii="Verdana" w:hAnsi="Verdana"/>
                <w:color w:val="000000"/>
                <w:sz w:val="19"/>
                <w:szCs w:val="19"/>
              </w:rPr>
              <w:t>In FMS, is it possible to tell if the BD was already referred to TOP?</w:t>
            </w:r>
          </w:p>
        </w:tc>
        <w:tc>
          <w:tcPr>
            <w:tcW w:w="5302" w:type="dxa"/>
            <w:shd w:val="clear" w:color="auto" w:fill="auto"/>
          </w:tcPr>
          <w:p w14:paraId="52CC9400" w14:textId="3B45939D" w:rsidR="003621E4" w:rsidRPr="00C43A5E" w:rsidRDefault="003621E4">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t>TOP is a centralized offset program externally administered by the US Treasury’ Debt Management Center, used by all federal and some state agencies to collect delinquent debts.  There is no interface relat</w:t>
            </w:r>
            <w:r w:rsidR="00794455" w:rsidRPr="00C43A5E">
              <w:rPr>
                <w:rFonts w:ascii="Verdana" w:hAnsi="Verdana" w:cs="Segoe UI"/>
                <w:color w:val="4F81BD" w:themeColor="accent1"/>
                <w:sz w:val="17"/>
                <w:szCs w:val="17"/>
              </w:rPr>
              <w:t xml:space="preserve">ionship between FMS and the </w:t>
            </w:r>
            <w:r w:rsidRPr="00C43A5E">
              <w:rPr>
                <w:rFonts w:ascii="Verdana" w:hAnsi="Verdana" w:cs="Segoe UI"/>
                <w:color w:val="4F81BD" w:themeColor="accent1"/>
                <w:sz w:val="17"/>
                <w:szCs w:val="17"/>
              </w:rPr>
              <w:t xml:space="preserve">DMC.  </w:t>
            </w:r>
          </w:p>
          <w:p w14:paraId="0D56AA0E" w14:textId="77777777" w:rsidR="003621E4" w:rsidRPr="00C43A5E" w:rsidRDefault="003621E4">
            <w:pPr>
              <w:spacing w:before="40" w:after="40"/>
              <w:jc w:val="both"/>
              <w:rPr>
                <w:rFonts w:ascii="Verdana" w:hAnsi="Verdana" w:cs="Segoe UI"/>
                <w:color w:val="4F81BD" w:themeColor="accent1"/>
                <w:sz w:val="17"/>
                <w:szCs w:val="17"/>
              </w:rPr>
            </w:pPr>
          </w:p>
          <w:p w14:paraId="7443FAC4" w14:textId="1F575AC5" w:rsidR="005A4517" w:rsidRPr="00C43A5E" w:rsidRDefault="003621E4" w:rsidP="00C43A5E">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It is the RO’s responsibility to maintain a debt log that tracks the age,   current status, debt letter submissions and/or Treasury Offset disposition for all outstanding debt.    </w:t>
            </w:r>
          </w:p>
        </w:tc>
      </w:tr>
      <w:tr w:rsidR="003621E4" w:rsidRPr="0022786E" w14:paraId="69B213DD" w14:textId="77777777" w:rsidTr="00C43A5E">
        <w:tc>
          <w:tcPr>
            <w:tcW w:w="4274" w:type="dxa"/>
            <w:shd w:val="clear" w:color="auto" w:fill="auto"/>
          </w:tcPr>
          <w:p w14:paraId="679DF766" w14:textId="01A0D115" w:rsidR="003621E4" w:rsidRPr="00AA78B2" w:rsidRDefault="00687142" w:rsidP="00C43A5E">
            <w:pPr>
              <w:jc w:val="both"/>
            </w:pPr>
            <w:r w:rsidRPr="00F75A5A">
              <w:rPr>
                <w:rFonts w:ascii="Verdana" w:hAnsi="Verdana"/>
                <w:b/>
                <w:color w:val="000000"/>
                <w:sz w:val="19"/>
                <w:szCs w:val="19"/>
              </w:rPr>
              <w:t xml:space="preserve">8. </w:t>
            </w:r>
            <w:r w:rsidR="003621E4">
              <w:rPr>
                <w:rFonts w:ascii="Verdana" w:hAnsi="Verdana"/>
                <w:color w:val="000000"/>
                <w:sz w:val="19"/>
                <w:szCs w:val="19"/>
              </w:rPr>
              <w:t xml:space="preserve">How can we know if the BD has been sent to TOPS, Generally if its sent to TOPS then why the station has not </w:t>
            </w:r>
            <w:r w:rsidR="003621E4">
              <w:rPr>
                <w:rFonts w:ascii="Verdana" w:hAnsi="Verdana"/>
                <w:color w:val="000000"/>
                <w:sz w:val="19"/>
                <w:szCs w:val="19"/>
              </w:rPr>
              <w:lastRenderedPageBreak/>
              <w:t xml:space="preserve">received </w:t>
            </w:r>
            <w:proofErr w:type="spellStart"/>
            <w:r w:rsidR="003621E4">
              <w:rPr>
                <w:rFonts w:ascii="Verdana" w:hAnsi="Verdana"/>
                <w:color w:val="000000"/>
                <w:sz w:val="19"/>
                <w:szCs w:val="19"/>
              </w:rPr>
              <w:t>th</w:t>
            </w:r>
            <w:proofErr w:type="spellEnd"/>
            <w:r w:rsidR="003621E4">
              <w:rPr>
                <w:rFonts w:ascii="Verdana" w:hAnsi="Verdana"/>
                <w:color w:val="000000"/>
                <w:sz w:val="19"/>
                <w:szCs w:val="19"/>
              </w:rPr>
              <w:t xml:space="preserve"> </w:t>
            </w:r>
            <w:r w:rsidR="000476CF">
              <w:rPr>
                <w:rFonts w:ascii="Verdana" w:hAnsi="Verdana"/>
                <w:color w:val="000000"/>
                <w:sz w:val="18"/>
                <w:szCs w:val="18"/>
              </w:rPr>
              <w:t>[</w:t>
            </w:r>
            <w:r w:rsidR="000476CF" w:rsidRPr="005D0BC8">
              <w:rPr>
                <w:rFonts w:ascii="Verdana" w:hAnsi="Verdana"/>
                <w:color w:val="000000"/>
                <w:sz w:val="18"/>
                <w:szCs w:val="18"/>
              </w:rPr>
              <w:t xml:space="preserve">Question </w:t>
            </w:r>
            <w:r w:rsidR="000476CF">
              <w:rPr>
                <w:rFonts w:ascii="Verdana" w:hAnsi="Verdana"/>
                <w:color w:val="000000"/>
                <w:sz w:val="18"/>
                <w:szCs w:val="18"/>
              </w:rPr>
              <w:t>truncated ]</w:t>
            </w:r>
          </w:p>
        </w:tc>
        <w:tc>
          <w:tcPr>
            <w:tcW w:w="5302" w:type="dxa"/>
            <w:shd w:val="clear" w:color="auto" w:fill="auto"/>
          </w:tcPr>
          <w:p w14:paraId="3228FE57" w14:textId="3A888C42" w:rsidR="003621E4" w:rsidRPr="00C43A5E" w:rsidRDefault="003621E4" w:rsidP="00C43A5E">
            <w:pPr>
              <w:spacing w:before="40" w:after="40"/>
              <w:jc w:val="both"/>
              <w:rPr>
                <w:rFonts w:ascii="Verdana" w:hAnsi="Verdana" w:cs="Segoe UI"/>
                <w:color w:val="4F81BD" w:themeColor="accent1"/>
                <w:sz w:val="17"/>
                <w:szCs w:val="17"/>
              </w:rPr>
            </w:pPr>
            <w:r w:rsidRPr="00C43A5E">
              <w:rPr>
                <w:rFonts w:ascii="Verdana" w:hAnsi="Verdana" w:cs="Segoe UI"/>
                <w:color w:val="4F81BD" w:themeColor="accent1"/>
                <w:sz w:val="17"/>
                <w:szCs w:val="17"/>
              </w:rPr>
              <w:lastRenderedPageBreak/>
              <w:t xml:space="preserve">The RO should utilize a debt log to tracking the age, status and disposition of all outstanding debt, and determine when debt letters should be sent to the debtor or referred to TOP.  TOP pursues collection action debt if the debtor </w:t>
            </w:r>
            <w:r w:rsidRPr="00C43A5E">
              <w:rPr>
                <w:rFonts w:ascii="Verdana" w:hAnsi="Verdana" w:cs="Segoe UI"/>
                <w:color w:val="4F81BD" w:themeColor="accent1"/>
                <w:sz w:val="17"/>
                <w:szCs w:val="17"/>
              </w:rPr>
              <w:lastRenderedPageBreak/>
              <w:t xml:space="preserve">receives a payment </w:t>
            </w:r>
            <w:r w:rsidR="00427875" w:rsidRPr="00C43A5E">
              <w:rPr>
                <w:rFonts w:ascii="Verdana" w:hAnsi="Verdana" w:cs="Segoe UI"/>
                <w:color w:val="4F81BD" w:themeColor="accent1"/>
                <w:sz w:val="17"/>
                <w:szCs w:val="17"/>
              </w:rPr>
              <w:t xml:space="preserve">through the Treasury </w:t>
            </w:r>
            <w:r w:rsidRPr="00C43A5E">
              <w:rPr>
                <w:rFonts w:ascii="Verdana" w:hAnsi="Verdana" w:cs="Segoe UI"/>
                <w:color w:val="4F81BD" w:themeColor="accent1"/>
                <w:sz w:val="17"/>
                <w:szCs w:val="17"/>
              </w:rPr>
              <w:t xml:space="preserve">that </w:t>
            </w:r>
            <w:r w:rsidR="00427875" w:rsidRPr="00C43A5E">
              <w:rPr>
                <w:rFonts w:ascii="Verdana" w:hAnsi="Verdana" w:cs="Segoe UI"/>
                <w:color w:val="4F81BD" w:themeColor="accent1"/>
                <w:sz w:val="17"/>
                <w:szCs w:val="17"/>
              </w:rPr>
              <w:t>may be</w:t>
            </w:r>
            <w:r w:rsidRPr="00C43A5E">
              <w:rPr>
                <w:rFonts w:ascii="Verdana" w:hAnsi="Verdana" w:cs="Segoe UI"/>
                <w:color w:val="4F81BD" w:themeColor="accent1"/>
                <w:sz w:val="17"/>
                <w:szCs w:val="17"/>
              </w:rPr>
              <w:t xml:space="preserve"> eligible for offset.</w:t>
            </w:r>
          </w:p>
        </w:tc>
      </w:tr>
      <w:tr w:rsidR="003621E4" w:rsidRPr="0022786E" w14:paraId="3E3458F2" w14:textId="77777777" w:rsidTr="00C43A5E">
        <w:tc>
          <w:tcPr>
            <w:tcW w:w="4274" w:type="dxa"/>
            <w:shd w:val="clear" w:color="auto" w:fill="auto"/>
          </w:tcPr>
          <w:p w14:paraId="45AD848A" w14:textId="0AAB8D1A" w:rsidR="003621E4" w:rsidRPr="00AA78B2" w:rsidRDefault="00687142" w:rsidP="00C43A5E">
            <w:pPr>
              <w:jc w:val="both"/>
            </w:pPr>
            <w:r w:rsidRPr="00F75A5A">
              <w:rPr>
                <w:rFonts w:ascii="Verdana" w:hAnsi="Verdana"/>
                <w:b/>
                <w:color w:val="000000"/>
                <w:sz w:val="19"/>
                <w:szCs w:val="19"/>
              </w:rPr>
              <w:lastRenderedPageBreak/>
              <w:t xml:space="preserve">9. </w:t>
            </w:r>
            <w:r w:rsidR="003621E4">
              <w:rPr>
                <w:rFonts w:ascii="Verdana" w:hAnsi="Verdana"/>
                <w:color w:val="000000"/>
                <w:sz w:val="19"/>
                <w:szCs w:val="19"/>
              </w:rPr>
              <w:t>DMC maintains almost all control of veterans debts are you giving us this information in advance of stations taking back some ownership of debts?</w:t>
            </w:r>
          </w:p>
        </w:tc>
        <w:tc>
          <w:tcPr>
            <w:tcW w:w="5302" w:type="dxa"/>
            <w:shd w:val="clear" w:color="auto" w:fill="auto"/>
          </w:tcPr>
          <w:p w14:paraId="2CC289FC" w14:textId="5D878BD4" w:rsidR="003621E4" w:rsidRPr="00C43A5E" w:rsidRDefault="003621E4" w:rsidP="00C43A5E">
            <w:pPr>
              <w:jc w:val="both"/>
              <w:rPr>
                <w:rFonts w:ascii="Verdana" w:hAnsi="Verdana"/>
                <w:color w:val="4F81BD" w:themeColor="accent1"/>
                <w:sz w:val="17"/>
                <w:szCs w:val="17"/>
              </w:rPr>
            </w:pPr>
            <w:r w:rsidRPr="00C43A5E">
              <w:rPr>
                <w:rFonts w:ascii="Verdana" w:hAnsi="Verdana"/>
                <w:color w:val="4F81BD" w:themeColor="accent1"/>
                <w:sz w:val="17"/>
                <w:szCs w:val="17"/>
              </w:rPr>
              <w:t>DMC manages collections for debts that have been referred to TOP.  It’s the RO’s responsibility to send debt letters, refer debts to TOP, apply collections to the debt, determine if the debt can be written off, etc.</w:t>
            </w:r>
          </w:p>
        </w:tc>
      </w:tr>
      <w:tr w:rsidR="003621E4" w:rsidRPr="0022786E" w14:paraId="0099A740" w14:textId="77777777" w:rsidTr="00C43A5E">
        <w:tc>
          <w:tcPr>
            <w:tcW w:w="4274" w:type="dxa"/>
            <w:shd w:val="clear" w:color="auto" w:fill="auto"/>
          </w:tcPr>
          <w:p w14:paraId="24E56637" w14:textId="2055EAA2" w:rsidR="003621E4" w:rsidRPr="00AA78B2" w:rsidRDefault="00687142" w:rsidP="00C43A5E">
            <w:pPr>
              <w:jc w:val="both"/>
            </w:pPr>
            <w:r w:rsidRPr="00F75A5A">
              <w:rPr>
                <w:rFonts w:ascii="Verdana" w:hAnsi="Verdana"/>
                <w:b/>
                <w:color w:val="000000"/>
                <w:sz w:val="19"/>
                <w:szCs w:val="19"/>
              </w:rPr>
              <w:t xml:space="preserve">10. </w:t>
            </w:r>
            <w:r w:rsidR="003621E4">
              <w:rPr>
                <w:rFonts w:ascii="Verdana" w:hAnsi="Verdana"/>
                <w:color w:val="000000"/>
                <w:sz w:val="19"/>
                <w:szCs w:val="19"/>
              </w:rPr>
              <w:t>I receive checks from employees for jury duty. Do I create a jury fee debt then apply the proceeds to the debt?</w:t>
            </w:r>
          </w:p>
        </w:tc>
        <w:tc>
          <w:tcPr>
            <w:tcW w:w="5302" w:type="dxa"/>
            <w:shd w:val="clear" w:color="auto" w:fill="auto"/>
          </w:tcPr>
          <w:p w14:paraId="0F8F1EB4" w14:textId="607B3EE7" w:rsidR="003621E4" w:rsidRPr="00C43A5E" w:rsidRDefault="003621E4" w:rsidP="00C43A5E">
            <w:pPr>
              <w:spacing w:before="40" w:after="40"/>
              <w:jc w:val="both"/>
              <w:rPr>
                <w:rFonts w:ascii="Verdana" w:hAnsi="Verdana" w:cs="Segoe UI"/>
                <w:b/>
                <w:color w:val="4F81BD" w:themeColor="accent1"/>
                <w:sz w:val="17"/>
                <w:szCs w:val="17"/>
              </w:rPr>
            </w:pPr>
            <w:r w:rsidRPr="00C43A5E">
              <w:rPr>
                <w:rFonts w:ascii="Verdana" w:hAnsi="Verdana" w:cs="Segoe UI"/>
                <w:color w:val="4F81BD" w:themeColor="accent1"/>
                <w:sz w:val="17"/>
                <w:szCs w:val="17"/>
              </w:rPr>
              <w:t>Correct. Establish the receivable (BD) in CAATS / Accounts Receivable / Jury Fees sub modules, then offset the BD with the check received (CR).</w:t>
            </w:r>
          </w:p>
        </w:tc>
      </w:tr>
      <w:tr w:rsidR="00DF2466" w:rsidRPr="0022786E" w14:paraId="7E791F6F" w14:textId="77777777" w:rsidTr="00C43A5E">
        <w:trPr>
          <w:trHeight w:val="858"/>
        </w:trPr>
        <w:tc>
          <w:tcPr>
            <w:tcW w:w="4274" w:type="dxa"/>
            <w:shd w:val="clear" w:color="auto" w:fill="auto"/>
          </w:tcPr>
          <w:p w14:paraId="718EE5F1" w14:textId="2C9CEC3A" w:rsidR="00DF2466" w:rsidRPr="00AA78B2" w:rsidRDefault="00687142" w:rsidP="00C43A5E">
            <w:pPr>
              <w:jc w:val="both"/>
            </w:pPr>
            <w:r w:rsidRPr="00F75A5A">
              <w:rPr>
                <w:rFonts w:ascii="Verdana" w:hAnsi="Verdana"/>
                <w:b/>
                <w:color w:val="000000"/>
                <w:sz w:val="19"/>
                <w:szCs w:val="19"/>
              </w:rPr>
              <w:t xml:space="preserve">11. </w:t>
            </w:r>
            <w:r w:rsidR="00DF2466">
              <w:rPr>
                <w:rFonts w:ascii="Verdana" w:hAnsi="Verdana"/>
                <w:color w:val="000000"/>
                <w:sz w:val="19"/>
                <w:szCs w:val="19"/>
              </w:rPr>
              <w:t>For an Updated Top Referral where a Debt has been repaid. Are we just updating the Current A/R column?</w:t>
            </w:r>
          </w:p>
        </w:tc>
        <w:tc>
          <w:tcPr>
            <w:tcW w:w="5302" w:type="dxa"/>
            <w:shd w:val="clear" w:color="auto" w:fill="auto"/>
          </w:tcPr>
          <w:p w14:paraId="0F7B0B9C" w14:textId="4EC32979" w:rsidR="00DF2466" w:rsidRPr="00C43A5E" w:rsidRDefault="00DF2466" w:rsidP="00C43A5E">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Correct.  In such instances, update </w:t>
            </w:r>
            <w:r w:rsidRPr="00C43A5E">
              <w:rPr>
                <w:rFonts w:ascii="Verdana" w:hAnsi="Verdana" w:cs="Segoe UI"/>
                <w:b/>
                <w:i/>
                <w:color w:val="4F81BD" w:themeColor="accent1"/>
                <w:sz w:val="17"/>
                <w:szCs w:val="17"/>
              </w:rPr>
              <w:t>only</w:t>
            </w:r>
            <w:r w:rsidRPr="00C43A5E">
              <w:rPr>
                <w:rFonts w:ascii="Verdana" w:hAnsi="Verdana" w:cs="Segoe UI"/>
                <w:color w:val="4F81BD" w:themeColor="accent1"/>
                <w:sz w:val="17"/>
                <w:szCs w:val="17"/>
              </w:rPr>
              <w:t xml:space="preserve"> the Current A/R field on the TOP Referral spreadsheet if the debtor has repaid part or all of their debt.  Submit the updated TOP Referral Spreadsheet to your ALAC Accountant</w:t>
            </w:r>
            <w:r w:rsidR="00F75A5A">
              <w:rPr>
                <w:rFonts w:ascii="Verdana" w:hAnsi="Verdana" w:cs="Segoe UI"/>
                <w:color w:val="4F81BD" w:themeColor="accent1"/>
                <w:sz w:val="17"/>
                <w:szCs w:val="17"/>
              </w:rPr>
              <w:t>; ALC</w:t>
            </w:r>
            <w:r w:rsidRPr="00C43A5E">
              <w:rPr>
                <w:rFonts w:ascii="Verdana" w:hAnsi="Verdana" w:cs="Segoe UI"/>
                <w:color w:val="4F81BD" w:themeColor="accent1"/>
                <w:sz w:val="17"/>
                <w:szCs w:val="17"/>
              </w:rPr>
              <w:t xml:space="preserve"> will notify DMC of the change.</w:t>
            </w:r>
          </w:p>
        </w:tc>
      </w:tr>
      <w:tr w:rsidR="00DF2466" w:rsidRPr="0022786E" w14:paraId="08E5508A" w14:textId="77777777" w:rsidTr="00C43A5E">
        <w:tc>
          <w:tcPr>
            <w:tcW w:w="4274" w:type="dxa"/>
            <w:shd w:val="clear" w:color="auto" w:fill="auto"/>
          </w:tcPr>
          <w:p w14:paraId="4C0378AE" w14:textId="0E827D90" w:rsidR="00DF2466" w:rsidRPr="00AA78B2" w:rsidRDefault="00687142" w:rsidP="00C43A5E">
            <w:pPr>
              <w:jc w:val="both"/>
            </w:pPr>
            <w:r w:rsidRPr="00F75A5A">
              <w:rPr>
                <w:rFonts w:ascii="Verdana" w:hAnsi="Verdana"/>
                <w:b/>
                <w:color w:val="000000"/>
                <w:sz w:val="19"/>
                <w:szCs w:val="19"/>
              </w:rPr>
              <w:t xml:space="preserve">10. </w:t>
            </w:r>
            <w:r w:rsidR="00DF2466">
              <w:rPr>
                <w:rFonts w:ascii="Verdana" w:hAnsi="Verdana"/>
                <w:color w:val="000000"/>
                <w:sz w:val="19"/>
                <w:szCs w:val="19"/>
              </w:rPr>
              <w:t>Per the EOM Recon Report, if I have established that an obligation has been referred to TOP, why is still on my EOM Report or better yet how do i get it resolved.</w:t>
            </w:r>
          </w:p>
        </w:tc>
        <w:tc>
          <w:tcPr>
            <w:tcW w:w="5302" w:type="dxa"/>
            <w:shd w:val="clear" w:color="auto" w:fill="auto"/>
          </w:tcPr>
          <w:p w14:paraId="3C399A68" w14:textId="0DC02636" w:rsidR="00DF2466" w:rsidRPr="00C43A5E" w:rsidRDefault="00196645" w:rsidP="00C43A5E">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Referring a debt to TOP does not clear it from FMS or remove from the list of outstanding items on the CAATS EOM Reconciliation.  Debts referred to TOP are still in active collection status and remain in FMS and on the EOM Reconciliation until completely collected or written off.</w:t>
            </w:r>
          </w:p>
        </w:tc>
      </w:tr>
      <w:tr w:rsidR="00DF2466" w:rsidRPr="0022786E" w14:paraId="4F026E93" w14:textId="77777777" w:rsidTr="00C43A5E">
        <w:tc>
          <w:tcPr>
            <w:tcW w:w="4274" w:type="dxa"/>
            <w:shd w:val="clear" w:color="auto" w:fill="auto"/>
          </w:tcPr>
          <w:p w14:paraId="43F5D98F" w14:textId="07F7130D" w:rsidR="00DF2466" w:rsidRPr="00AA78B2" w:rsidRDefault="00687142" w:rsidP="00C43A5E">
            <w:pPr>
              <w:jc w:val="both"/>
            </w:pPr>
            <w:r w:rsidRPr="00F75A5A">
              <w:rPr>
                <w:rFonts w:ascii="Verdana" w:hAnsi="Verdana"/>
                <w:b/>
                <w:color w:val="000000"/>
                <w:sz w:val="19"/>
                <w:szCs w:val="19"/>
              </w:rPr>
              <w:t>11.</w:t>
            </w:r>
            <w:r w:rsidRPr="00F75A5A">
              <w:rPr>
                <w:rFonts w:ascii="Verdana" w:hAnsi="Verdana"/>
                <w:color w:val="000000"/>
                <w:sz w:val="19"/>
                <w:szCs w:val="19"/>
              </w:rPr>
              <w:t xml:space="preserve"> </w:t>
            </w:r>
            <w:r w:rsidR="00DF2466">
              <w:rPr>
                <w:rFonts w:ascii="Verdana" w:hAnsi="Verdana"/>
                <w:color w:val="000000"/>
                <w:sz w:val="19"/>
                <w:szCs w:val="19"/>
              </w:rPr>
              <w:t>Where can we see a listing of TOPS referred cases?</w:t>
            </w:r>
          </w:p>
        </w:tc>
        <w:tc>
          <w:tcPr>
            <w:tcW w:w="5302" w:type="dxa"/>
            <w:tcBorders>
              <w:bottom w:val="single" w:sz="4" w:space="0" w:color="auto"/>
            </w:tcBorders>
            <w:shd w:val="clear" w:color="auto" w:fill="auto"/>
          </w:tcPr>
          <w:p w14:paraId="31B1D333" w14:textId="77777777" w:rsidR="00DD09C1" w:rsidRPr="00C43A5E" w:rsidRDefault="00196645" w:rsidP="00C43A5E">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ALAC does not maintain a published listing of all debts referred to TOP, because of PII and other sensitive data.   </w:t>
            </w:r>
            <w:r w:rsidR="00687142" w:rsidRPr="00C43A5E">
              <w:rPr>
                <w:rFonts w:ascii="Verdana" w:hAnsi="Verdana" w:cs="Segoe UI"/>
                <w:color w:val="4F81BD" w:themeColor="accent1"/>
                <w:sz w:val="17"/>
                <w:szCs w:val="17"/>
              </w:rPr>
              <w:t>S</w:t>
            </w:r>
            <w:r w:rsidRPr="00C43A5E">
              <w:rPr>
                <w:rFonts w:ascii="Verdana" w:hAnsi="Verdana" w:cs="Segoe UI"/>
                <w:color w:val="4F81BD" w:themeColor="accent1"/>
                <w:sz w:val="17"/>
                <w:szCs w:val="17"/>
              </w:rPr>
              <w:t xml:space="preserve">ubmit an email to the </w:t>
            </w:r>
            <w:hyperlink r:id="rId17" w:history="1">
              <w:r w:rsidRPr="00C43A5E">
                <w:rPr>
                  <w:rStyle w:val="Hyperlink"/>
                  <w:rFonts w:ascii="Verdana" w:hAnsi="Verdana" w:cs="Segoe UI"/>
                  <w:sz w:val="17"/>
                  <w:szCs w:val="17"/>
                </w:rPr>
                <w:t>VBA ALAC Admin Accounting</w:t>
              </w:r>
            </w:hyperlink>
            <w:r w:rsidRPr="00C43A5E">
              <w:rPr>
                <w:rFonts w:ascii="Verdana" w:hAnsi="Verdana" w:cs="Segoe UI"/>
                <w:color w:val="4F81BD" w:themeColor="accent1"/>
                <w:sz w:val="17"/>
                <w:szCs w:val="17"/>
              </w:rPr>
              <w:t xml:space="preserve"> mailbox to inquire whether debt was previously referred to TOP.  Include the debtor’s name, SSN/TIN, and BD Number and we wil</w:t>
            </w:r>
            <w:r w:rsidR="00C55C51" w:rsidRPr="00C43A5E">
              <w:rPr>
                <w:rFonts w:ascii="Verdana" w:hAnsi="Verdana" w:cs="Segoe UI"/>
                <w:color w:val="4F81BD" w:themeColor="accent1"/>
                <w:sz w:val="17"/>
                <w:szCs w:val="17"/>
              </w:rPr>
              <w:t>l coordinate research with DMC.</w:t>
            </w:r>
          </w:p>
          <w:p w14:paraId="49A80CDE" w14:textId="74E15A3F" w:rsidR="00DF2466" w:rsidRPr="00C43A5E" w:rsidRDefault="00DF2466" w:rsidP="00C43A5E">
            <w:pPr>
              <w:jc w:val="both"/>
              <w:rPr>
                <w:rFonts w:ascii="Verdana" w:hAnsi="Verdana" w:cs="Segoe UI"/>
                <w:color w:val="4F81BD" w:themeColor="accent1"/>
                <w:sz w:val="17"/>
                <w:szCs w:val="17"/>
              </w:rPr>
            </w:pPr>
          </w:p>
        </w:tc>
      </w:tr>
      <w:tr w:rsidR="00DF2466" w:rsidRPr="0022786E" w14:paraId="4A5D4C55" w14:textId="77777777" w:rsidTr="00C43A5E">
        <w:tc>
          <w:tcPr>
            <w:tcW w:w="4274" w:type="dxa"/>
            <w:tcBorders>
              <w:bottom w:val="single" w:sz="4" w:space="0" w:color="auto"/>
            </w:tcBorders>
            <w:shd w:val="clear" w:color="auto" w:fill="auto"/>
          </w:tcPr>
          <w:p w14:paraId="65AEEE27" w14:textId="0EFD9686" w:rsidR="00DF2466" w:rsidRPr="00AA78B2" w:rsidRDefault="00687142" w:rsidP="00C43A5E">
            <w:pPr>
              <w:jc w:val="both"/>
            </w:pPr>
            <w:r w:rsidRPr="00F75A5A">
              <w:rPr>
                <w:rFonts w:ascii="Verdana" w:hAnsi="Verdana"/>
                <w:b/>
                <w:sz w:val="19"/>
                <w:szCs w:val="19"/>
              </w:rPr>
              <w:t xml:space="preserve">12. </w:t>
            </w:r>
            <w:r w:rsidR="00DF2466" w:rsidRPr="00A5296E">
              <w:rPr>
                <w:rFonts w:ascii="Verdana" w:hAnsi="Verdana"/>
                <w:sz w:val="19"/>
                <w:szCs w:val="19"/>
              </w:rPr>
              <w:t>What do we do with current employee FEHB debts that are not being collected by DFAS?</w:t>
            </w:r>
            <w:r w:rsidR="00DF2466">
              <w:rPr>
                <w:rFonts w:ascii="Verdana" w:hAnsi="Verdana"/>
                <w:color w:val="000000"/>
                <w:sz w:val="19"/>
                <w:szCs w:val="19"/>
              </w:rPr>
              <w:t xml:space="preserve"> I need a guidance on how to write off debt of FEHB</w:t>
            </w:r>
          </w:p>
        </w:tc>
        <w:tc>
          <w:tcPr>
            <w:tcW w:w="5302" w:type="dxa"/>
            <w:tcBorders>
              <w:bottom w:val="single" w:sz="4" w:space="0" w:color="auto"/>
            </w:tcBorders>
            <w:shd w:val="clear" w:color="auto" w:fill="auto"/>
          </w:tcPr>
          <w:p w14:paraId="02F349A7" w14:textId="3A30E1F4" w:rsidR="00DF2466" w:rsidRPr="00C43A5E" w:rsidRDefault="00DF2466" w:rsidP="00C43A5E">
            <w:pPr>
              <w:shd w:val="clear" w:color="auto" w:fill="FFFFFF" w:themeFill="background1"/>
              <w:jc w:val="both"/>
              <w:rPr>
                <w:rFonts w:ascii="Verdana" w:hAnsi="Verdana"/>
                <w:color w:val="4F81BD" w:themeColor="accent1"/>
                <w:sz w:val="17"/>
                <w:szCs w:val="17"/>
              </w:rPr>
            </w:pPr>
            <w:r w:rsidRPr="00C43A5E">
              <w:rPr>
                <w:rFonts w:ascii="Verdana" w:hAnsi="Verdana"/>
                <w:color w:val="4F81BD" w:themeColor="accent1"/>
                <w:sz w:val="17"/>
                <w:szCs w:val="17"/>
              </w:rPr>
              <w:t xml:space="preserve">DFAS is responsible for collecting FEHB debt for all current employees. In the event that an employee returned to duty and DFAS has not collected funds. The station is responsible </w:t>
            </w:r>
            <w:r w:rsidR="00196645" w:rsidRPr="00C43A5E">
              <w:rPr>
                <w:rFonts w:ascii="Verdana" w:hAnsi="Verdana"/>
                <w:color w:val="4F81BD" w:themeColor="accent1"/>
                <w:sz w:val="17"/>
                <w:szCs w:val="17"/>
              </w:rPr>
              <w:t xml:space="preserve">to </w:t>
            </w:r>
            <w:r w:rsidRPr="00C43A5E">
              <w:rPr>
                <w:rFonts w:ascii="Verdana" w:hAnsi="Verdana"/>
                <w:color w:val="4F81BD" w:themeColor="accent1"/>
                <w:sz w:val="17"/>
                <w:szCs w:val="17"/>
              </w:rPr>
              <w:t>contact DFAS via Remedy Ticket regarding collecting debt from that employee.</w:t>
            </w:r>
          </w:p>
        </w:tc>
      </w:tr>
      <w:tr w:rsidR="00DF2466" w:rsidRPr="0022786E" w14:paraId="6395B4E9" w14:textId="77777777" w:rsidTr="00C43A5E">
        <w:tc>
          <w:tcPr>
            <w:tcW w:w="4274" w:type="dxa"/>
            <w:shd w:val="clear" w:color="auto" w:fill="FFFFFF" w:themeFill="background1"/>
          </w:tcPr>
          <w:p w14:paraId="4A1C8FF9" w14:textId="7BF0C222" w:rsidR="00DF2466" w:rsidRPr="00AA78B2" w:rsidDel="00E44832" w:rsidRDefault="00687142" w:rsidP="00C43A5E">
            <w:pPr>
              <w:jc w:val="both"/>
              <w:rPr>
                <w:color w:val="000000"/>
              </w:rPr>
            </w:pPr>
            <w:r w:rsidRPr="00F75A5A">
              <w:rPr>
                <w:rFonts w:ascii="Verdana" w:hAnsi="Verdana"/>
                <w:b/>
                <w:color w:val="000000"/>
                <w:sz w:val="19"/>
                <w:szCs w:val="19"/>
              </w:rPr>
              <w:t xml:space="preserve">13. </w:t>
            </w:r>
            <w:r w:rsidR="00DF2466" w:rsidRPr="00D92434">
              <w:rPr>
                <w:rFonts w:ascii="Verdana" w:hAnsi="Verdana"/>
                <w:color w:val="000000"/>
                <w:sz w:val="19"/>
                <w:szCs w:val="19"/>
              </w:rPr>
              <w:t>Can</w:t>
            </w:r>
            <w:r w:rsidR="00DF2466">
              <w:rPr>
                <w:rFonts w:ascii="Verdana" w:hAnsi="Verdana"/>
                <w:color w:val="000000"/>
                <w:sz w:val="19"/>
                <w:szCs w:val="19"/>
              </w:rPr>
              <w:t xml:space="preserve"> you leaf To/From other tables when viewing ARHT?</w:t>
            </w:r>
            <w:r w:rsidR="00DF2466">
              <w:t xml:space="preserve"> </w:t>
            </w:r>
            <w:r w:rsidR="00DF2466">
              <w:rPr>
                <w:rFonts w:ascii="Verdana" w:hAnsi="Verdana"/>
                <w:color w:val="000000"/>
                <w:sz w:val="19"/>
                <w:szCs w:val="19"/>
              </w:rPr>
              <w:t>Do you have a cheat sheet of A/R Tables for reference?</w:t>
            </w:r>
          </w:p>
        </w:tc>
        <w:tc>
          <w:tcPr>
            <w:tcW w:w="5302" w:type="dxa"/>
            <w:shd w:val="clear" w:color="auto" w:fill="FFFFFF" w:themeFill="background1"/>
          </w:tcPr>
          <w:p w14:paraId="44CC102F" w14:textId="6B791AEC" w:rsidR="00DF2466" w:rsidRPr="00C43A5E" w:rsidRDefault="00196645" w:rsidP="00C43A5E">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In FMS, you may only leaf between related tables. When using ARHT/ARLT tables, you may </w:t>
            </w:r>
            <w:proofErr w:type="spellStart"/>
            <w:r w:rsidRPr="00C43A5E">
              <w:rPr>
                <w:rFonts w:ascii="Verdana" w:hAnsi="Verdana" w:cs="Segoe UI"/>
                <w:color w:val="4F81BD" w:themeColor="accent1"/>
                <w:sz w:val="17"/>
                <w:szCs w:val="17"/>
              </w:rPr>
              <w:t>leaf</w:t>
            </w:r>
            <w:proofErr w:type="spellEnd"/>
            <w:r w:rsidRPr="00C43A5E">
              <w:rPr>
                <w:rFonts w:ascii="Verdana" w:hAnsi="Verdana" w:cs="Segoe UI"/>
                <w:color w:val="4F81BD" w:themeColor="accent1"/>
                <w:sz w:val="17"/>
                <w:szCs w:val="17"/>
              </w:rPr>
              <w:t xml:space="preserve"> to the DXRF table to see which transactions were processed to affect the debt</w:t>
            </w:r>
            <w:r w:rsidR="00794455" w:rsidRPr="00C43A5E">
              <w:rPr>
                <w:rFonts w:ascii="Verdana" w:hAnsi="Verdana" w:cs="Segoe UI"/>
                <w:color w:val="4F81BD" w:themeColor="accent1"/>
                <w:sz w:val="17"/>
                <w:szCs w:val="17"/>
              </w:rPr>
              <w:t>, i.e</w:t>
            </w:r>
            <w:r w:rsidRPr="00C43A5E">
              <w:rPr>
                <w:rFonts w:ascii="Verdana" w:hAnsi="Verdana" w:cs="Segoe UI"/>
                <w:color w:val="4F81BD" w:themeColor="accent1"/>
                <w:sz w:val="17"/>
                <w:szCs w:val="17"/>
              </w:rPr>
              <w:t xml:space="preserve">. collections, write-offs, mods, etc.  </w:t>
            </w:r>
          </w:p>
        </w:tc>
      </w:tr>
      <w:tr w:rsidR="00DF2466" w:rsidRPr="00AA78B2" w14:paraId="03CE4090" w14:textId="77777777" w:rsidTr="00C43A5E">
        <w:tblPrEx>
          <w:shd w:val="clear" w:color="auto" w:fill="auto"/>
        </w:tblPrEx>
        <w:tc>
          <w:tcPr>
            <w:tcW w:w="4274" w:type="dxa"/>
            <w:shd w:val="clear" w:color="auto" w:fill="auto"/>
          </w:tcPr>
          <w:p w14:paraId="0AB8637C" w14:textId="57CFB344" w:rsidR="00DF2466" w:rsidRPr="00F75A5A" w:rsidRDefault="00687142" w:rsidP="00C43A5E">
            <w:pPr>
              <w:jc w:val="both"/>
            </w:pPr>
            <w:bookmarkStart w:id="3" w:name="_Toc491943809"/>
            <w:bookmarkEnd w:id="3"/>
            <w:r w:rsidRPr="00F75A5A">
              <w:rPr>
                <w:rFonts w:ascii="Verdana" w:hAnsi="Verdana"/>
                <w:b/>
                <w:color w:val="000000"/>
                <w:sz w:val="19"/>
                <w:szCs w:val="19"/>
              </w:rPr>
              <w:t xml:space="preserve">14. </w:t>
            </w:r>
            <w:r w:rsidR="00DF2466" w:rsidRPr="00F75A5A">
              <w:rPr>
                <w:rFonts w:ascii="Verdana" w:hAnsi="Verdana"/>
                <w:color w:val="000000"/>
                <w:sz w:val="19"/>
                <w:szCs w:val="19"/>
              </w:rPr>
              <w:t>Who generates the FEHB debts?</w:t>
            </w:r>
          </w:p>
        </w:tc>
        <w:tc>
          <w:tcPr>
            <w:tcW w:w="5302" w:type="dxa"/>
          </w:tcPr>
          <w:p w14:paraId="5ECD449E" w14:textId="0A802C8D" w:rsidR="00DF2466" w:rsidRPr="00C43A5E" w:rsidRDefault="00DF2466" w:rsidP="00C43A5E">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FEHB debts are established by DFAS.</w:t>
            </w:r>
          </w:p>
        </w:tc>
      </w:tr>
      <w:tr w:rsidR="00DF2466" w:rsidRPr="00AA78B2" w14:paraId="6F91A93E" w14:textId="77777777" w:rsidTr="00C43A5E">
        <w:tblPrEx>
          <w:shd w:val="clear" w:color="auto" w:fill="auto"/>
        </w:tblPrEx>
        <w:trPr>
          <w:trHeight w:val="818"/>
        </w:trPr>
        <w:tc>
          <w:tcPr>
            <w:tcW w:w="4274" w:type="dxa"/>
            <w:shd w:val="clear" w:color="auto" w:fill="auto"/>
          </w:tcPr>
          <w:p w14:paraId="20A2945B" w14:textId="37C4CAD1" w:rsidR="00DF2466" w:rsidRPr="00F75A5A" w:rsidRDefault="00B83E0C" w:rsidP="00C43A5E">
            <w:pPr>
              <w:jc w:val="both"/>
              <w:rPr>
                <w:rFonts w:ascii="Verdana" w:hAnsi="Verdana"/>
                <w:color w:val="000000"/>
                <w:sz w:val="19"/>
                <w:szCs w:val="19"/>
              </w:rPr>
            </w:pPr>
            <w:r w:rsidRPr="00F75A5A">
              <w:rPr>
                <w:b/>
              </w:rPr>
              <w:t xml:space="preserve">15. </w:t>
            </w:r>
            <w:r w:rsidR="00DF2466" w:rsidRPr="00C43A5E">
              <w:rPr>
                <w:rFonts w:ascii="Verdana" w:hAnsi="Verdana"/>
                <w:sz w:val="19"/>
                <w:szCs w:val="19"/>
              </w:rPr>
              <w:t>Is it up to the Station to decide whether to grant a waiver or payment plan?  Does a waiver request need to be sent to the Waivers Committee or can it be decided locally?   How long does the debtor have to return the Financial Status form?</w:t>
            </w:r>
            <w:r w:rsidR="00DF2466" w:rsidRPr="00C43A5E">
              <w:t> </w:t>
            </w:r>
            <w:r w:rsidR="00DF2466" w:rsidRPr="00F75A5A">
              <w:t xml:space="preserve"> </w:t>
            </w:r>
          </w:p>
        </w:tc>
        <w:tc>
          <w:tcPr>
            <w:tcW w:w="5302" w:type="dxa"/>
          </w:tcPr>
          <w:p w14:paraId="18221BD0" w14:textId="02089D94" w:rsidR="00DF2466" w:rsidRPr="00C43A5E" w:rsidRDefault="00A77245" w:rsidP="00C43A5E">
            <w:pPr>
              <w:jc w:val="both"/>
              <w:rPr>
                <w:rFonts w:ascii="Verdana" w:hAnsi="Verdana" w:cs="Segoe UI"/>
                <w:color w:val="4F81BD" w:themeColor="accent1"/>
                <w:sz w:val="17"/>
                <w:szCs w:val="17"/>
              </w:rPr>
            </w:pPr>
            <w:hyperlink r:id="rId18" w:history="1">
              <w:r w:rsidR="00DF2466" w:rsidRPr="00C43A5E">
                <w:rPr>
                  <w:rStyle w:val="Hyperlink"/>
                  <w:rFonts w:ascii="Verdana" w:hAnsi="Verdana" w:cs="Segoe UI"/>
                  <w:sz w:val="17"/>
                  <w:szCs w:val="17"/>
                </w:rPr>
                <w:t>IAW VA Policy Volume XII, Chapter 1B</w:t>
              </w:r>
              <w:r w:rsidR="00D35D60" w:rsidRPr="00D35D60">
                <w:rPr>
                  <w:rStyle w:val="Hyperlink"/>
                  <w:rFonts w:ascii="Verdana" w:hAnsi="Verdana" w:cs="Segoe UI"/>
                  <w:sz w:val="17"/>
                  <w:szCs w:val="17"/>
                </w:rPr>
                <w:t>, 0102</w:t>
              </w:r>
            </w:hyperlink>
            <w:r w:rsidR="00DF2466" w:rsidRPr="00C43A5E">
              <w:rPr>
                <w:rFonts w:ascii="Verdana" w:hAnsi="Verdana" w:cs="Segoe UI"/>
                <w:color w:val="4F81BD" w:themeColor="accent1"/>
                <w:sz w:val="17"/>
                <w:szCs w:val="17"/>
              </w:rPr>
              <w:t xml:space="preserve"> – VA will ensure the request is reviewed by the proper official and advise the debtor of the acceptance or rejection of the request. </w:t>
            </w:r>
            <w:r w:rsidR="00B83E0C" w:rsidRPr="00C43A5E">
              <w:rPr>
                <w:rFonts w:ascii="Verdana" w:hAnsi="Verdana" w:cs="Segoe UI"/>
                <w:color w:val="4F81BD" w:themeColor="accent1"/>
                <w:sz w:val="17"/>
                <w:szCs w:val="17"/>
              </w:rPr>
              <w:t xml:space="preserve"> The COWC is the authority to accept or reject a waiver. </w:t>
            </w:r>
            <w:r w:rsidR="00DF2466" w:rsidRPr="00C43A5E">
              <w:rPr>
                <w:rFonts w:ascii="Verdana" w:hAnsi="Verdana" w:cs="Segoe UI"/>
                <w:color w:val="4F81BD" w:themeColor="accent1"/>
                <w:sz w:val="17"/>
                <w:szCs w:val="17"/>
              </w:rPr>
              <w:t xml:space="preserve">Forward request for </w:t>
            </w:r>
            <w:r w:rsidR="008B294E" w:rsidRPr="00C43A5E">
              <w:rPr>
                <w:rFonts w:ascii="Verdana" w:hAnsi="Verdana" w:cs="Segoe UI"/>
                <w:color w:val="4F81BD" w:themeColor="accent1"/>
                <w:sz w:val="17"/>
                <w:szCs w:val="17"/>
              </w:rPr>
              <w:t xml:space="preserve">waiver </w:t>
            </w:r>
            <w:r w:rsidR="00DF2466" w:rsidRPr="00C43A5E">
              <w:rPr>
                <w:rFonts w:ascii="Verdana" w:hAnsi="Verdana" w:cs="Segoe UI"/>
                <w:color w:val="4F81BD" w:themeColor="accent1"/>
                <w:sz w:val="17"/>
                <w:szCs w:val="17"/>
              </w:rPr>
              <w:t>to the regional COWC. If the COWC deny the waiver request, ensure debtor informed of COWC decision and establish payment plan.</w:t>
            </w:r>
            <w:r w:rsidR="00242B47" w:rsidRPr="00C43A5E">
              <w:rPr>
                <w:rFonts w:ascii="Verdana" w:hAnsi="Verdana" w:cs="Segoe UI"/>
                <w:color w:val="4F81BD" w:themeColor="accent1"/>
                <w:sz w:val="17"/>
                <w:szCs w:val="17"/>
              </w:rPr>
              <w:t xml:space="preserve"> </w:t>
            </w:r>
            <w:r w:rsidR="00C42585" w:rsidRPr="00C43A5E">
              <w:rPr>
                <w:rFonts w:ascii="Verdana" w:hAnsi="Verdana" w:cs="Segoe UI"/>
                <w:color w:val="4F81BD" w:themeColor="accent1"/>
                <w:sz w:val="17"/>
                <w:szCs w:val="17"/>
              </w:rPr>
              <w:t xml:space="preserve">The Financial Status Form is included in the initial </w:t>
            </w:r>
            <w:proofErr w:type="gramStart"/>
            <w:r w:rsidR="009E20BE" w:rsidRPr="00C43A5E">
              <w:rPr>
                <w:rFonts w:ascii="Verdana" w:hAnsi="Verdana" w:cs="Segoe UI"/>
                <w:color w:val="4F81BD" w:themeColor="accent1"/>
                <w:sz w:val="17"/>
                <w:szCs w:val="17"/>
              </w:rPr>
              <w:t>NOI</w:t>
            </w:r>
            <w:r w:rsidR="00C42585" w:rsidRPr="00C43A5E">
              <w:rPr>
                <w:rFonts w:ascii="Verdana" w:hAnsi="Verdana" w:cs="Segoe UI"/>
                <w:color w:val="4F81BD" w:themeColor="accent1"/>
                <w:sz w:val="17"/>
                <w:szCs w:val="17"/>
              </w:rPr>
              <w:t>,</w:t>
            </w:r>
            <w:proofErr w:type="gramEnd"/>
            <w:r w:rsidR="00C42585" w:rsidRPr="00C43A5E">
              <w:rPr>
                <w:rFonts w:ascii="Verdana" w:hAnsi="Verdana" w:cs="Segoe UI"/>
                <w:color w:val="4F81BD" w:themeColor="accent1"/>
                <w:sz w:val="17"/>
                <w:szCs w:val="17"/>
              </w:rPr>
              <w:t xml:space="preserve"> therefore the Debtor has 30 days to return the Financial Status Form with the request for Waiver.</w:t>
            </w:r>
          </w:p>
        </w:tc>
      </w:tr>
      <w:tr w:rsidR="00DF2466" w:rsidRPr="00AA78B2" w14:paraId="5427BA73" w14:textId="77777777" w:rsidTr="00C43A5E">
        <w:tblPrEx>
          <w:shd w:val="clear" w:color="auto" w:fill="auto"/>
        </w:tblPrEx>
        <w:trPr>
          <w:trHeight w:val="818"/>
        </w:trPr>
        <w:tc>
          <w:tcPr>
            <w:tcW w:w="4274" w:type="dxa"/>
          </w:tcPr>
          <w:p w14:paraId="06A572E3" w14:textId="08CF708F" w:rsidR="00DF2466" w:rsidRDefault="00B83E0C" w:rsidP="00C43A5E">
            <w:pPr>
              <w:jc w:val="both"/>
            </w:pPr>
            <w:r w:rsidRPr="00F75A5A">
              <w:rPr>
                <w:rFonts w:ascii="Verdana" w:hAnsi="Verdana"/>
                <w:b/>
                <w:sz w:val="19"/>
                <w:szCs w:val="19"/>
              </w:rPr>
              <w:t>16.</w:t>
            </w:r>
            <w:r w:rsidR="00D92434">
              <w:rPr>
                <w:rFonts w:ascii="Verdana" w:hAnsi="Verdana"/>
                <w:b/>
                <w:sz w:val="19"/>
                <w:szCs w:val="19"/>
              </w:rPr>
              <w:t xml:space="preserve"> </w:t>
            </w:r>
            <w:r w:rsidR="00DF2466" w:rsidRPr="00C43A5E">
              <w:rPr>
                <w:rFonts w:ascii="Verdana" w:hAnsi="Verdana"/>
                <w:sz w:val="19"/>
                <w:szCs w:val="19"/>
              </w:rPr>
              <w:t>We have some FEHB debts that employees are disability retired for years but we never collect money from ex-employee.  I was told by someone long time ago that we can write if off but some said no.</w:t>
            </w:r>
            <w:r w:rsidR="00DF2466" w:rsidRPr="00CD6807">
              <w:t xml:space="preserve">  </w:t>
            </w:r>
          </w:p>
        </w:tc>
        <w:tc>
          <w:tcPr>
            <w:tcW w:w="5302" w:type="dxa"/>
          </w:tcPr>
          <w:p w14:paraId="34C28E45" w14:textId="68873604" w:rsidR="00DF2466" w:rsidRPr="00C43A5E" w:rsidRDefault="00A77245" w:rsidP="00F75A5A">
            <w:pPr>
              <w:jc w:val="both"/>
              <w:rPr>
                <w:rFonts w:ascii="Verdana" w:hAnsi="Verdana" w:cs="Segoe UI"/>
                <w:color w:val="4F81BD" w:themeColor="accent1"/>
                <w:sz w:val="17"/>
                <w:szCs w:val="17"/>
              </w:rPr>
            </w:pPr>
            <w:hyperlink r:id="rId19" w:history="1">
              <w:r w:rsidR="00DF2466" w:rsidRPr="00C43A5E">
                <w:rPr>
                  <w:rStyle w:val="Hyperlink"/>
                  <w:rFonts w:ascii="Verdana" w:hAnsi="Verdana" w:cs="Segoe UI"/>
                  <w:sz w:val="17"/>
                  <w:szCs w:val="17"/>
                </w:rPr>
                <w:t>IAW VA Policy, Volume XII</w:t>
              </w:r>
              <w:r w:rsidR="00D16E00" w:rsidRPr="00D16E00">
                <w:rPr>
                  <w:rStyle w:val="Hyperlink"/>
                  <w:rFonts w:ascii="Verdana" w:hAnsi="Verdana" w:cs="Segoe UI"/>
                  <w:sz w:val="17"/>
                  <w:szCs w:val="17"/>
                </w:rPr>
                <w:t>, Chapter 1, 0105</w:t>
              </w:r>
            </w:hyperlink>
            <w:r w:rsidR="00DF2466" w:rsidRPr="00C43A5E">
              <w:rPr>
                <w:rFonts w:ascii="Verdana" w:hAnsi="Verdana" w:cs="Segoe UI"/>
                <w:color w:val="4F81BD" w:themeColor="accent1"/>
                <w:sz w:val="17"/>
                <w:szCs w:val="17"/>
              </w:rPr>
              <w:t xml:space="preserve"> - the station will aggressively pursue the collection of all debts while ensuring that debtor is advised of his or her due process rights regarding  the nature and amount of the debt through the issuance of the proper NOI. If debtor fails to respond to the demand letters – refer debt to TOP for collection. </w:t>
            </w:r>
          </w:p>
          <w:p w14:paraId="143519B4" w14:textId="7E78AFBB" w:rsidR="00DF2466" w:rsidRPr="00C43A5E" w:rsidRDefault="00DF57D2" w:rsidP="00F75A5A">
            <w:pPr>
              <w:jc w:val="both"/>
              <w:rPr>
                <w:rFonts w:ascii="Verdana" w:hAnsi="Verdana" w:cs="Segoe UI"/>
                <w:color w:val="4F81BD" w:themeColor="accent1"/>
                <w:sz w:val="17"/>
                <w:szCs w:val="17"/>
              </w:rPr>
            </w:pPr>
            <w:r w:rsidRPr="00C43A5E">
              <w:rPr>
                <w:rFonts w:ascii="Verdana" w:hAnsi="Verdana" w:cs="Segoe UI"/>
                <w:color w:val="4F81BD" w:themeColor="accent1"/>
                <w:sz w:val="17"/>
                <w:szCs w:val="17"/>
              </w:rPr>
              <w:t xml:space="preserve">Once an </w:t>
            </w:r>
            <w:r w:rsidR="00DF2466" w:rsidRPr="00C43A5E">
              <w:rPr>
                <w:rFonts w:ascii="Verdana" w:hAnsi="Verdana" w:cs="Segoe UI"/>
                <w:color w:val="4F81BD" w:themeColor="accent1"/>
                <w:sz w:val="17"/>
                <w:szCs w:val="17"/>
              </w:rPr>
              <w:t xml:space="preserve">employee </w:t>
            </w:r>
            <w:r w:rsidRPr="00C43A5E">
              <w:rPr>
                <w:rFonts w:ascii="Verdana" w:hAnsi="Verdana" w:cs="Segoe UI"/>
                <w:color w:val="4F81BD" w:themeColor="accent1"/>
                <w:sz w:val="17"/>
                <w:szCs w:val="17"/>
              </w:rPr>
              <w:t xml:space="preserve">has been approved for disability retirement – DFAS will not be able to collect from the employee payroll. The station is responsible for informing the employee of any debt owe to the government prior to the employee’s approved disability retirement. </w:t>
            </w:r>
          </w:p>
        </w:tc>
      </w:tr>
      <w:tr w:rsidR="00757D85" w:rsidRPr="00AA78B2" w14:paraId="5B35A062" w14:textId="77777777" w:rsidTr="00F75A5A">
        <w:tblPrEx>
          <w:shd w:val="clear" w:color="auto" w:fill="auto"/>
        </w:tblPrEx>
        <w:trPr>
          <w:trHeight w:val="818"/>
        </w:trPr>
        <w:tc>
          <w:tcPr>
            <w:tcW w:w="4274" w:type="dxa"/>
          </w:tcPr>
          <w:p w14:paraId="5E3B9969" w14:textId="2138C87F" w:rsidR="00757D85" w:rsidRPr="00C43A5E" w:rsidRDefault="00757D85">
            <w:pPr>
              <w:jc w:val="both"/>
              <w:rPr>
                <w:rFonts w:ascii="Verdana" w:hAnsi="Verdana"/>
                <w:sz w:val="19"/>
                <w:szCs w:val="19"/>
              </w:rPr>
            </w:pPr>
            <w:r>
              <w:rPr>
                <w:rFonts w:ascii="Verdana" w:hAnsi="Verdana"/>
                <w:b/>
                <w:sz w:val="19"/>
                <w:szCs w:val="19"/>
              </w:rPr>
              <w:lastRenderedPageBreak/>
              <w:t xml:space="preserve">17. </w:t>
            </w:r>
            <w:r>
              <w:rPr>
                <w:rFonts w:ascii="Verdana" w:hAnsi="Verdana"/>
                <w:sz w:val="19"/>
                <w:szCs w:val="19"/>
              </w:rPr>
              <w:t>Do I need to record an account receivable for an overpayment to a vendor when our station agrees to have the vendor apply the overpayment to the next vendor invoice?</w:t>
            </w:r>
          </w:p>
        </w:tc>
        <w:tc>
          <w:tcPr>
            <w:tcW w:w="5302" w:type="dxa"/>
          </w:tcPr>
          <w:p w14:paraId="1A707EE4" w14:textId="77777777" w:rsidR="00757D85" w:rsidRDefault="00757D85" w:rsidP="00F75A5A">
            <w:pPr>
              <w:jc w:val="both"/>
              <w:rPr>
                <w:rFonts w:ascii="Verdana" w:hAnsi="Verdana" w:cs="Segoe UI"/>
                <w:color w:val="4F81BD" w:themeColor="accent1"/>
                <w:sz w:val="17"/>
                <w:szCs w:val="17"/>
              </w:rPr>
            </w:pPr>
            <w:r>
              <w:rPr>
                <w:rFonts w:ascii="Verdana" w:hAnsi="Verdana" w:cs="Segoe UI"/>
                <w:color w:val="4F81BD" w:themeColor="accent1"/>
                <w:sz w:val="17"/>
                <w:szCs w:val="17"/>
              </w:rPr>
              <w:t>Yes. VA financial policy requires:</w:t>
            </w:r>
          </w:p>
          <w:p w14:paraId="162AE105" w14:textId="77777777" w:rsidR="00757D85" w:rsidRPr="00757D85" w:rsidRDefault="00757D85" w:rsidP="00C43A5E">
            <w:pPr>
              <w:pStyle w:val="ListParagraph"/>
              <w:numPr>
                <w:ilvl w:val="0"/>
                <w:numId w:val="47"/>
              </w:numPr>
              <w:jc w:val="both"/>
              <w:rPr>
                <w:rFonts w:ascii="Verdana" w:hAnsi="Verdana" w:cs="Segoe UI"/>
                <w:color w:val="4F81BD" w:themeColor="accent1"/>
                <w:sz w:val="17"/>
                <w:szCs w:val="17"/>
              </w:rPr>
            </w:pPr>
            <w:r>
              <w:rPr>
                <w:rFonts w:ascii="Verdana" w:hAnsi="Verdana" w:cs="Segoe UI"/>
                <w:b w:val="0"/>
                <w:color w:val="4F81BD" w:themeColor="accent1"/>
                <w:sz w:val="17"/>
                <w:szCs w:val="17"/>
              </w:rPr>
              <w:t>A receivable to be recorded in the accounting period when the debt to the VA is determined (e.g., overpayment).</w:t>
            </w:r>
          </w:p>
          <w:p w14:paraId="63A3CDA5" w14:textId="77777777" w:rsidR="00757D85" w:rsidRPr="00757D85" w:rsidRDefault="00757D85" w:rsidP="00C43A5E">
            <w:pPr>
              <w:pStyle w:val="ListParagraph"/>
              <w:numPr>
                <w:ilvl w:val="0"/>
                <w:numId w:val="47"/>
              </w:numPr>
              <w:jc w:val="both"/>
              <w:rPr>
                <w:rFonts w:ascii="Verdana" w:hAnsi="Verdana" w:cs="Segoe UI"/>
                <w:color w:val="4F81BD" w:themeColor="accent1"/>
                <w:sz w:val="17"/>
                <w:szCs w:val="17"/>
              </w:rPr>
            </w:pPr>
            <w:r>
              <w:rPr>
                <w:rFonts w:ascii="Verdana" w:hAnsi="Verdana" w:cs="Segoe UI"/>
                <w:b w:val="0"/>
                <w:color w:val="4F81BD" w:themeColor="accent1"/>
                <w:sz w:val="17"/>
                <w:szCs w:val="17"/>
              </w:rPr>
              <w:t>Implement standard collection procedures to resolve the debt, including promptly notifying vendors of any debts owed and advise them of their due process rights and remedies relating to the debt.</w:t>
            </w:r>
          </w:p>
          <w:p w14:paraId="2AC00D80" w14:textId="77777777" w:rsidR="00757D85" w:rsidRPr="00757D85" w:rsidRDefault="00757D85" w:rsidP="00C43A5E">
            <w:pPr>
              <w:pStyle w:val="ListParagraph"/>
              <w:numPr>
                <w:ilvl w:val="0"/>
                <w:numId w:val="47"/>
              </w:numPr>
              <w:jc w:val="both"/>
              <w:rPr>
                <w:rFonts w:ascii="Verdana" w:hAnsi="Verdana" w:cs="Segoe UI"/>
                <w:color w:val="4F81BD" w:themeColor="accent1"/>
                <w:sz w:val="17"/>
                <w:szCs w:val="17"/>
              </w:rPr>
            </w:pPr>
            <w:r>
              <w:rPr>
                <w:rFonts w:ascii="Verdana" w:hAnsi="Verdana" w:cs="Segoe UI"/>
                <w:b w:val="0"/>
                <w:color w:val="4F81BD" w:themeColor="accent1"/>
                <w:sz w:val="17"/>
                <w:szCs w:val="17"/>
              </w:rPr>
              <w:t xml:space="preserve">A timely recorded account receivable for erroneous and improper payments to serve as an audit trail to demonstrate the improper payment was recovered. </w:t>
            </w:r>
          </w:p>
          <w:p w14:paraId="2F794AC1" w14:textId="0B47C743" w:rsidR="00757D85" w:rsidRPr="00C43A5E" w:rsidRDefault="00757D85" w:rsidP="00757D85">
            <w:pPr>
              <w:jc w:val="both"/>
              <w:rPr>
                <w:rFonts w:ascii="Verdana" w:hAnsi="Verdana" w:cs="Segoe UI"/>
                <w:color w:val="4F81BD" w:themeColor="accent1"/>
                <w:sz w:val="17"/>
                <w:szCs w:val="17"/>
              </w:rPr>
            </w:pPr>
            <w:r>
              <w:rPr>
                <w:rFonts w:ascii="Verdana" w:hAnsi="Verdana" w:cs="Segoe UI"/>
                <w:color w:val="4F81BD" w:themeColor="accent1"/>
                <w:sz w:val="17"/>
                <w:szCs w:val="17"/>
              </w:rPr>
              <w:t>Without an accounts receivable in the accounting records, the VA may not be able to demonstrate to auditors, the Congress, and other interested parties, compliance with VA finance policy and the effectiveness of the VA Improper Payment Recovery Program.</w:t>
            </w:r>
          </w:p>
        </w:tc>
      </w:tr>
    </w:tbl>
    <w:p w14:paraId="2AB83526" w14:textId="77DBC24D" w:rsidR="000F2933" w:rsidRPr="009B574F" w:rsidRDefault="009B574F" w:rsidP="009B574F">
      <w:pPr>
        <w:tabs>
          <w:tab w:val="left" w:pos="8352"/>
        </w:tabs>
      </w:pPr>
      <w:r>
        <w:tab/>
      </w:r>
    </w:p>
    <w:sectPr w:rsidR="000F2933" w:rsidRPr="009B574F" w:rsidSect="00C43A5E">
      <w:footerReference w:type="default" r:id="rId20"/>
      <w:footerReference w:type="first" r:id="rId21"/>
      <w:pgSz w:w="12240" w:h="15840" w:code="1"/>
      <w:pgMar w:top="1440" w:right="1440" w:bottom="1440" w:left="1440" w:header="634" w:footer="36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F936" w14:textId="77777777" w:rsidR="00A77245" w:rsidRDefault="00A77245" w:rsidP="00406E2A">
      <w:r>
        <w:separator/>
      </w:r>
    </w:p>
  </w:endnote>
  <w:endnote w:type="continuationSeparator" w:id="0">
    <w:p w14:paraId="73D8588A" w14:textId="77777777" w:rsidR="00A77245" w:rsidRDefault="00A77245" w:rsidP="00406E2A">
      <w:r>
        <w:continuationSeparator/>
      </w:r>
    </w:p>
  </w:endnote>
  <w:endnote w:type="continuationNotice" w:id="1">
    <w:p w14:paraId="4CF07820" w14:textId="77777777" w:rsidR="00A77245" w:rsidRDefault="00A77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0443" w14:textId="5C18DCD7" w:rsidR="001432B7" w:rsidRPr="00C6711E" w:rsidRDefault="001432B7" w:rsidP="00C6711E">
    <w:pPr>
      <w:pStyle w:val="Footer"/>
      <w:tabs>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77411947"/>
      <w:docPartObj>
        <w:docPartGallery w:val="Page Numbers (Bottom of Page)"/>
        <w:docPartUnique/>
      </w:docPartObj>
    </w:sdtPr>
    <w:sdtEndPr>
      <w:rPr>
        <w:color w:val="808080" w:themeColor="background1" w:themeShade="80"/>
      </w:rPr>
    </w:sdtEndPr>
    <w:sdtContent>
      <w:sdt>
        <w:sdtPr>
          <w:rPr>
            <w:sz w:val="20"/>
            <w:szCs w:val="20"/>
          </w:rPr>
          <w:id w:val="1730887389"/>
          <w:docPartObj>
            <w:docPartGallery w:val="Page Numbers (Top of Page)"/>
            <w:docPartUnique/>
          </w:docPartObj>
        </w:sdtPr>
        <w:sdtEndPr>
          <w:rPr>
            <w:color w:val="808080" w:themeColor="background1" w:themeShade="80"/>
          </w:rPr>
        </w:sdtEndPr>
        <w:sdtContent>
          <w:p w14:paraId="172B56A7" w14:textId="052C08D1" w:rsidR="00397F3D" w:rsidRPr="00C43A5E" w:rsidRDefault="00397F3D" w:rsidP="00397F3D">
            <w:pPr>
              <w:pStyle w:val="Footer"/>
              <w:pBdr>
                <w:top w:val="single" w:sz="4" w:space="1" w:color="auto"/>
              </w:pBdr>
              <w:tabs>
                <w:tab w:val="clear" w:pos="4680"/>
                <w:tab w:val="clear" w:pos="9360"/>
              </w:tabs>
              <w:rPr>
                <w:color w:val="808080" w:themeColor="background1" w:themeShade="80"/>
                <w:sz w:val="20"/>
                <w:szCs w:val="20"/>
              </w:rPr>
            </w:pPr>
            <w:r w:rsidRPr="00C43A5E">
              <w:rPr>
                <w:color w:val="808080" w:themeColor="background1" w:themeShade="80"/>
                <w:sz w:val="20"/>
                <w:szCs w:val="20"/>
              </w:rPr>
              <w:t>Veterans Benefits Administration—ORM/ALAC</w:t>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00E662DE" w:rsidRPr="00C43A5E">
              <w:rPr>
                <w:color w:val="808080" w:themeColor="background1" w:themeShade="80"/>
                <w:sz w:val="20"/>
                <w:szCs w:val="20"/>
              </w:rPr>
              <w:t>October</w:t>
            </w:r>
            <w:r w:rsidRPr="00C43A5E">
              <w:rPr>
                <w:color w:val="808080" w:themeColor="background1" w:themeShade="80"/>
                <w:sz w:val="20"/>
                <w:szCs w:val="20"/>
              </w:rPr>
              <w:t xml:space="preserve"> </w:t>
            </w:r>
            <w:r w:rsidRPr="00C43A5E">
              <w:rPr>
                <w:bCs/>
                <w:color w:val="808080" w:themeColor="background1" w:themeShade="80"/>
                <w:sz w:val="20"/>
                <w:szCs w:val="20"/>
              </w:rPr>
              <w:t>2017</w:t>
            </w:r>
          </w:p>
          <w:p w14:paraId="78793211" w14:textId="17042A89" w:rsidR="00397F3D" w:rsidRPr="00C43A5E" w:rsidRDefault="002F3636" w:rsidP="00C6711E">
            <w:pPr>
              <w:pStyle w:val="Footer"/>
              <w:tabs>
                <w:tab w:val="clear" w:pos="9360"/>
              </w:tabs>
              <w:rPr>
                <w:color w:val="808080" w:themeColor="background1" w:themeShade="80"/>
                <w:sz w:val="20"/>
                <w:szCs w:val="20"/>
              </w:rPr>
            </w:pPr>
            <w:r w:rsidRPr="00C43A5E">
              <w:rPr>
                <w:color w:val="808080" w:themeColor="background1" w:themeShade="80"/>
                <w:sz w:val="20"/>
                <w:szCs w:val="20"/>
              </w:rPr>
              <w:t>Accounts Receivable</w:t>
            </w:r>
            <w:r w:rsidR="007E7FAB" w:rsidRPr="00C43A5E">
              <w:rPr>
                <w:color w:val="808080" w:themeColor="background1" w:themeShade="80"/>
                <w:sz w:val="20"/>
                <w:szCs w:val="20"/>
              </w:rPr>
              <w:t>s</w:t>
            </w:r>
            <w:r w:rsidR="00E662DE" w:rsidRPr="00C43A5E">
              <w:rPr>
                <w:color w:val="808080" w:themeColor="background1" w:themeShade="80"/>
                <w:sz w:val="20"/>
                <w:szCs w:val="20"/>
              </w:rPr>
              <w:t xml:space="preserve"> Webinar </w:t>
            </w:r>
            <w:r w:rsidR="00397F3D" w:rsidRPr="00C43A5E">
              <w:rPr>
                <w:color w:val="808080" w:themeColor="background1" w:themeShade="80"/>
                <w:sz w:val="20"/>
                <w:szCs w:val="20"/>
              </w:rPr>
              <w:t>Training</w:t>
            </w:r>
            <w:r w:rsidR="00E662DE" w:rsidRPr="00C43A5E">
              <w:rPr>
                <w:color w:val="808080" w:themeColor="background1" w:themeShade="80"/>
                <w:sz w:val="20"/>
                <w:szCs w:val="20"/>
              </w:rPr>
              <w:t xml:space="preserve">                                                                     </w:t>
            </w:r>
            <w:r w:rsidR="00397F3D" w:rsidRPr="00C43A5E">
              <w:rPr>
                <w:color w:val="808080" w:themeColor="background1" w:themeShade="80"/>
                <w:sz w:val="20"/>
                <w:szCs w:val="20"/>
              </w:rPr>
              <w:t xml:space="preserve"> </w:t>
            </w:r>
            <w:r w:rsidR="00397F3D" w:rsidRPr="00C43A5E">
              <w:rPr>
                <w:color w:val="808080" w:themeColor="background1" w:themeShade="80"/>
                <w:sz w:val="20"/>
                <w:szCs w:val="20"/>
              </w:rPr>
              <w:tab/>
            </w:r>
            <w:r w:rsidR="00F75A5A">
              <w:rPr>
                <w:color w:val="808080" w:themeColor="background1" w:themeShade="80"/>
                <w:sz w:val="20"/>
                <w:szCs w:val="20"/>
              </w:rPr>
              <w:tab/>
            </w:r>
            <w:r w:rsidR="00397F3D" w:rsidRPr="00C43A5E">
              <w:rPr>
                <w:color w:val="808080" w:themeColor="background1" w:themeShade="80"/>
                <w:sz w:val="20"/>
                <w:szCs w:val="20"/>
              </w:rPr>
              <w:t xml:space="preserve">Page </w:t>
            </w:r>
            <w:r w:rsidR="00397F3D" w:rsidRPr="00C43A5E">
              <w:rPr>
                <w:bCs/>
                <w:color w:val="808080" w:themeColor="background1" w:themeShade="80"/>
                <w:sz w:val="20"/>
                <w:szCs w:val="20"/>
              </w:rPr>
              <w:fldChar w:fldCharType="begin"/>
            </w:r>
            <w:r w:rsidR="00397F3D" w:rsidRPr="00C43A5E">
              <w:rPr>
                <w:bCs/>
                <w:color w:val="808080" w:themeColor="background1" w:themeShade="80"/>
                <w:sz w:val="20"/>
                <w:szCs w:val="20"/>
              </w:rPr>
              <w:instrText xml:space="preserve"> PAGE </w:instrText>
            </w:r>
            <w:r w:rsidR="00397F3D" w:rsidRPr="00C43A5E">
              <w:rPr>
                <w:bCs/>
                <w:color w:val="808080" w:themeColor="background1" w:themeShade="80"/>
                <w:sz w:val="20"/>
                <w:szCs w:val="20"/>
              </w:rPr>
              <w:fldChar w:fldCharType="separate"/>
            </w:r>
            <w:r w:rsidR="00EA66C7">
              <w:rPr>
                <w:bCs/>
                <w:noProof/>
                <w:color w:val="808080" w:themeColor="background1" w:themeShade="80"/>
                <w:sz w:val="20"/>
                <w:szCs w:val="20"/>
              </w:rPr>
              <w:t>3</w:t>
            </w:r>
            <w:r w:rsidR="00397F3D" w:rsidRPr="00C43A5E">
              <w:rPr>
                <w:bCs/>
                <w:color w:val="808080" w:themeColor="background1" w:themeShade="80"/>
                <w:sz w:val="20"/>
                <w:szCs w:val="20"/>
              </w:rPr>
              <w:fldChar w:fldCharType="end"/>
            </w:r>
            <w:r w:rsidR="00397F3D" w:rsidRPr="00C43A5E">
              <w:rPr>
                <w:color w:val="808080" w:themeColor="background1" w:themeShade="80"/>
                <w:sz w:val="20"/>
                <w:szCs w:val="20"/>
              </w:rPr>
              <w:t xml:space="preserve"> of </w:t>
            </w:r>
            <w:r w:rsidRPr="00C43A5E">
              <w:rPr>
                <w:color w:val="808080" w:themeColor="background1" w:themeShade="80"/>
                <w:sz w:val="20"/>
                <w:szCs w:val="20"/>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719"/>
      <w:docPartObj>
        <w:docPartGallery w:val="Page Numbers (Bottom of Page)"/>
        <w:docPartUnique/>
      </w:docPartObj>
    </w:sdtPr>
    <w:sdtEndPr/>
    <w:sdtContent>
      <w:sdt>
        <w:sdtPr>
          <w:id w:val="2001934120"/>
          <w:docPartObj>
            <w:docPartGallery w:val="Page Numbers (Top of Page)"/>
            <w:docPartUnique/>
          </w:docPartObj>
        </w:sdtPr>
        <w:sdtEndPr/>
        <w:sdtContent>
          <w:p w14:paraId="7068D962" w14:textId="465B8FF6" w:rsidR="00397F3D" w:rsidRPr="00C6711E" w:rsidRDefault="00397F3D" w:rsidP="00397F3D">
            <w:pPr>
              <w:pStyle w:val="Footer"/>
              <w:pBdr>
                <w:top w:val="single" w:sz="4" w:space="1" w:color="auto"/>
              </w:pBdr>
              <w:tabs>
                <w:tab w:val="clear" w:pos="4680"/>
                <w:tab w:val="clear" w:pos="9360"/>
              </w:tabs>
            </w:pPr>
            <w:r w:rsidRPr="00C6711E">
              <w:t>Veterans Benefits Administration—ORM/ALAC</w:t>
            </w:r>
            <w:r w:rsidRPr="00C6711E">
              <w:tab/>
            </w:r>
            <w:r w:rsidRPr="00C6711E">
              <w:tab/>
            </w:r>
            <w:r w:rsidRPr="00C6711E">
              <w:tab/>
            </w:r>
            <w:r w:rsidRPr="00C6711E">
              <w:tab/>
            </w:r>
            <w:r w:rsidR="009B574F">
              <w:t xml:space="preserve">November </w:t>
            </w:r>
            <w:r w:rsidRPr="00C6711E">
              <w:rPr>
                <w:bCs/>
              </w:rPr>
              <w:t>2017</w:t>
            </w:r>
          </w:p>
          <w:p w14:paraId="0168663D" w14:textId="70A5E337" w:rsidR="00397F3D" w:rsidRPr="00397F3D" w:rsidRDefault="002F3636" w:rsidP="00397F3D">
            <w:pPr>
              <w:pStyle w:val="Footer"/>
              <w:tabs>
                <w:tab w:val="clear" w:pos="9360"/>
              </w:tabs>
            </w:pPr>
            <w:r>
              <w:t>Accounts Receivable</w:t>
            </w:r>
            <w:r w:rsidR="007E7FAB">
              <w:t>s</w:t>
            </w:r>
            <w:r w:rsidR="003546F3">
              <w:t xml:space="preserve"> Webinar</w:t>
            </w:r>
            <w:r w:rsidR="00397F3D" w:rsidRPr="00C6711E">
              <w:t xml:space="preserve"> Training </w:t>
            </w:r>
            <w:r w:rsidR="00397F3D" w:rsidRPr="00C6711E">
              <w:tab/>
            </w:r>
            <w:r w:rsidR="003546F3">
              <w:t xml:space="preserve">                                         </w:t>
            </w:r>
            <w:r w:rsidR="00C74479">
              <w:t xml:space="preserve">     </w:t>
            </w:r>
            <w:r w:rsidR="00397F3D" w:rsidRPr="00C6711E">
              <w:tab/>
              <w:t xml:space="preserve">Page </w:t>
            </w:r>
            <w:r w:rsidR="00397F3D" w:rsidRPr="00C6711E">
              <w:rPr>
                <w:bCs/>
              </w:rPr>
              <w:fldChar w:fldCharType="begin"/>
            </w:r>
            <w:r w:rsidR="00397F3D" w:rsidRPr="00C6711E">
              <w:rPr>
                <w:bCs/>
              </w:rPr>
              <w:instrText xml:space="preserve"> PAGE </w:instrText>
            </w:r>
            <w:r w:rsidR="00397F3D" w:rsidRPr="00C6711E">
              <w:rPr>
                <w:bCs/>
              </w:rPr>
              <w:fldChar w:fldCharType="separate"/>
            </w:r>
            <w:r w:rsidR="00EA66C7">
              <w:rPr>
                <w:bCs/>
                <w:noProof/>
              </w:rPr>
              <w:t>1</w:t>
            </w:r>
            <w:r w:rsidR="00397F3D" w:rsidRPr="00C6711E">
              <w:rPr>
                <w:bCs/>
              </w:rPr>
              <w:fldChar w:fldCharType="end"/>
            </w:r>
            <w:r w:rsidR="00397F3D" w:rsidRPr="00C6711E">
              <w:t xml:space="preserve"> of </w:t>
            </w:r>
            <w: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AA9D" w14:textId="77777777" w:rsidR="00A77245" w:rsidRDefault="00A77245" w:rsidP="00406E2A">
      <w:r>
        <w:separator/>
      </w:r>
    </w:p>
  </w:footnote>
  <w:footnote w:type="continuationSeparator" w:id="0">
    <w:p w14:paraId="5E945C9A" w14:textId="77777777" w:rsidR="00A77245" w:rsidRDefault="00A77245" w:rsidP="00406E2A">
      <w:r>
        <w:continuationSeparator/>
      </w:r>
    </w:p>
  </w:footnote>
  <w:footnote w:type="continuationNotice" w:id="1">
    <w:p w14:paraId="3BF37880" w14:textId="77777777" w:rsidR="00A77245" w:rsidRDefault="00A77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9082" w14:textId="14473409" w:rsidR="00EB5ECE" w:rsidRPr="00253E68" w:rsidRDefault="00EB5ECE"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82ABE">
      <w:rPr>
        <w:b/>
        <w:noProof/>
        <w:sz w:val="32"/>
        <w:szCs w:val="32"/>
      </w:rPr>
      <w:drawing>
        <wp:inline distT="0" distB="0" distL="0" distR="0" wp14:anchorId="6EA8EB75" wp14:editId="615DCADB">
          <wp:extent cx="1270635" cy="457200"/>
          <wp:effectExtent l="0" t="0" r="5715" b="0"/>
          <wp:docPr id="2" name="Picture 2" descr="My VA Putting Veterans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VALogo.png"/>
                  <pic:cNvPicPr/>
                </pic:nvPicPr>
                <pic:blipFill>
                  <a:blip r:embed="rId2">
                    <a:extLst>
                      <a:ext uri="{28A0092B-C50C-407E-A947-70E740481C1C}">
                        <a14:useLocalDpi xmlns:a14="http://schemas.microsoft.com/office/drawing/2010/main" val="0"/>
                      </a:ext>
                    </a:extLst>
                  </a:blip>
                  <a:stretch>
                    <a:fillRect/>
                  </a:stretch>
                </pic:blipFill>
                <pic:spPr>
                  <a:xfrm>
                    <a:off x="0" y="0"/>
                    <a:ext cx="1270635"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6B1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02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63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AEC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A88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BE62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26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50820"/>
    <w:multiLevelType w:val="hybridMultilevel"/>
    <w:tmpl w:val="BB2AD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434AA"/>
    <w:multiLevelType w:val="hybridMultilevel"/>
    <w:tmpl w:val="478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97A11"/>
    <w:multiLevelType w:val="hybridMultilevel"/>
    <w:tmpl w:val="298AF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7F03"/>
    <w:multiLevelType w:val="hybridMultilevel"/>
    <w:tmpl w:val="EEA6EC16"/>
    <w:lvl w:ilvl="0" w:tplc="CE20531E">
      <w:start w:val="1"/>
      <w:numFmt w:val="bullet"/>
      <w:lvlText w:val=""/>
      <w:lvlJc w:val="left"/>
      <w:pPr>
        <w:tabs>
          <w:tab w:val="num" w:pos="720"/>
        </w:tabs>
        <w:ind w:left="720" w:hanging="360"/>
      </w:pPr>
      <w:rPr>
        <w:rFonts w:ascii="Wingdings" w:hAnsi="Wingdings" w:hint="default"/>
      </w:rPr>
    </w:lvl>
    <w:lvl w:ilvl="1" w:tplc="F9BE767E" w:tentative="1">
      <w:start w:val="1"/>
      <w:numFmt w:val="bullet"/>
      <w:lvlText w:val=""/>
      <w:lvlJc w:val="left"/>
      <w:pPr>
        <w:tabs>
          <w:tab w:val="num" w:pos="1440"/>
        </w:tabs>
        <w:ind w:left="1440" w:hanging="360"/>
      </w:pPr>
      <w:rPr>
        <w:rFonts w:ascii="Wingdings" w:hAnsi="Wingdings" w:hint="default"/>
      </w:rPr>
    </w:lvl>
    <w:lvl w:ilvl="2" w:tplc="442E1664" w:tentative="1">
      <w:start w:val="1"/>
      <w:numFmt w:val="bullet"/>
      <w:lvlText w:val=""/>
      <w:lvlJc w:val="left"/>
      <w:pPr>
        <w:tabs>
          <w:tab w:val="num" w:pos="2160"/>
        </w:tabs>
        <w:ind w:left="2160" w:hanging="360"/>
      </w:pPr>
      <w:rPr>
        <w:rFonts w:ascii="Wingdings" w:hAnsi="Wingdings" w:hint="default"/>
      </w:rPr>
    </w:lvl>
    <w:lvl w:ilvl="3" w:tplc="383A51D6" w:tentative="1">
      <w:start w:val="1"/>
      <w:numFmt w:val="bullet"/>
      <w:lvlText w:val=""/>
      <w:lvlJc w:val="left"/>
      <w:pPr>
        <w:tabs>
          <w:tab w:val="num" w:pos="2880"/>
        </w:tabs>
        <w:ind w:left="2880" w:hanging="360"/>
      </w:pPr>
      <w:rPr>
        <w:rFonts w:ascii="Wingdings" w:hAnsi="Wingdings" w:hint="default"/>
      </w:rPr>
    </w:lvl>
    <w:lvl w:ilvl="4" w:tplc="0D0A89A8" w:tentative="1">
      <w:start w:val="1"/>
      <w:numFmt w:val="bullet"/>
      <w:lvlText w:val=""/>
      <w:lvlJc w:val="left"/>
      <w:pPr>
        <w:tabs>
          <w:tab w:val="num" w:pos="3600"/>
        </w:tabs>
        <w:ind w:left="3600" w:hanging="360"/>
      </w:pPr>
      <w:rPr>
        <w:rFonts w:ascii="Wingdings" w:hAnsi="Wingdings" w:hint="default"/>
      </w:rPr>
    </w:lvl>
    <w:lvl w:ilvl="5" w:tplc="9AE6F60C" w:tentative="1">
      <w:start w:val="1"/>
      <w:numFmt w:val="bullet"/>
      <w:lvlText w:val=""/>
      <w:lvlJc w:val="left"/>
      <w:pPr>
        <w:tabs>
          <w:tab w:val="num" w:pos="4320"/>
        </w:tabs>
        <w:ind w:left="4320" w:hanging="360"/>
      </w:pPr>
      <w:rPr>
        <w:rFonts w:ascii="Wingdings" w:hAnsi="Wingdings" w:hint="default"/>
      </w:rPr>
    </w:lvl>
    <w:lvl w:ilvl="6" w:tplc="EA68209E" w:tentative="1">
      <w:start w:val="1"/>
      <w:numFmt w:val="bullet"/>
      <w:lvlText w:val=""/>
      <w:lvlJc w:val="left"/>
      <w:pPr>
        <w:tabs>
          <w:tab w:val="num" w:pos="5040"/>
        </w:tabs>
        <w:ind w:left="5040" w:hanging="360"/>
      </w:pPr>
      <w:rPr>
        <w:rFonts w:ascii="Wingdings" w:hAnsi="Wingdings" w:hint="default"/>
      </w:rPr>
    </w:lvl>
    <w:lvl w:ilvl="7" w:tplc="B1BAD842" w:tentative="1">
      <w:start w:val="1"/>
      <w:numFmt w:val="bullet"/>
      <w:lvlText w:val=""/>
      <w:lvlJc w:val="left"/>
      <w:pPr>
        <w:tabs>
          <w:tab w:val="num" w:pos="5760"/>
        </w:tabs>
        <w:ind w:left="5760" w:hanging="360"/>
      </w:pPr>
      <w:rPr>
        <w:rFonts w:ascii="Wingdings" w:hAnsi="Wingdings" w:hint="default"/>
      </w:rPr>
    </w:lvl>
    <w:lvl w:ilvl="8" w:tplc="DF0C6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862EF"/>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10842"/>
    <w:multiLevelType w:val="hybridMultilevel"/>
    <w:tmpl w:val="D76C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110D1"/>
    <w:multiLevelType w:val="hybridMultilevel"/>
    <w:tmpl w:val="CF600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546"/>
    <w:multiLevelType w:val="hybridMultilevel"/>
    <w:tmpl w:val="DF0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F71975"/>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94E96"/>
    <w:multiLevelType w:val="hybridMultilevel"/>
    <w:tmpl w:val="1B749F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B59A9"/>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D6536E"/>
    <w:multiLevelType w:val="hybridMultilevel"/>
    <w:tmpl w:val="F5B4A6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EAA1C9B"/>
    <w:multiLevelType w:val="hybridMultilevel"/>
    <w:tmpl w:val="3BFC8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FB63AB"/>
    <w:multiLevelType w:val="hybridMultilevel"/>
    <w:tmpl w:val="56E28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E1D68"/>
    <w:multiLevelType w:val="hybridMultilevel"/>
    <w:tmpl w:val="C61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53140"/>
    <w:multiLevelType w:val="hybridMultilevel"/>
    <w:tmpl w:val="405C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B0D6F"/>
    <w:multiLevelType w:val="hybridMultilevel"/>
    <w:tmpl w:val="015C606C"/>
    <w:lvl w:ilvl="0" w:tplc="90163E3C">
      <w:start w:val="1"/>
      <w:numFmt w:val="bullet"/>
      <w:lvlText w:val="•"/>
      <w:lvlJc w:val="left"/>
      <w:pPr>
        <w:tabs>
          <w:tab w:val="num" w:pos="720"/>
        </w:tabs>
        <w:ind w:left="720" w:hanging="360"/>
      </w:pPr>
      <w:rPr>
        <w:rFonts w:ascii="Arial" w:hAnsi="Arial" w:hint="default"/>
      </w:rPr>
    </w:lvl>
    <w:lvl w:ilvl="1" w:tplc="CF220572" w:tentative="1">
      <w:start w:val="1"/>
      <w:numFmt w:val="bullet"/>
      <w:lvlText w:val="•"/>
      <w:lvlJc w:val="left"/>
      <w:pPr>
        <w:tabs>
          <w:tab w:val="num" w:pos="1440"/>
        </w:tabs>
        <w:ind w:left="1440" w:hanging="360"/>
      </w:pPr>
      <w:rPr>
        <w:rFonts w:ascii="Arial" w:hAnsi="Arial" w:hint="default"/>
      </w:rPr>
    </w:lvl>
    <w:lvl w:ilvl="2" w:tplc="6A40962E" w:tentative="1">
      <w:start w:val="1"/>
      <w:numFmt w:val="bullet"/>
      <w:lvlText w:val="•"/>
      <w:lvlJc w:val="left"/>
      <w:pPr>
        <w:tabs>
          <w:tab w:val="num" w:pos="2160"/>
        </w:tabs>
        <w:ind w:left="2160" w:hanging="360"/>
      </w:pPr>
      <w:rPr>
        <w:rFonts w:ascii="Arial" w:hAnsi="Arial" w:hint="default"/>
      </w:rPr>
    </w:lvl>
    <w:lvl w:ilvl="3" w:tplc="D1AAED6C" w:tentative="1">
      <w:start w:val="1"/>
      <w:numFmt w:val="bullet"/>
      <w:lvlText w:val="•"/>
      <w:lvlJc w:val="left"/>
      <w:pPr>
        <w:tabs>
          <w:tab w:val="num" w:pos="2880"/>
        </w:tabs>
        <w:ind w:left="2880" w:hanging="360"/>
      </w:pPr>
      <w:rPr>
        <w:rFonts w:ascii="Arial" w:hAnsi="Arial" w:hint="default"/>
      </w:rPr>
    </w:lvl>
    <w:lvl w:ilvl="4" w:tplc="F01262B8" w:tentative="1">
      <w:start w:val="1"/>
      <w:numFmt w:val="bullet"/>
      <w:lvlText w:val="•"/>
      <w:lvlJc w:val="left"/>
      <w:pPr>
        <w:tabs>
          <w:tab w:val="num" w:pos="3600"/>
        </w:tabs>
        <w:ind w:left="3600" w:hanging="360"/>
      </w:pPr>
      <w:rPr>
        <w:rFonts w:ascii="Arial" w:hAnsi="Arial" w:hint="default"/>
      </w:rPr>
    </w:lvl>
    <w:lvl w:ilvl="5" w:tplc="8228BD24" w:tentative="1">
      <w:start w:val="1"/>
      <w:numFmt w:val="bullet"/>
      <w:lvlText w:val="•"/>
      <w:lvlJc w:val="left"/>
      <w:pPr>
        <w:tabs>
          <w:tab w:val="num" w:pos="4320"/>
        </w:tabs>
        <w:ind w:left="4320" w:hanging="360"/>
      </w:pPr>
      <w:rPr>
        <w:rFonts w:ascii="Arial" w:hAnsi="Arial" w:hint="default"/>
      </w:rPr>
    </w:lvl>
    <w:lvl w:ilvl="6" w:tplc="908AA6C6" w:tentative="1">
      <w:start w:val="1"/>
      <w:numFmt w:val="bullet"/>
      <w:lvlText w:val="•"/>
      <w:lvlJc w:val="left"/>
      <w:pPr>
        <w:tabs>
          <w:tab w:val="num" w:pos="5040"/>
        </w:tabs>
        <w:ind w:left="5040" w:hanging="360"/>
      </w:pPr>
      <w:rPr>
        <w:rFonts w:ascii="Arial" w:hAnsi="Arial" w:hint="default"/>
      </w:rPr>
    </w:lvl>
    <w:lvl w:ilvl="7" w:tplc="9C0AC0EA" w:tentative="1">
      <w:start w:val="1"/>
      <w:numFmt w:val="bullet"/>
      <w:lvlText w:val="•"/>
      <w:lvlJc w:val="left"/>
      <w:pPr>
        <w:tabs>
          <w:tab w:val="num" w:pos="5760"/>
        </w:tabs>
        <w:ind w:left="5760" w:hanging="360"/>
      </w:pPr>
      <w:rPr>
        <w:rFonts w:ascii="Arial" w:hAnsi="Arial" w:hint="default"/>
      </w:rPr>
    </w:lvl>
    <w:lvl w:ilvl="8" w:tplc="80D017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07AE9"/>
    <w:multiLevelType w:val="hybridMultilevel"/>
    <w:tmpl w:val="7D524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663D1"/>
    <w:multiLevelType w:val="hybridMultilevel"/>
    <w:tmpl w:val="39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3284E"/>
    <w:multiLevelType w:val="hybridMultilevel"/>
    <w:tmpl w:val="72FCAD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917DF"/>
    <w:multiLevelType w:val="hybridMultilevel"/>
    <w:tmpl w:val="0442A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D0AE4"/>
    <w:multiLevelType w:val="hybridMultilevel"/>
    <w:tmpl w:val="E3CC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11"/>
  </w:num>
  <w:num w:numId="4">
    <w:abstractNumId w:val="33"/>
  </w:num>
  <w:num w:numId="5">
    <w:abstractNumId w:val="10"/>
  </w:num>
  <w:num w:numId="6">
    <w:abstractNumId w:val="32"/>
  </w:num>
  <w:num w:numId="7">
    <w:abstractNumId w:val="28"/>
  </w:num>
  <w:num w:numId="8">
    <w:abstractNumId w:val="24"/>
  </w:num>
  <w:num w:numId="9">
    <w:abstractNumId w:val="9"/>
  </w:num>
  <w:num w:numId="10">
    <w:abstractNumId w:val="7"/>
  </w:num>
  <w:num w:numId="11">
    <w:abstractNumId w:val="3"/>
  </w:num>
  <w:num w:numId="12">
    <w:abstractNumId w:val="18"/>
  </w:num>
  <w:num w:numId="13">
    <w:abstractNumId w:val="38"/>
  </w:num>
  <w:num w:numId="14">
    <w:abstractNumId w:val="13"/>
  </w:num>
  <w:num w:numId="15">
    <w:abstractNumId w:val="34"/>
  </w:num>
  <w:num w:numId="16">
    <w:abstractNumId w:val="20"/>
  </w:num>
  <w:num w:numId="17">
    <w:abstractNumId w:val="14"/>
  </w:num>
  <w:num w:numId="18">
    <w:abstractNumId w:val="15"/>
  </w:num>
  <w:num w:numId="19">
    <w:abstractNumId w:val="24"/>
  </w:num>
  <w:num w:numId="20">
    <w:abstractNumId w:val="21"/>
  </w:num>
  <w:num w:numId="21">
    <w:abstractNumId w:val="24"/>
  </w:num>
  <w:num w:numId="22">
    <w:abstractNumId w:val="23"/>
  </w:num>
  <w:num w:numId="23">
    <w:abstractNumId w:val="1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6"/>
  </w:num>
  <w:num w:numId="32">
    <w:abstractNumId w:val="29"/>
  </w:num>
  <w:num w:numId="33">
    <w:abstractNumId w:val="35"/>
  </w:num>
  <w:num w:numId="34">
    <w:abstractNumId w:val="30"/>
  </w:num>
  <w:num w:numId="35">
    <w:abstractNumId w:val="16"/>
  </w:num>
  <w:num w:numId="36">
    <w:abstractNumId w:val="24"/>
  </w:num>
  <w:num w:numId="37">
    <w:abstractNumId w:val="24"/>
  </w:num>
  <w:num w:numId="38">
    <w:abstractNumId w:val="26"/>
  </w:num>
  <w:num w:numId="39">
    <w:abstractNumId w:val="24"/>
  </w:num>
  <w:num w:numId="40">
    <w:abstractNumId w:val="24"/>
  </w:num>
  <w:num w:numId="41">
    <w:abstractNumId w:val="2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4"/>
  </w:num>
  <w:num w:numId="45">
    <w:abstractNumId w:val="24"/>
  </w:num>
  <w:num w:numId="46">
    <w:abstractNumId w:val="27"/>
  </w:num>
  <w:num w:numId="47">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E2A"/>
    <w:rsid w:val="0000016E"/>
    <w:rsid w:val="000039B5"/>
    <w:rsid w:val="00003C3D"/>
    <w:rsid w:val="00003E8B"/>
    <w:rsid w:val="0000463E"/>
    <w:rsid w:val="000066B8"/>
    <w:rsid w:val="00007C22"/>
    <w:rsid w:val="00010600"/>
    <w:rsid w:val="00011735"/>
    <w:rsid w:val="000117C5"/>
    <w:rsid w:val="0001184B"/>
    <w:rsid w:val="000128E0"/>
    <w:rsid w:val="00014E72"/>
    <w:rsid w:val="000156E3"/>
    <w:rsid w:val="00016733"/>
    <w:rsid w:val="00017B3F"/>
    <w:rsid w:val="00021D03"/>
    <w:rsid w:val="00026079"/>
    <w:rsid w:val="00026199"/>
    <w:rsid w:val="000267A6"/>
    <w:rsid w:val="00026A40"/>
    <w:rsid w:val="00027D1C"/>
    <w:rsid w:val="00030CE5"/>
    <w:rsid w:val="0003295B"/>
    <w:rsid w:val="00032EF2"/>
    <w:rsid w:val="00033180"/>
    <w:rsid w:val="00033F1A"/>
    <w:rsid w:val="0003421C"/>
    <w:rsid w:val="00043035"/>
    <w:rsid w:val="0004320F"/>
    <w:rsid w:val="000476CF"/>
    <w:rsid w:val="00052FBA"/>
    <w:rsid w:val="000537E5"/>
    <w:rsid w:val="00061CC2"/>
    <w:rsid w:val="00064806"/>
    <w:rsid w:val="000657CA"/>
    <w:rsid w:val="00067A9C"/>
    <w:rsid w:val="00070874"/>
    <w:rsid w:val="00071A31"/>
    <w:rsid w:val="000720DB"/>
    <w:rsid w:val="0007403F"/>
    <w:rsid w:val="00075B0E"/>
    <w:rsid w:val="00075FB4"/>
    <w:rsid w:val="0008078C"/>
    <w:rsid w:val="000847F5"/>
    <w:rsid w:val="000909CD"/>
    <w:rsid w:val="00092575"/>
    <w:rsid w:val="0009326D"/>
    <w:rsid w:val="00093DE7"/>
    <w:rsid w:val="000A0080"/>
    <w:rsid w:val="000A30B3"/>
    <w:rsid w:val="000A4138"/>
    <w:rsid w:val="000A570F"/>
    <w:rsid w:val="000A68EA"/>
    <w:rsid w:val="000A75B0"/>
    <w:rsid w:val="000B3A59"/>
    <w:rsid w:val="000B51DD"/>
    <w:rsid w:val="000B6781"/>
    <w:rsid w:val="000B7528"/>
    <w:rsid w:val="000C07B1"/>
    <w:rsid w:val="000C1EF2"/>
    <w:rsid w:val="000C33DD"/>
    <w:rsid w:val="000C5505"/>
    <w:rsid w:val="000C5850"/>
    <w:rsid w:val="000C5DED"/>
    <w:rsid w:val="000D0609"/>
    <w:rsid w:val="000D0A3A"/>
    <w:rsid w:val="000D15C4"/>
    <w:rsid w:val="000D2349"/>
    <w:rsid w:val="000D312B"/>
    <w:rsid w:val="000D3FCC"/>
    <w:rsid w:val="000D4C61"/>
    <w:rsid w:val="000D715B"/>
    <w:rsid w:val="000D7B0C"/>
    <w:rsid w:val="000D7F79"/>
    <w:rsid w:val="000E02B8"/>
    <w:rsid w:val="000E1B68"/>
    <w:rsid w:val="000E1F16"/>
    <w:rsid w:val="000E30A8"/>
    <w:rsid w:val="000E4F50"/>
    <w:rsid w:val="000E50BE"/>
    <w:rsid w:val="000E567E"/>
    <w:rsid w:val="000E79A4"/>
    <w:rsid w:val="000E7CED"/>
    <w:rsid w:val="000F2933"/>
    <w:rsid w:val="00101FE6"/>
    <w:rsid w:val="00103003"/>
    <w:rsid w:val="001056DD"/>
    <w:rsid w:val="00107FB7"/>
    <w:rsid w:val="001104C8"/>
    <w:rsid w:val="00111F42"/>
    <w:rsid w:val="00112669"/>
    <w:rsid w:val="00112CA9"/>
    <w:rsid w:val="0011315A"/>
    <w:rsid w:val="00113FBF"/>
    <w:rsid w:val="00115C4A"/>
    <w:rsid w:val="00117642"/>
    <w:rsid w:val="00120F03"/>
    <w:rsid w:val="00121556"/>
    <w:rsid w:val="00121918"/>
    <w:rsid w:val="00127012"/>
    <w:rsid w:val="00131A42"/>
    <w:rsid w:val="0013233A"/>
    <w:rsid w:val="00134FD6"/>
    <w:rsid w:val="001350B2"/>
    <w:rsid w:val="00135457"/>
    <w:rsid w:val="00136736"/>
    <w:rsid w:val="001432B7"/>
    <w:rsid w:val="00145355"/>
    <w:rsid w:val="00147064"/>
    <w:rsid w:val="0014758C"/>
    <w:rsid w:val="00147D78"/>
    <w:rsid w:val="0015442B"/>
    <w:rsid w:val="00154BD3"/>
    <w:rsid w:val="00156920"/>
    <w:rsid w:val="00160072"/>
    <w:rsid w:val="001619FB"/>
    <w:rsid w:val="001627FD"/>
    <w:rsid w:val="00162B69"/>
    <w:rsid w:val="00165520"/>
    <w:rsid w:val="001655C5"/>
    <w:rsid w:val="00165EF8"/>
    <w:rsid w:val="00167AC1"/>
    <w:rsid w:val="00170390"/>
    <w:rsid w:val="00170800"/>
    <w:rsid w:val="00174F0A"/>
    <w:rsid w:val="0017651B"/>
    <w:rsid w:val="0017704E"/>
    <w:rsid w:val="001813F8"/>
    <w:rsid w:val="00181AEE"/>
    <w:rsid w:val="00192368"/>
    <w:rsid w:val="00194E01"/>
    <w:rsid w:val="00196645"/>
    <w:rsid w:val="00197769"/>
    <w:rsid w:val="00197D13"/>
    <w:rsid w:val="001A0F07"/>
    <w:rsid w:val="001A1B06"/>
    <w:rsid w:val="001A3710"/>
    <w:rsid w:val="001A5069"/>
    <w:rsid w:val="001A6531"/>
    <w:rsid w:val="001A704C"/>
    <w:rsid w:val="001B01BF"/>
    <w:rsid w:val="001B0A72"/>
    <w:rsid w:val="001B1505"/>
    <w:rsid w:val="001B19B3"/>
    <w:rsid w:val="001B3EAD"/>
    <w:rsid w:val="001B5396"/>
    <w:rsid w:val="001B7A06"/>
    <w:rsid w:val="001C11C8"/>
    <w:rsid w:val="001C3D83"/>
    <w:rsid w:val="001C3EBA"/>
    <w:rsid w:val="001C7D23"/>
    <w:rsid w:val="001D1298"/>
    <w:rsid w:val="001D3308"/>
    <w:rsid w:val="001D391C"/>
    <w:rsid w:val="001D6E34"/>
    <w:rsid w:val="001D7A80"/>
    <w:rsid w:val="001E183E"/>
    <w:rsid w:val="001E39F9"/>
    <w:rsid w:val="001E533D"/>
    <w:rsid w:val="001F1DF9"/>
    <w:rsid w:val="001F2A7E"/>
    <w:rsid w:val="001F38E8"/>
    <w:rsid w:val="001F4306"/>
    <w:rsid w:val="001F645A"/>
    <w:rsid w:val="002012B8"/>
    <w:rsid w:val="00201659"/>
    <w:rsid w:val="00203392"/>
    <w:rsid w:val="00203629"/>
    <w:rsid w:val="0020367B"/>
    <w:rsid w:val="00207DC9"/>
    <w:rsid w:val="002108F4"/>
    <w:rsid w:val="0021168C"/>
    <w:rsid w:val="002119B9"/>
    <w:rsid w:val="002129B0"/>
    <w:rsid w:val="00214D71"/>
    <w:rsid w:val="0021504B"/>
    <w:rsid w:val="0021601F"/>
    <w:rsid w:val="00220647"/>
    <w:rsid w:val="00224DC2"/>
    <w:rsid w:val="002255E5"/>
    <w:rsid w:val="00226AE9"/>
    <w:rsid w:val="0022786E"/>
    <w:rsid w:val="00230781"/>
    <w:rsid w:val="002309CE"/>
    <w:rsid w:val="00230E7B"/>
    <w:rsid w:val="00231975"/>
    <w:rsid w:val="0023384B"/>
    <w:rsid w:val="00234A78"/>
    <w:rsid w:val="00236976"/>
    <w:rsid w:val="002371CE"/>
    <w:rsid w:val="002405A3"/>
    <w:rsid w:val="0024150B"/>
    <w:rsid w:val="00241B90"/>
    <w:rsid w:val="0024269F"/>
    <w:rsid w:val="00242B47"/>
    <w:rsid w:val="00242E0A"/>
    <w:rsid w:val="00243317"/>
    <w:rsid w:val="0024352A"/>
    <w:rsid w:val="00243B33"/>
    <w:rsid w:val="002449F2"/>
    <w:rsid w:val="00244FAD"/>
    <w:rsid w:val="00245584"/>
    <w:rsid w:val="002506F2"/>
    <w:rsid w:val="00253E68"/>
    <w:rsid w:val="002541DF"/>
    <w:rsid w:val="00261AB6"/>
    <w:rsid w:val="002644CE"/>
    <w:rsid w:val="002657AA"/>
    <w:rsid w:val="00266C91"/>
    <w:rsid w:val="00270195"/>
    <w:rsid w:val="00270AE3"/>
    <w:rsid w:val="00271189"/>
    <w:rsid w:val="00271D1D"/>
    <w:rsid w:val="00274E6A"/>
    <w:rsid w:val="002814BC"/>
    <w:rsid w:val="00282988"/>
    <w:rsid w:val="00283217"/>
    <w:rsid w:val="002856A5"/>
    <w:rsid w:val="002867C7"/>
    <w:rsid w:val="00287CC7"/>
    <w:rsid w:val="00290E0F"/>
    <w:rsid w:val="00292CEA"/>
    <w:rsid w:val="00296938"/>
    <w:rsid w:val="002973C8"/>
    <w:rsid w:val="00297A28"/>
    <w:rsid w:val="002A10B6"/>
    <w:rsid w:val="002A2FE1"/>
    <w:rsid w:val="002A392B"/>
    <w:rsid w:val="002A5BF7"/>
    <w:rsid w:val="002A5E18"/>
    <w:rsid w:val="002A622E"/>
    <w:rsid w:val="002B19A4"/>
    <w:rsid w:val="002B26C3"/>
    <w:rsid w:val="002B3F49"/>
    <w:rsid w:val="002C1639"/>
    <w:rsid w:val="002C2A08"/>
    <w:rsid w:val="002C44E9"/>
    <w:rsid w:val="002D35B0"/>
    <w:rsid w:val="002D3DC4"/>
    <w:rsid w:val="002D4F62"/>
    <w:rsid w:val="002D501F"/>
    <w:rsid w:val="002D5F9E"/>
    <w:rsid w:val="002D5FBC"/>
    <w:rsid w:val="002D6EE4"/>
    <w:rsid w:val="002D7C09"/>
    <w:rsid w:val="002E656F"/>
    <w:rsid w:val="002F0A6C"/>
    <w:rsid w:val="002F2C7D"/>
    <w:rsid w:val="002F3636"/>
    <w:rsid w:val="002F5C58"/>
    <w:rsid w:val="00300823"/>
    <w:rsid w:val="00301151"/>
    <w:rsid w:val="00301399"/>
    <w:rsid w:val="00302757"/>
    <w:rsid w:val="003046C7"/>
    <w:rsid w:val="0030682F"/>
    <w:rsid w:val="00307C56"/>
    <w:rsid w:val="00311BDC"/>
    <w:rsid w:val="0031319D"/>
    <w:rsid w:val="00313BA4"/>
    <w:rsid w:val="0031495F"/>
    <w:rsid w:val="0032091B"/>
    <w:rsid w:val="0032282F"/>
    <w:rsid w:val="0032479E"/>
    <w:rsid w:val="00324DEF"/>
    <w:rsid w:val="00325D46"/>
    <w:rsid w:val="00326B5F"/>
    <w:rsid w:val="00330D1D"/>
    <w:rsid w:val="00330E7A"/>
    <w:rsid w:val="00333E0D"/>
    <w:rsid w:val="00335984"/>
    <w:rsid w:val="003364DB"/>
    <w:rsid w:val="003409BF"/>
    <w:rsid w:val="003409D6"/>
    <w:rsid w:val="003424AA"/>
    <w:rsid w:val="00345F3E"/>
    <w:rsid w:val="00346070"/>
    <w:rsid w:val="00347CF2"/>
    <w:rsid w:val="0035100B"/>
    <w:rsid w:val="003544A7"/>
    <w:rsid w:val="003546F3"/>
    <w:rsid w:val="003547DD"/>
    <w:rsid w:val="003566E9"/>
    <w:rsid w:val="003579C8"/>
    <w:rsid w:val="00357BD1"/>
    <w:rsid w:val="00357CB3"/>
    <w:rsid w:val="0036021B"/>
    <w:rsid w:val="0036182E"/>
    <w:rsid w:val="00361C7F"/>
    <w:rsid w:val="00361DD1"/>
    <w:rsid w:val="00362134"/>
    <w:rsid w:val="003621E4"/>
    <w:rsid w:val="00362D83"/>
    <w:rsid w:val="00363115"/>
    <w:rsid w:val="00367C52"/>
    <w:rsid w:val="00370412"/>
    <w:rsid w:val="00370716"/>
    <w:rsid w:val="00370FB5"/>
    <w:rsid w:val="0037159B"/>
    <w:rsid w:val="003720B5"/>
    <w:rsid w:val="0037432A"/>
    <w:rsid w:val="003745F3"/>
    <w:rsid w:val="00381F0D"/>
    <w:rsid w:val="003842EE"/>
    <w:rsid w:val="003855DA"/>
    <w:rsid w:val="003861C1"/>
    <w:rsid w:val="00386F5D"/>
    <w:rsid w:val="0039090B"/>
    <w:rsid w:val="00390F21"/>
    <w:rsid w:val="00397F3D"/>
    <w:rsid w:val="003A39DC"/>
    <w:rsid w:val="003A4944"/>
    <w:rsid w:val="003A5262"/>
    <w:rsid w:val="003A7354"/>
    <w:rsid w:val="003A7734"/>
    <w:rsid w:val="003A77D6"/>
    <w:rsid w:val="003B3199"/>
    <w:rsid w:val="003B3CD1"/>
    <w:rsid w:val="003B4C18"/>
    <w:rsid w:val="003B7003"/>
    <w:rsid w:val="003B7011"/>
    <w:rsid w:val="003B71D8"/>
    <w:rsid w:val="003B72E3"/>
    <w:rsid w:val="003C0BDF"/>
    <w:rsid w:val="003C2D0F"/>
    <w:rsid w:val="003C7547"/>
    <w:rsid w:val="003C7733"/>
    <w:rsid w:val="003D18AF"/>
    <w:rsid w:val="003D6246"/>
    <w:rsid w:val="003E20AE"/>
    <w:rsid w:val="003E4647"/>
    <w:rsid w:val="003E511C"/>
    <w:rsid w:val="003E5E4D"/>
    <w:rsid w:val="003E7A92"/>
    <w:rsid w:val="003F07DD"/>
    <w:rsid w:val="003F25BB"/>
    <w:rsid w:val="00400DD7"/>
    <w:rsid w:val="00400F96"/>
    <w:rsid w:val="00406E2A"/>
    <w:rsid w:val="00407BF9"/>
    <w:rsid w:val="00413606"/>
    <w:rsid w:val="00414811"/>
    <w:rsid w:val="00415424"/>
    <w:rsid w:val="004158A3"/>
    <w:rsid w:val="004167DB"/>
    <w:rsid w:val="00420227"/>
    <w:rsid w:val="00421789"/>
    <w:rsid w:val="0042538F"/>
    <w:rsid w:val="004256D6"/>
    <w:rsid w:val="00425C9E"/>
    <w:rsid w:val="0042756E"/>
    <w:rsid w:val="00427875"/>
    <w:rsid w:val="00430B35"/>
    <w:rsid w:val="004310FD"/>
    <w:rsid w:val="00432CD8"/>
    <w:rsid w:val="00434E03"/>
    <w:rsid w:val="00440FAA"/>
    <w:rsid w:val="0044183A"/>
    <w:rsid w:val="00443C11"/>
    <w:rsid w:val="00453D85"/>
    <w:rsid w:val="00453FC8"/>
    <w:rsid w:val="004550A5"/>
    <w:rsid w:val="0045607F"/>
    <w:rsid w:val="00460900"/>
    <w:rsid w:val="004612B5"/>
    <w:rsid w:val="0046238D"/>
    <w:rsid w:val="004639C6"/>
    <w:rsid w:val="00465665"/>
    <w:rsid w:val="004711B2"/>
    <w:rsid w:val="0047398A"/>
    <w:rsid w:val="00475F75"/>
    <w:rsid w:val="00476539"/>
    <w:rsid w:val="00477FEE"/>
    <w:rsid w:val="0048122C"/>
    <w:rsid w:val="00481A95"/>
    <w:rsid w:val="00482034"/>
    <w:rsid w:val="004851E4"/>
    <w:rsid w:val="004869DE"/>
    <w:rsid w:val="00491888"/>
    <w:rsid w:val="00494F0E"/>
    <w:rsid w:val="004A0C64"/>
    <w:rsid w:val="004A1F91"/>
    <w:rsid w:val="004A2DB2"/>
    <w:rsid w:val="004A3AD4"/>
    <w:rsid w:val="004A4B76"/>
    <w:rsid w:val="004A5A3A"/>
    <w:rsid w:val="004A642B"/>
    <w:rsid w:val="004B0A91"/>
    <w:rsid w:val="004B2E4E"/>
    <w:rsid w:val="004B76BE"/>
    <w:rsid w:val="004C0DE7"/>
    <w:rsid w:val="004C2AD0"/>
    <w:rsid w:val="004C3C2D"/>
    <w:rsid w:val="004C4925"/>
    <w:rsid w:val="004D3158"/>
    <w:rsid w:val="004D3684"/>
    <w:rsid w:val="004D3DF3"/>
    <w:rsid w:val="004D3F84"/>
    <w:rsid w:val="004D53C5"/>
    <w:rsid w:val="004D6346"/>
    <w:rsid w:val="004D6DA4"/>
    <w:rsid w:val="004D7296"/>
    <w:rsid w:val="004E14CB"/>
    <w:rsid w:val="004E1BA9"/>
    <w:rsid w:val="004E35C9"/>
    <w:rsid w:val="004E3708"/>
    <w:rsid w:val="004E3834"/>
    <w:rsid w:val="004E41C5"/>
    <w:rsid w:val="004E6909"/>
    <w:rsid w:val="004E77C2"/>
    <w:rsid w:val="004F03BE"/>
    <w:rsid w:val="004F1802"/>
    <w:rsid w:val="004F4127"/>
    <w:rsid w:val="004F423D"/>
    <w:rsid w:val="004F7B4F"/>
    <w:rsid w:val="00500811"/>
    <w:rsid w:val="00502BED"/>
    <w:rsid w:val="0050333D"/>
    <w:rsid w:val="00505851"/>
    <w:rsid w:val="005073B2"/>
    <w:rsid w:val="00511D93"/>
    <w:rsid w:val="005143E1"/>
    <w:rsid w:val="00514612"/>
    <w:rsid w:val="0051794B"/>
    <w:rsid w:val="00522685"/>
    <w:rsid w:val="0052366C"/>
    <w:rsid w:val="00525BB3"/>
    <w:rsid w:val="00527EB2"/>
    <w:rsid w:val="00530D80"/>
    <w:rsid w:val="00531FF9"/>
    <w:rsid w:val="005329C8"/>
    <w:rsid w:val="00535360"/>
    <w:rsid w:val="00536EC8"/>
    <w:rsid w:val="0053775A"/>
    <w:rsid w:val="00540CB9"/>
    <w:rsid w:val="00546649"/>
    <w:rsid w:val="00546C42"/>
    <w:rsid w:val="0054717E"/>
    <w:rsid w:val="00547D1E"/>
    <w:rsid w:val="00553516"/>
    <w:rsid w:val="00554514"/>
    <w:rsid w:val="00554621"/>
    <w:rsid w:val="00554FAE"/>
    <w:rsid w:val="00556B3A"/>
    <w:rsid w:val="0055706B"/>
    <w:rsid w:val="00557451"/>
    <w:rsid w:val="00563D65"/>
    <w:rsid w:val="005667D3"/>
    <w:rsid w:val="00566B9D"/>
    <w:rsid w:val="00566CC7"/>
    <w:rsid w:val="0057086F"/>
    <w:rsid w:val="005726E5"/>
    <w:rsid w:val="0057345E"/>
    <w:rsid w:val="005754BA"/>
    <w:rsid w:val="0057704B"/>
    <w:rsid w:val="005770D8"/>
    <w:rsid w:val="005801FE"/>
    <w:rsid w:val="00580B7A"/>
    <w:rsid w:val="00582ABE"/>
    <w:rsid w:val="0058408E"/>
    <w:rsid w:val="005866AD"/>
    <w:rsid w:val="00594122"/>
    <w:rsid w:val="00596280"/>
    <w:rsid w:val="00597168"/>
    <w:rsid w:val="00597474"/>
    <w:rsid w:val="005A027E"/>
    <w:rsid w:val="005A1588"/>
    <w:rsid w:val="005A1E4E"/>
    <w:rsid w:val="005A4517"/>
    <w:rsid w:val="005A5E03"/>
    <w:rsid w:val="005A69AE"/>
    <w:rsid w:val="005A72D9"/>
    <w:rsid w:val="005A7735"/>
    <w:rsid w:val="005B028A"/>
    <w:rsid w:val="005B2A93"/>
    <w:rsid w:val="005B4BC3"/>
    <w:rsid w:val="005B4E19"/>
    <w:rsid w:val="005B755E"/>
    <w:rsid w:val="005C07D0"/>
    <w:rsid w:val="005C3ED9"/>
    <w:rsid w:val="005C53A2"/>
    <w:rsid w:val="005C6991"/>
    <w:rsid w:val="005C69AD"/>
    <w:rsid w:val="005C76C1"/>
    <w:rsid w:val="005D089E"/>
    <w:rsid w:val="005D0F9E"/>
    <w:rsid w:val="005D2003"/>
    <w:rsid w:val="005D5716"/>
    <w:rsid w:val="005D6DC5"/>
    <w:rsid w:val="005E2DD0"/>
    <w:rsid w:val="005E481D"/>
    <w:rsid w:val="005E4BEF"/>
    <w:rsid w:val="005E4F92"/>
    <w:rsid w:val="005E666A"/>
    <w:rsid w:val="005E7309"/>
    <w:rsid w:val="005E7608"/>
    <w:rsid w:val="005E76CB"/>
    <w:rsid w:val="005E79E3"/>
    <w:rsid w:val="005F2CE5"/>
    <w:rsid w:val="005F3477"/>
    <w:rsid w:val="005F6CCC"/>
    <w:rsid w:val="006008F3"/>
    <w:rsid w:val="00601681"/>
    <w:rsid w:val="00601EA0"/>
    <w:rsid w:val="00602435"/>
    <w:rsid w:val="0060308E"/>
    <w:rsid w:val="00604D6F"/>
    <w:rsid w:val="0060631B"/>
    <w:rsid w:val="00606D7A"/>
    <w:rsid w:val="0060742C"/>
    <w:rsid w:val="0060792F"/>
    <w:rsid w:val="00610B5A"/>
    <w:rsid w:val="00615454"/>
    <w:rsid w:val="00617520"/>
    <w:rsid w:val="0062242C"/>
    <w:rsid w:val="006273BF"/>
    <w:rsid w:val="006277B1"/>
    <w:rsid w:val="00635E6D"/>
    <w:rsid w:val="006415C3"/>
    <w:rsid w:val="006457B5"/>
    <w:rsid w:val="00645B18"/>
    <w:rsid w:val="00646D26"/>
    <w:rsid w:val="00650509"/>
    <w:rsid w:val="006536AA"/>
    <w:rsid w:val="006539AA"/>
    <w:rsid w:val="00653B12"/>
    <w:rsid w:val="00654391"/>
    <w:rsid w:val="00657F97"/>
    <w:rsid w:val="00664030"/>
    <w:rsid w:val="006645A5"/>
    <w:rsid w:val="006661B0"/>
    <w:rsid w:val="00667651"/>
    <w:rsid w:val="006708DE"/>
    <w:rsid w:val="00675098"/>
    <w:rsid w:val="006759C6"/>
    <w:rsid w:val="00675C6B"/>
    <w:rsid w:val="006761B3"/>
    <w:rsid w:val="00677C70"/>
    <w:rsid w:val="00681D05"/>
    <w:rsid w:val="00682A65"/>
    <w:rsid w:val="006834D6"/>
    <w:rsid w:val="00685CA9"/>
    <w:rsid w:val="0068645B"/>
    <w:rsid w:val="00687142"/>
    <w:rsid w:val="0068774C"/>
    <w:rsid w:val="00687D44"/>
    <w:rsid w:val="00691593"/>
    <w:rsid w:val="00693E7B"/>
    <w:rsid w:val="006A0086"/>
    <w:rsid w:val="006A008D"/>
    <w:rsid w:val="006A1F00"/>
    <w:rsid w:val="006A2B4A"/>
    <w:rsid w:val="006A430E"/>
    <w:rsid w:val="006A57E4"/>
    <w:rsid w:val="006A58B0"/>
    <w:rsid w:val="006A5E62"/>
    <w:rsid w:val="006A6362"/>
    <w:rsid w:val="006A6BD7"/>
    <w:rsid w:val="006A73DE"/>
    <w:rsid w:val="006B0C49"/>
    <w:rsid w:val="006B42C9"/>
    <w:rsid w:val="006B538D"/>
    <w:rsid w:val="006B65BB"/>
    <w:rsid w:val="006B6681"/>
    <w:rsid w:val="006B6903"/>
    <w:rsid w:val="006B7FBB"/>
    <w:rsid w:val="006C08CA"/>
    <w:rsid w:val="006C3B75"/>
    <w:rsid w:val="006D01E3"/>
    <w:rsid w:val="006D0564"/>
    <w:rsid w:val="006D091F"/>
    <w:rsid w:val="006D1291"/>
    <w:rsid w:val="006D4279"/>
    <w:rsid w:val="006D51E2"/>
    <w:rsid w:val="006D53D8"/>
    <w:rsid w:val="006D53E7"/>
    <w:rsid w:val="006D68AD"/>
    <w:rsid w:val="006D7822"/>
    <w:rsid w:val="006E396A"/>
    <w:rsid w:val="006F37C1"/>
    <w:rsid w:val="006F45C3"/>
    <w:rsid w:val="00701E05"/>
    <w:rsid w:val="0070763B"/>
    <w:rsid w:val="00707B27"/>
    <w:rsid w:val="007105B3"/>
    <w:rsid w:val="00710EED"/>
    <w:rsid w:val="00713B9C"/>
    <w:rsid w:val="0071523C"/>
    <w:rsid w:val="00715AA9"/>
    <w:rsid w:val="0072488A"/>
    <w:rsid w:val="0072498C"/>
    <w:rsid w:val="00724D02"/>
    <w:rsid w:val="007260DC"/>
    <w:rsid w:val="007334CA"/>
    <w:rsid w:val="00734617"/>
    <w:rsid w:val="00734808"/>
    <w:rsid w:val="00737E5F"/>
    <w:rsid w:val="00742AEB"/>
    <w:rsid w:val="00742CE0"/>
    <w:rsid w:val="00743766"/>
    <w:rsid w:val="0074385A"/>
    <w:rsid w:val="00743C26"/>
    <w:rsid w:val="007506C3"/>
    <w:rsid w:val="00750E47"/>
    <w:rsid w:val="0075279B"/>
    <w:rsid w:val="007528CE"/>
    <w:rsid w:val="0075318A"/>
    <w:rsid w:val="007562F8"/>
    <w:rsid w:val="0075641F"/>
    <w:rsid w:val="00757BD0"/>
    <w:rsid w:val="00757D85"/>
    <w:rsid w:val="00762849"/>
    <w:rsid w:val="00762D98"/>
    <w:rsid w:val="00765A27"/>
    <w:rsid w:val="00765C2D"/>
    <w:rsid w:val="0077179C"/>
    <w:rsid w:val="00774711"/>
    <w:rsid w:val="00774E98"/>
    <w:rsid w:val="00775F26"/>
    <w:rsid w:val="00776120"/>
    <w:rsid w:val="00777768"/>
    <w:rsid w:val="00777FF2"/>
    <w:rsid w:val="00781FE2"/>
    <w:rsid w:val="00782D40"/>
    <w:rsid w:val="00785A9F"/>
    <w:rsid w:val="0078765A"/>
    <w:rsid w:val="00791075"/>
    <w:rsid w:val="007940F4"/>
    <w:rsid w:val="00794455"/>
    <w:rsid w:val="00794666"/>
    <w:rsid w:val="00794945"/>
    <w:rsid w:val="00796A28"/>
    <w:rsid w:val="007A29D2"/>
    <w:rsid w:val="007A38F8"/>
    <w:rsid w:val="007A40C7"/>
    <w:rsid w:val="007A4E57"/>
    <w:rsid w:val="007B026A"/>
    <w:rsid w:val="007C045B"/>
    <w:rsid w:val="007C0C9A"/>
    <w:rsid w:val="007C0F93"/>
    <w:rsid w:val="007C17AA"/>
    <w:rsid w:val="007C1A49"/>
    <w:rsid w:val="007C4818"/>
    <w:rsid w:val="007C5189"/>
    <w:rsid w:val="007C5926"/>
    <w:rsid w:val="007C6540"/>
    <w:rsid w:val="007C6B7A"/>
    <w:rsid w:val="007C751A"/>
    <w:rsid w:val="007D0228"/>
    <w:rsid w:val="007D1269"/>
    <w:rsid w:val="007D29F5"/>
    <w:rsid w:val="007D3029"/>
    <w:rsid w:val="007D3A5D"/>
    <w:rsid w:val="007D4524"/>
    <w:rsid w:val="007D489D"/>
    <w:rsid w:val="007E3319"/>
    <w:rsid w:val="007E3EFB"/>
    <w:rsid w:val="007E4C07"/>
    <w:rsid w:val="007E5555"/>
    <w:rsid w:val="007E7FAB"/>
    <w:rsid w:val="007F2B34"/>
    <w:rsid w:val="007F51D1"/>
    <w:rsid w:val="007F7890"/>
    <w:rsid w:val="00804333"/>
    <w:rsid w:val="008061A7"/>
    <w:rsid w:val="008063C5"/>
    <w:rsid w:val="0081013A"/>
    <w:rsid w:val="00811EB3"/>
    <w:rsid w:val="008123E5"/>
    <w:rsid w:val="00813E7C"/>
    <w:rsid w:val="00815206"/>
    <w:rsid w:val="008159C2"/>
    <w:rsid w:val="0082013C"/>
    <w:rsid w:val="00820195"/>
    <w:rsid w:val="00821100"/>
    <w:rsid w:val="00825046"/>
    <w:rsid w:val="008251CD"/>
    <w:rsid w:val="00827116"/>
    <w:rsid w:val="00827434"/>
    <w:rsid w:val="0082777F"/>
    <w:rsid w:val="00827B75"/>
    <w:rsid w:val="00831DCF"/>
    <w:rsid w:val="00831F80"/>
    <w:rsid w:val="00832256"/>
    <w:rsid w:val="0083360B"/>
    <w:rsid w:val="00834532"/>
    <w:rsid w:val="00835119"/>
    <w:rsid w:val="008377AE"/>
    <w:rsid w:val="00840EFC"/>
    <w:rsid w:val="00841452"/>
    <w:rsid w:val="0084177E"/>
    <w:rsid w:val="00842463"/>
    <w:rsid w:val="00844B2E"/>
    <w:rsid w:val="00845B65"/>
    <w:rsid w:val="00847217"/>
    <w:rsid w:val="00851C61"/>
    <w:rsid w:val="00852068"/>
    <w:rsid w:val="00853786"/>
    <w:rsid w:val="00853DD3"/>
    <w:rsid w:val="00853EF9"/>
    <w:rsid w:val="008568A2"/>
    <w:rsid w:val="0085707B"/>
    <w:rsid w:val="00857693"/>
    <w:rsid w:val="00860545"/>
    <w:rsid w:val="0086123C"/>
    <w:rsid w:val="00862157"/>
    <w:rsid w:val="0086417B"/>
    <w:rsid w:val="0086543E"/>
    <w:rsid w:val="00865A72"/>
    <w:rsid w:val="008718D2"/>
    <w:rsid w:val="0087270E"/>
    <w:rsid w:val="008761E1"/>
    <w:rsid w:val="00881125"/>
    <w:rsid w:val="0088439C"/>
    <w:rsid w:val="0088683C"/>
    <w:rsid w:val="00886DD8"/>
    <w:rsid w:val="0088735E"/>
    <w:rsid w:val="00887F32"/>
    <w:rsid w:val="0089036F"/>
    <w:rsid w:val="00890EDF"/>
    <w:rsid w:val="00891F62"/>
    <w:rsid w:val="00897B0C"/>
    <w:rsid w:val="008A2B60"/>
    <w:rsid w:val="008A794A"/>
    <w:rsid w:val="008B038A"/>
    <w:rsid w:val="008B158D"/>
    <w:rsid w:val="008B294E"/>
    <w:rsid w:val="008B3CB4"/>
    <w:rsid w:val="008B4847"/>
    <w:rsid w:val="008B6575"/>
    <w:rsid w:val="008C22CE"/>
    <w:rsid w:val="008C458B"/>
    <w:rsid w:val="008C4938"/>
    <w:rsid w:val="008C66D1"/>
    <w:rsid w:val="008D0CB9"/>
    <w:rsid w:val="008D1228"/>
    <w:rsid w:val="008D480B"/>
    <w:rsid w:val="008D713F"/>
    <w:rsid w:val="008D7368"/>
    <w:rsid w:val="008D78EE"/>
    <w:rsid w:val="008D7BA9"/>
    <w:rsid w:val="008E023E"/>
    <w:rsid w:val="008E044A"/>
    <w:rsid w:val="008E0C51"/>
    <w:rsid w:val="008E1701"/>
    <w:rsid w:val="008E5052"/>
    <w:rsid w:val="008E575D"/>
    <w:rsid w:val="008E5EEB"/>
    <w:rsid w:val="008E61CD"/>
    <w:rsid w:val="008E7D91"/>
    <w:rsid w:val="008F4194"/>
    <w:rsid w:val="008F4796"/>
    <w:rsid w:val="008F517C"/>
    <w:rsid w:val="00901C39"/>
    <w:rsid w:val="00905347"/>
    <w:rsid w:val="00910D7B"/>
    <w:rsid w:val="00912CEF"/>
    <w:rsid w:val="00914F8D"/>
    <w:rsid w:val="009154C3"/>
    <w:rsid w:val="00915E5E"/>
    <w:rsid w:val="009165AC"/>
    <w:rsid w:val="0091691E"/>
    <w:rsid w:val="00921D28"/>
    <w:rsid w:val="00922BC3"/>
    <w:rsid w:val="009237DB"/>
    <w:rsid w:val="00924493"/>
    <w:rsid w:val="00925341"/>
    <w:rsid w:val="00934294"/>
    <w:rsid w:val="00934B6F"/>
    <w:rsid w:val="00935563"/>
    <w:rsid w:val="009408D4"/>
    <w:rsid w:val="00942AC3"/>
    <w:rsid w:val="009444A3"/>
    <w:rsid w:val="00944CF4"/>
    <w:rsid w:val="00947920"/>
    <w:rsid w:val="00954CA5"/>
    <w:rsid w:val="00954F02"/>
    <w:rsid w:val="0095618B"/>
    <w:rsid w:val="00960AEC"/>
    <w:rsid w:val="0096121F"/>
    <w:rsid w:val="00961CBD"/>
    <w:rsid w:val="009623A2"/>
    <w:rsid w:val="009655E2"/>
    <w:rsid w:val="00967571"/>
    <w:rsid w:val="00972A3A"/>
    <w:rsid w:val="00973E1D"/>
    <w:rsid w:val="00975928"/>
    <w:rsid w:val="00976D31"/>
    <w:rsid w:val="00980F8D"/>
    <w:rsid w:val="0098165E"/>
    <w:rsid w:val="009822B5"/>
    <w:rsid w:val="00986395"/>
    <w:rsid w:val="00986D97"/>
    <w:rsid w:val="009913DC"/>
    <w:rsid w:val="00992520"/>
    <w:rsid w:val="00992D8E"/>
    <w:rsid w:val="009949C9"/>
    <w:rsid w:val="00995105"/>
    <w:rsid w:val="00996BCC"/>
    <w:rsid w:val="00997362"/>
    <w:rsid w:val="009A1035"/>
    <w:rsid w:val="009A2B5A"/>
    <w:rsid w:val="009A5361"/>
    <w:rsid w:val="009A66B6"/>
    <w:rsid w:val="009A6A40"/>
    <w:rsid w:val="009B09A0"/>
    <w:rsid w:val="009B195C"/>
    <w:rsid w:val="009B3E91"/>
    <w:rsid w:val="009B5037"/>
    <w:rsid w:val="009B574F"/>
    <w:rsid w:val="009B5EB2"/>
    <w:rsid w:val="009B600C"/>
    <w:rsid w:val="009B7C4C"/>
    <w:rsid w:val="009C209F"/>
    <w:rsid w:val="009C418C"/>
    <w:rsid w:val="009C75C2"/>
    <w:rsid w:val="009D06CB"/>
    <w:rsid w:val="009D3099"/>
    <w:rsid w:val="009E1008"/>
    <w:rsid w:val="009E1DD3"/>
    <w:rsid w:val="009E20BE"/>
    <w:rsid w:val="009E3B80"/>
    <w:rsid w:val="009E6250"/>
    <w:rsid w:val="009F1347"/>
    <w:rsid w:val="009F3027"/>
    <w:rsid w:val="009F5DF6"/>
    <w:rsid w:val="009F68D8"/>
    <w:rsid w:val="00A06451"/>
    <w:rsid w:val="00A0745B"/>
    <w:rsid w:val="00A144A7"/>
    <w:rsid w:val="00A14B77"/>
    <w:rsid w:val="00A1623E"/>
    <w:rsid w:val="00A16FC4"/>
    <w:rsid w:val="00A17477"/>
    <w:rsid w:val="00A179A9"/>
    <w:rsid w:val="00A20017"/>
    <w:rsid w:val="00A207E7"/>
    <w:rsid w:val="00A2292A"/>
    <w:rsid w:val="00A26CC1"/>
    <w:rsid w:val="00A273F5"/>
    <w:rsid w:val="00A30E0D"/>
    <w:rsid w:val="00A31566"/>
    <w:rsid w:val="00A32236"/>
    <w:rsid w:val="00A35AE2"/>
    <w:rsid w:val="00A36508"/>
    <w:rsid w:val="00A36B15"/>
    <w:rsid w:val="00A40E65"/>
    <w:rsid w:val="00A41357"/>
    <w:rsid w:val="00A438C1"/>
    <w:rsid w:val="00A46F4F"/>
    <w:rsid w:val="00A50D03"/>
    <w:rsid w:val="00A5221C"/>
    <w:rsid w:val="00A5296E"/>
    <w:rsid w:val="00A52C17"/>
    <w:rsid w:val="00A55DF1"/>
    <w:rsid w:val="00A5681E"/>
    <w:rsid w:val="00A573D8"/>
    <w:rsid w:val="00A57A17"/>
    <w:rsid w:val="00A61D55"/>
    <w:rsid w:val="00A643CD"/>
    <w:rsid w:val="00A657B2"/>
    <w:rsid w:val="00A659FF"/>
    <w:rsid w:val="00A66A7B"/>
    <w:rsid w:val="00A67857"/>
    <w:rsid w:val="00A72F06"/>
    <w:rsid w:val="00A74582"/>
    <w:rsid w:val="00A77245"/>
    <w:rsid w:val="00A80F26"/>
    <w:rsid w:val="00A8173D"/>
    <w:rsid w:val="00A8179B"/>
    <w:rsid w:val="00A8194B"/>
    <w:rsid w:val="00A8436C"/>
    <w:rsid w:val="00A845A1"/>
    <w:rsid w:val="00A85543"/>
    <w:rsid w:val="00A857E8"/>
    <w:rsid w:val="00A87013"/>
    <w:rsid w:val="00A9030C"/>
    <w:rsid w:val="00A91CE6"/>
    <w:rsid w:val="00A92DD8"/>
    <w:rsid w:val="00A93648"/>
    <w:rsid w:val="00A95B38"/>
    <w:rsid w:val="00AA3B8B"/>
    <w:rsid w:val="00AA6D00"/>
    <w:rsid w:val="00AA75F9"/>
    <w:rsid w:val="00AA78B2"/>
    <w:rsid w:val="00AA7F31"/>
    <w:rsid w:val="00AB10CD"/>
    <w:rsid w:val="00AB1637"/>
    <w:rsid w:val="00AB228B"/>
    <w:rsid w:val="00AB25A3"/>
    <w:rsid w:val="00AB292D"/>
    <w:rsid w:val="00AB2974"/>
    <w:rsid w:val="00AB55C9"/>
    <w:rsid w:val="00AB73AD"/>
    <w:rsid w:val="00AB78DB"/>
    <w:rsid w:val="00AB7966"/>
    <w:rsid w:val="00AC72CF"/>
    <w:rsid w:val="00AD132B"/>
    <w:rsid w:val="00AD224D"/>
    <w:rsid w:val="00AD2925"/>
    <w:rsid w:val="00AD36E4"/>
    <w:rsid w:val="00AD49EB"/>
    <w:rsid w:val="00AD544E"/>
    <w:rsid w:val="00AD74B1"/>
    <w:rsid w:val="00AE271A"/>
    <w:rsid w:val="00AE5B90"/>
    <w:rsid w:val="00AE66B6"/>
    <w:rsid w:val="00AE7D6F"/>
    <w:rsid w:val="00AF0E91"/>
    <w:rsid w:val="00AF118C"/>
    <w:rsid w:val="00AF580D"/>
    <w:rsid w:val="00AF5C69"/>
    <w:rsid w:val="00B00F9A"/>
    <w:rsid w:val="00B0344E"/>
    <w:rsid w:val="00B03F1F"/>
    <w:rsid w:val="00B059DC"/>
    <w:rsid w:val="00B0718E"/>
    <w:rsid w:val="00B10610"/>
    <w:rsid w:val="00B1170A"/>
    <w:rsid w:val="00B1652B"/>
    <w:rsid w:val="00B16629"/>
    <w:rsid w:val="00B224CC"/>
    <w:rsid w:val="00B263D3"/>
    <w:rsid w:val="00B276F3"/>
    <w:rsid w:val="00B323B8"/>
    <w:rsid w:val="00B33070"/>
    <w:rsid w:val="00B36FB8"/>
    <w:rsid w:val="00B404BF"/>
    <w:rsid w:val="00B41316"/>
    <w:rsid w:val="00B427ED"/>
    <w:rsid w:val="00B435A7"/>
    <w:rsid w:val="00B436B6"/>
    <w:rsid w:val="00B50711"/>
    <w:rsid w:val="00B510D9"/>
    <w:rsid w:val="00B516E6"/>
    <w:rsid w:val="00B53E9B"/>
    <w:rsid w:val="00B54FEE"/>
    <w:rsid w:val="00B57061"/>
    <w:rsid w:val="00B61C4C"/>
    <w:rsid w:val="00B62BBD"/>
    <w:rsid w:val="00B62E01"/>
    <w:rsid w:val="00B63A97"/>
    <w:rsid w:val="00B6416C"/>
    <w:rsid w:val="00B6673B"/>
    <w:rsid w:val="00B67578"/>
    <w:rsid w:val="00B72649"/>
    <w:rsid w:val="00B729F9"/>
    <w:rsid w:val="00B83E0C"/>
    <w:rsid w:val="00B84994"/>
    <w:rsid w:val="00B85507"/>
    <w:rsid w:val="00B91BB2"/>
    <w:rsid w:val="00B92061"/>
    <w:rsid w:val="00B94C22"/>
    <w:rsid w:val="00B97E67"/>
    <w:rsid w:val="00BA14CE"/>
    <w:rsid w:val="00BA5E6F"/>
    <w:rsid w:val="00BB016C"/>
    <w:rsid w:val="00BB0494"/>
    <w:rsid w:val="00BB2CD8"/>
    <w:rsid w:val="00BB370F"/>
    <w:rsid w:val="00BB3BFC"/>
    <w:rsid w:val="00BB3DF2"/>
    <w:rsid w:val="00BB3F8E"/>
    <w:rsid w:val="00BB4638"/>
    <w:rsid w:val="00BB578C"/>
    <w:rsid w:val="00BB5FB5"/>
    <w:rsid w:val="00BB6C01"/>
    <w:rsid w:val="00BC01FD"/>
    <w:rsid w:val="00BC0E4F"/>
    <w:rsid w:val="00BC2932"/>
    <w:rsid w:val="00BC3FB7"/>
    <w:rsid w:val="00BD026C"/>
    <w:rsid w:val="00BD19E8"/>
    <w:rsid w:val="00BD360D"/>
    <w:rsid w:val="00BD448A"/>
    <w:rsid w:val="00BD44A4"/>
    <w:rsid w:val="00BD4DD6"/>
    <w:rsid w:val="00BD79B2"/>
    <w:rsid w:val="00BE5E0E"/>
    <w:rsid w:val="00BE734A"/>
    <w:rsid w:val="00BF0CD6"/>
    <w:rsid w:val="00BF22C7"/>
    <w:rsid w:val="00BF58FF"/>
    <w:rsid w:val="00BF5DF1"/>
    <w:rsid w:val="00BF7CEF"/>
    <w:rsid w:val="00C016D2"/>
    <w:rsid w:val="00C0447B"/>
    <w:rsid w:val="00C0654A"/>
    <w:rsid w:val="00C116C2"/>
    <w:rsid w:val="00C1182C"/>
    <w:rsid w:val="00C12FF5"/>
    <w:rsid w:val="00C13098"/>
    <w:rsid w:val="00C1381B"/>
    <w:rsid w:val="00C1388F"/>
    <w:rsid w:val="00C178ED"/>
    <w:rsid w:val="00C22EE7"/>
    <w:rsid w:val="00C23061"/>
    <w:rsid w:val="00C24E27"/>
    <w:rsid w:val="00C256D8"/>
    <w:rsid w:val="00C26C2B"/>
    <w:rsid w:val="00C321B5"/>
    <w:rsid w:val="00C37405"/>
    <w:rsid w:val="00C3752A"/>
    <w:rsid w:val="00C37635"/>
    <w:rsid w:val="00C37B3E"/>
    <w:rsid w:val="00C41AD4"/>
    <w:rsid w:val="00C42585"/>
    <w:rsid w:val="00C43A5E"/>
    <w:rsid w:val="00C447BC"/>
    <w:rsid w:val="00C512C3"/>
    <w:rsid w:val="00C52B32"/>
    <w:rsid w:val="00C53933"/>
    <w:rsid w:val="00C55C51"/>
    <w:rsid w:val="00C57B06"/>
    <w:rsid w:val="00C61360"/>
    <w:rsid w:val="00C65EFC"/>
    <w:rsid w:val="00C6711E"/>
    <w:rsid w:val="00C6734F"/>
    <w:rsid w:val="00C70948"/>
    <w:rsid w:val="00C70A6A"/>
    <w:rsid w:val="00C70EB2"/>
    <w:rsid w:val="00C7277B"/>
    <w:rsid w:val="00C731F0"/>
    <w:rsid w:val="00C74479"/>
    <w:rsid w:val="00C75EDF"/>
    <w:rsid w:val="00C830C4"/>
    <w:rsid w:val="00C835C7"/>
    <w:rsid w:val="00C8429D"/>
    <w:rsid w:val="00C90D47"/>
    <w:rsid w:val="00C93313"/>
    <w:rsid w:val="00C939DE"/>
    <w:rsid w:val="00C940C3"/>
    <w:rsid w:val="00C944BD"/>
    <w:rsid w:val="00C948FE"/>
    <w:rsid w:val="00C962E8"/>
    <w:rsid w:val="00C96326"/>
    <w:rsid w:val="00C96559"/>
    <w:rsid w:val="00C96B1A"/>
    <w:rsid w:val="00C970E1"/>
    <w:rsid w:val="00CA1A19"/>
    <w:rsid w:val="00CA1E81"/>
    <w:rsid w:val="00CA3974"/>
    <w:rsid w:val="00CA5ABC"/>
    <w:rsid w:val="00CA765D"/>
    <w:rsid w:val="00CB054F"/>
    <w:rsid w:val="00CB06CC"/>
    <w:rsid w:val="00CB381F"/>
    <w:rsid w:val="00CB43E0"/>
    <w:rsid w:val="00CB732E"/>
    <w:rsid w:val="00CB7FF3"/>
    <w:rsid w:val="00CC0F0F"/>
    <w:rsid w:val="00CC1669"/>
    <w:rsid w:val="00CC1816"/>
    <w:rsid w:val="00CC1B93"/>
    <w:rsid w:val="00CC23E1"/>
    <w:rsid w:val="00CC2AD4"/>
    <w:rsid w:val="00CC4759"/>
    <w:rsid w:val="00CC740C"/>
    <w:rsid w:val="00CC7780"/>
    <w:rsid w:val="00CC7D55"/>
    <w:rsid w:val="00CD041C"/>
    <w:rsid w:val="00CD27F2"/>
    <w:rsid w:val="00CD6807"/>
    <w:rsid w:val="00CE163A"/>
    <w:rsid w:val="00CE5407"/>
    <w:rsid w:val="00CE6916"/>
    <w:rsid w:val="00CE7234"/>
    <w:rsid w:val="00CF06CA"/>
    <w:rsid w:val="00CF0AF9"/>
    <w:rsid w:val="00CF6E52"/>
    <w:rsid w:val="00D013BA"/>
    <w:rsid w:val="00D03EDC"/>
    <w:rsid w:val="00D110CB"/>
    <w:rsid w:val="00D1636C"/>
    <w:rsid w:val="00D16E00"/>
    <w:rsid w:val="00D2010B"/>
    <w:rsid w:val="00D2013A"/>
    <w:rsid w:val="00D2288C"/>
    <w:rsid w:val="00D241ED"/>
    <w:rsid w:val="00D24467"/>
    <w:rsid w:val="00D246E9"/>
    <w:rsid w:val="00D32DAB"/>
    <w:rsid w:val="00D354A9"/>
    <w:rsid w:val="00D35D60"/>
    <w:rsid w:val="00D40C74"/>
    <w:rsid w:val="00D42066"/>
    <w:rsid w:val="00D42C1E"/>
    <w:rsid w:val="00D43E86"/>
    <w:rsid w:val="00D44124"/>
    <w:rsid w:val="00D460DC"/>
    <w:rsid w:val="00D5177D"/>
    <w:rsid w:val="00D5188B"/>
    <w:rsid w:val="00D52267"/>
    <w:rsid w:val="00D52546"/>
    <w:rsid w:val="00D53695"/>
    <w:rsid w:val="00D558DF"/>
    <w:rsid w:val="00D55AD7"/>
    <w:rsid w:val="00D55ADF"/>
    <w:rsid w:val="00D60441"/>
    <w:rsid w:val="00D617CC"/>
    <w:rsid w:val="00D6226F"/>
    <w:rsid w:val="00D62650"/>
    <w:rsid w:val="00D63248"/>
    <w:rsid w:val="00D70B70"/>
    <w:rsid w:val="00D72431"/>
    <w:rsid w:val="00D72459"/>
    <w:rsid w:val="00D73EED"/>
    <w:rsid w:val="00D740B3"/>
    <w:rsid w:val="00D75238"/>
    <w:rsid w:val="00D75927"/>
    <w:rsid w:val="00D7598E"/>
    <w:rsid w:val="00D77B32"/>
    <w:rsid w:val="00D80989"/>
    <w:rsid w:val="00D8436B"/>
    <w:rsid w:val="00D84380"/>
    <w:rsid w:val="00D844DE"/>
    <w:rsid w:val="00D856FC"/>
    <w:rsid w:val="00D871BC"/>
    <w:rsid w:val="00D87D36"/>
    <w:rsid w:val="00D92434"/>
    <w:rsid w:val="00D94064"/>
    <w:rsid w:val="00D96274"/>
    <w:rsid w:val="00D96780"/>
    <w:rsid w:val="00DA1559"/>
    <w:rsid w:val="00DA1A85"/>
    <w:rsid w:val="00DA3ABF"/>
    <w:rsid w:val="00DA633C"/>
    <w:rsid w:val="00DB1385"/>
    <w:rsid w:val="00DB2DDB"/>
    <w:rsid w:val="00DB5795"/>
    <w:rsid w:val="00DB62CC"/>
    <w:rsid w:val="00DB74F8"/>
    <w:rsid w:val="00DB76E1"/>
    <w:rsid w:val="00DB785A"/>
    <w:rsid w:val="00DB7ED6"/>
    <w:rsid w:val="00DC0F88"/>
    <w:rsid w:val="00DC206F"/>
    <w:rsid w:val="00DC2477"/>
    <w:rsid w:val="00DC2C0D"/>
    <w:rsid w:val="00DC309A"/>
    <w:rsid w:val="00DC62DE"/>
    <w:rsid w:val="00DC6413"/>
    <w:rsid w:val="00DC6CE7"/>
    <w:rsid w:val="00DD000B"/>
    <w:rsid w:val="00DD00B8"/>
    <w:rsid w:val="00DD09C1"/>
    <w:rsid w:val="00DD49F9"/>
    <w:rsid w:val="00DD654D"/>
    <w:rsid w:val="00DD7476"/>
    <w:rsid w:val="00DD7FF3"/>
    <w:rsid w:val="00DE118D"/>
    <w:rsid w:val="00DE46E1"/>
    <w:rsid w:val="00DE4CA1"/>
    <w:rsid w:val="00DF1C2F"/>
    <w:rsid w:val="00DF2466"/>
    <w:rsid w:val="00DF46A3"/>
    <w:rsid w:val="00DF57D2"/>
    <w:rsid w:val="00DF7352"/>
    <w:rsid w:val="00DF76D9"/>
    <w:rsid w:val="00E004E4"/>
    <w:rsid w:val="00E03EF6"/>
    <w:rsid w:val="00E0726E"/>
    <w:rsid w:val="00E07976"/>
    <w:rsid w:val="00E10D51"/>
    <w:rsid w:val="00E110C4"/>
    <w:rsid w:val="00E12402"/>
    <w:rsid w:val="00E14A22"/>
    <w:rsid w:val="00E15DE6"/>
    <w:rsid w:val="00E211C7"/>
    <w:rsid w:val="00E244DB"/>
    <w:rsid w:val="00E327A7"/>
    <w:rsid w:val="00E32FEE"/>
    <w:rsid w:val="00E349F3"/>
    <w:rsid w:val="00E36B5A"/>
    <w:rsid w:val="00E426F3"/>
    <w:rsid w:val="00E43AAF"/>
    <w:rsid w:val="00E445C7"/>
    <w:rsid w:val="00E44832"/>
    <w:rsid w:val="00E45537"/>
    <w:rsid w:val="00E45F6E"/>
    <w:rsid w:val="00E51FD5"/>
    <w:rsid w:val="00E52311"/>
    <w:rsid w:val="00E53724"/>
    <w:rsid w:val="00E559F5"/>
    <w:rsid w:val="00E57A90"/>
    <w:rsid w:val="00E57C6E"/>
    <w:rsid w:val="00E60887"/>
    <w:rsid w:val="00E60F9F"/>
    <w:rsid w:val="00E61322"/>
    <w:rsid w:val="00E63B49"/>
    <w:rsid w:val="00E63C5D"/>
    <w:rsid w:val="00E662DE"/>
    <w:rsid w:val="00E6700D"/>
    <w:rsid w:val="00E6762B"/>
    <w:rsid w:val="00E72186"/>
    <w:rsid w:val="00E72964"/>
    <w:rsid w:val="00E730A7"/>
    <w:rsid w:val="00E7367A"/>
    <w:rsid w:val="00E740C1"/>
    <w:rsid w:val="00E842E7"/>
    <w:rsid w:val="00E85772"/>
    <w:rsid w:val="00E857DD"/>
    <w:rsid w:val="00E86919"/>
    <w:rsid w:val="00E87821"/>
    <w:rsid w:val="00E9202E"/>
    <w:rsid w:val="00E93EE1"/>
    <w:rsid w:val="00E941F7"/>
    <w:rsid w:val="00E947B0"/>
    <w:rsid w:val="00E95B6C"/>
    <w:rsid w:val="00E979D9"/>
    <w:rsid w:val="00E97EA1"/>
    <w:rsid w:val="00EA11C5"/>
    <w:rsid w:val="00EA127D"/>
    <w:rsid w:val="00EA20F8"/>
    <w:rsid w:val="00EA5191"/>
    <w:rsid w:val="00EA5203"/>
    <w:rsid w:val="00EA53A1"/>
    <w:rsid w:val="00EA6654"/>
    <w:rsid w:val="00EA66C7"/>
    <w:rsid w:val="00EA7F25"/>
    <w:rsid w:val="00EB024F"/>
    <w:rsid w:val="00EB07AE"/>
    <w:rsid w:val="00EB1BBA"/>
    <w:rsid w:val="00EB1F5C"/>
    <w:rsid w:val="00EB2F53"/>
    <w:rsid w:val="00EB3F43"/>
    <w:rsid w:val="00EB4EAD"/>
    <w:rsid w:val="00EB5ECE"/>
    <w:rsid w:val="00EB5FB6"/>
    <w:rsid w:val="00EB660D"/>
    <w:rsid w:val="00EB6EC6"/>
    <w:rsid w:val="00EB7C6E"/>
    <w:rsid w:val="00EC447F"/>
    <w:rsid w:val="00EC55AA"/>
    <w:rsid w:val="00EC5FEC"/>
    <w:rsid w:val="00EC7F15"/>
    <w:rsid w:val="00ED0DD4"/>
    <w:rsid w:val="00ED41E5"/>
    <w:rsid w:val="00ED4AFF"/>
    <w:rsid w:val="00ED567A"/>
    <w:rsid w:val="00ED7D93"/>
    <w:rsid w:val="00EE0006"/>
    <w:rsid w:val="00EE0B14"/>
    <w:rsid w:val="00EE191C"/>
    <w:rsid w:val="00EE21F7"/>
    <w:rsid w:val="00EE25BF"/>
    <w:rsid w:val="00EE2F1C"/>
    <w:rsid w:val="00EE3E33"/>
    <w:rsid w:val="00EE55BC"/>
    <w:rsid w:val="00EE654C"/>
    <w:rsid w:val="00EE72DB"/>
    <w:rsid w:val="00EF2445"/>
    <w:rsid w:val="00EF283A"/>
    <w:rsid w:val="00F00037"/>
    <w:rsid w:val="00F008A2"/>
    <w:rsid w:val="00F00E75"/>
    <w:rsid w:val="00F02B6D"/>
    <w:rsid w:val="00F0319B"/>
    <w:rsid w:val="00F15821"/>
    <w:rsid w:val="00F17FC4"/>
    <w:rsid w:val="00F24DC5"/>
    <w:rsid w:val="00F2616C"/>
    <w:rsid w:val="00F27C23"/>
    <w:rsid w:val="00F3138B"/>
    <w:rsid w:val="00F346D5"/>
    <w:rsid w:val="00F356EE"/>
    <w:rsid w:val="00F35C15"/>
    <w:rsid w:val="00F35D08"/>
    <w:rsid w:val="00F367BE"/>
    <w:rsid w:val="00F40003"/>
    <w:rsid w:val="00F424C9"/>
    <w:rsid w:val="00F42FF5"/>
    <w:rsid w:val="00F4459D"/>
    <w:rsid w:val="00F465E6"/>
    <w:rsid w:val="00F5265A"/>
    <w:rsid w:val="00F53EE1"/>
    <w:rsid w:val="00F55059"/>
    <w:rsid w:val="00F627BA"/>
    <w:rsid w:val="00F6434B"/>
    <w:rsid w:val="00F66CAC"/>
    <w:rsid w:val="00F67040"/>
    <w:rsid w:val="00F67416"/>
    <w:rsid w:val="00F708F2"/>
    <w:rsid w:val="00F70C38"/>
    <w:rsid w:val="00F7252F"/>
    <w:rsid w:val="00F72E20"/>
    <w:rsid w:val="00F74689"/>
    <w:rsid w:val="00F7510F"/>
    <w:rsid w:val="00F75A5A"/>
    <w:rsid w:val="00F76274"/>
    <w:rsid w:val="00F77E32"/>
    <w:rsid w:val="00F82249"/>
    <w:rsid w:val="00F82CE7"/>
    <w:rsid w:val="00F83230"/>
    <w:rsid w:val="00F8575D"/>
    <w:rsid w:val="00F85DFD"/>
    <w:rsid w:val="00F90F2A"/>
    <w:rsid w:val="00F93C2F"/>
    <w:rsid w:val="00F9531B"/>
    <w:rsid w:val="00F95466"/>
    <w:rsid w:val="00F96CFA"/>
    <w:rsid w:val="00FA19F3"/>
    <w:rsid w:val="00FA2B80"/>
    <w:rsid w:val="00FA4F6A"/>
    <w:rsid w:val="00FA538E"/>
    <w:rsid w:val="00FB1AAB"/>
    <w:rsid w:val="00FB3789"/>
    <w:rsid w:val="00FB392E"/>
    <w:rsid w:val="00FB3B6E"/>
    <w:rsid w:val="00FB63D8"/>
    <w:rsid w:val="00FC033E"/>
    <w:rsid w:val="00FC7EDC"/>
    <w:rsid w:val="00FD059E"/>
    <w:rsid w:val="00FD1033"/>
    <w:rsid w:val="00FD1BF4"/>
    <w:rsid w:val="00FD35E3"/>
    <w:rsid w:val="00FD55F3"/>
    <w:rsid w:val="00FD6677"/>
    <w:rsid w:val="00FD7485"/>
    <w:rsid w:val="00FE1A6F"/>
    <w:rsid w:val="00FE4581"/>
    <w:rsid w:val="00FE489C"/>
    <w:rsid w:val="00FE5C74"/>
    <w:rsid w:val="00FF01A5"/>
    <w:rsid w:val="00FF0237"/>
    <w:rsid w:val="00FF290D"/>
    <w:rsid w:val="00FF34D4"/>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62AB1"/>
  <w15:docId w15:val="{ACB4B573-5448-4E9C-9FF0-3DB488FB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0B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FE1A6F"/>
    <w:pPr>
      <w:keepNext/>
      <w:keepLines/>
      <w:spacing w:before="240" w:after="6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8"/>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FE1A6F"/>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1"/>
      </w:numPr>
      <w:contextualSpacing/>
    </w:pPr>
  </w:style>
  <w:style w:type="paragraph" w:styleId="ListBullet2">
    <w:name w:val="List Bullet 2"/>
    <w:basedOn w:val="Normal"/>
    <w:uiPriority w:val="99"/>
    <w:unhideWhenUsed/>
    <w:rsid w:val="00C23061"/>
    <w:pPr>
      <w:numPr>
        <w:numId w:val="10"/>
      </w:numPr>
      <w:contextualSpacing/>
    </w:pPr>
    <w:rPr>
      <w:rFonts w:eastAsiaTheme="minorHAnsi"/>
      <w:bCs/>
      <w:sz w:val="22"/>
      <w:szCs w:val="22"/>
    </w:rPr>
  </w:style>
  <w:style w:type="paragraph" w:styleId="ListBullet">
    <w:name w:val="List Bullet"/>
    <w:basedOn w:val="Normal"/>
    <w:uiPriority w:val="99"/>
    <w:unhideWhenUsed/>
    <w:rsid w:val="00C23061"/>
    <w:pPr>
      <w:numPr>
        <w:numId w:val="9"/>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paragraph" w:styleId="FootnoteText">
    <w:name w:val="footnote text"/>
    <w:basedOn w:val="Normal"/>
    <w:link w:val="FootnoteTextChar"/>
    <w:uiPriority w:val="99"/>
    <w:semiHidden/>
    <w:unhideWhenUsed/>
    <w:rsid w:val="00E349F3"/>
    <w:rPr>
      <w:sz w:val="20"/>
      <w:szCs w:val="20"/>
    </w:rPr>
  </w:style>
  <w:style w:type="character" w:customStyle="1" w:styleId="FootnoteTextChar">
    <w:name w:val="Footnote Text Char"/>
    <w:basedOn w:val="DefaultParagraphFont"/>
    <w:link w:val="FootnoteText"/>
    <w:uiPriority w:val="99"/>
    <w:semiHidden/>
    <w:rsid w:val="00E349F3"/>
    <w:rPr>
      <w:rFonts w:eastAsia="Times New Roman" w:cs="Times New Roman"/>
      <w:sz w:val="20"/>
      <w:szCs w:val="20"/>
    </w:rPr>
  </w:style>
  <w:style w:type="character" w:styleId="FootnoteReference">
    <w:name w:val="footnote reference"/>
    <w:basedOn w:val="DefaultParagraphFont"/>
    <w:uiPriority w:val="99"/>
    <w:semiHidden/>
    <w:unhideWhenUsed/>
    <w:rsid w:val="00E349F3"/>
    <w:rPr>
      <w:vertAlign w:val="superscript"/>
    </w:rPr>
  </w:style>
  <w:style w:type="paragraph" w:styleId="BodyText">
    <w:name w:val="Body Text"/>
    <w:basedOn w:val="Normal"/>
    <w:link w:val="BodyTextChar"/>
    <w:semiHidden/>
    <w:unhideWhenUsed/>
    <w:rsid w:val="00AF580D"/>
    <w:pPr>
      <w:jc w:val="center"/>
    </w:pPr>
    <w:rPr>
      <w:rFonts w:ascii="Arial" w:hAnsi="Arial"/>
      <w:b/>
      <w:sz w:val="28"/>
      <w:szCs w:val="20"/>
    </w:rPr>
  </w:style>
  <w:style w:type="character" w:customStyle="1" w:styleId="BodyTextChar">
    <w:name w:val="Body Text Char"/>
    <w:basedOn w:val="DefaultParagraphFont"/>
    <w:link w:val="BodyText"/>
    <w:semiHidden/>
    <w:rsid w:val="00AF580D"/>
    <w:rPr>
      <w:rFonts w:ascii="Arial" w:eastAsia="Times New Roman" w:hAnsi="Arial" w:cs="Times New Roman"/>
      <w:b/>
      <w:sz w:val="28"/>
      <w:szCs w:val="20"/>
    </w:rPr>
  </w:style>
  <w:style w:type="character" w:customStyle="1" w:styleId="chapeau">
    <w:name w:val="chapeau"/>
    <w:basedOn w:val="DefaultParagraphFont"/>
    <w:rsid w:val="00AF580D"/>
  </w:style>
  <w:style w:type="character" w:customStyle="1" w:styleId="num2">
    <w:name w:val="num2"/>
    <w:basedOn w:val="DefaultParagraphFont"/>
    <w:rsid w:val="00AF5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 w:id="108938595">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39870768">
      <w:bodyDiv w:val="1"/>
      <w:marLeft w:val="0"/>
      <w:marRight w:val="0"/>
      <w:marTop w:val="0"/>
      <w:marBottom w:val="0"/>
      <w:divBdr>
        <w:top w:val="none" w:sz="0" w:space="0" w:color="auto"/>
        <w:left w:val="none" w:sz="0" w:space="0" w:color="auto"/>
        <w:bottom w:val="none" w:sz="0" w:space="0" w:color="auto"/>
        <w:right w:val="none" w:sz="0" w:space="0" w:color="auto"/>
      </w:divBdr>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483930662">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335234845">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727991188">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54735072">
          <w:marLeft w:val="1166"/>
          <w:marRight w:val="0"/>
          <w:marTop w:val="264"/>
          <w:marBottom w:val="0"/>
          <w:divBdr>
            <w:top w:val="none" w:sz="0" w:space="0" w:color="auto"/>
            <w:left w:val="none" w:sz="0" w:space="0" w:color="auto"/>
            <w:bottom w:val="none" w:sz="0" w:space="0" w:color="auto"/>
            <w:right w:val="none" w:sz="0" w:space="0" w:color="auto"/>
          </w:divBdr>
        </w:div>
      </w:divsChild>
    </w:div>
    <w:div w:id="1484930380">
      <w:bodyDiv w:val="1"/>
      <w:marLeft w:val="0"/>
      <w:marRight w:val="0"/>
      <w:marTop w:val="0"/>
      <w:marBottom w:val="0"/>
      <w:divBdr>
        <w:top w:val="none" w:sz="0" w:space="0" w:color="auto"/>
        <w:left w:val="none" w:sz="0" w:space="0" w:color="auto"/>
        <w:bottom w:val="none" w:sz="0" w:space="0" w:color="auto"/>
        <w:right w:val="none" w:sz="0" w:space="0" w:color="auto"/>
      </w:divBdr>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1172185801">
          <w:marLeft w:val="274"/>
          <w:marRight w:val="0"/>
          <w:marTop w:val="0"/>
          <w:marBottom w:val="0"/>
          <w:divBdr>
            <w:top w:val="none" w:sz="0" w:space="0" w:color="auto"/>
            <w:left w:val="none" w:sz="0" w:space="0" w:color="auto"/>
            <w:bottom w:val="none" w:sz="0" w:space="0" w:color="auto"/>
            <w:right w:val="none" w:sz="0" w:space="0" w:color="auto"/>
          </w:divBdr>
        </w:div>
        <w:div w:id="225919663">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577394585">
      <w:bodyDiv w:val="1"/>
      <w:marLeft w:val="0"/>
      <w:marRight w:val="0"/>
      <w:marTop w:val="0"/>
      <w:marBottom w:val="0"/>
      <w:divBdr>
        <w:top w:val="none" w:sz="0" w:space="0" w:color="auto"/>
        <w:left w:val="none" w:sz="0" w:space="0" w:color="auto"/>
        <w:bottom w:val="none" w:sz="0" w:space="0" w:color="auto"/>
        <w:right w:val="none" w:sz="0" w:space="0" w:color="auto"/>
      </w:divBdr>
      <w:divsChild>
        <w:div w:id="1278559149">
          <w:marLeft w:val="0"/>
          <w:marRight w:val="0"/>
          <w:marTop w:val="0"/>
          <w:marBottom w:val="0"/>
          <w:divBdr>
            <w:top w:val="none" w:sz="0" w:space="0" w:color="auto"/>
            <w:left w:val="none" w:sz="0" w:space="0" w:color="auto"/>
            <w:bottom w:val="none" w:sz="0" w:space="0" w:color="auto"/>
            <w:right w:val="none" w:sz="0" w:space="0" w:color="auto"/>
          </w:divBdr>
          <w:divsChild>
            <w:div w:id="861820646">
              <w:marLeft w:val="0"/>
              <w:marRight w:val="0"/>
              <w:marTop w:val="0"/>
              <w:marBottom w:val="0"/>
              <w:divBdr>
                <w:top w:val="none" w:sz="0" w:space="0" w:color="auto"/>
                <w:left w:val="none" w:sz="0" w:space="0" w:color="auto"/>
                <w:bottom w:val="none" w:sz="0" w:space="0" w:color="auto"/>
                <w:right w:val="none" w:sz="0" w:space="0" w:color="auto"/>
              </w:divBdr>
              <w:divsChild>
                <w:div w:id="933519418">
                  <w:marLeft w:val="0"/>
                  <w:marRight w:val="0"/>
                  <w:marTop w:val="0"/>
                  <w:marBottom w:val="0"/>
                  <w:divBdr>
                    <w:top w:val="none" w:sz="0" w:space="0" w:color="auto"/>
                    <w:left w:val="none" w:sz="0" w:space="0" w:color="auto"/>
                    <w:bottom w:val="none" w:sz="0" w:space="0" w:color="auto"/>
                    <w:right w:val="none" w:sz="0" w:space="0" w:color="auto"/>
                  </w:divBdr>
                  <w:divsChild>
                    <w:div w:id="1224366815">
                      <w:marLeft w:val="0"/>
                      <w:marRight w:val="0"/>
                      <w:marTop w:val="0"/>
                      <w:marBottom w:val="0"/>
                      <w:divBdr>
                        <w:top w:val="none" w:sz="0" w:space="0" w:color="auto"/>
                        <w:left w:val="none" w:sz="0" w:space="0" w:color="auto"/>
                        <w:bottom w:val="none" w:sz="0" w:space="0" w:color="auto"/>
                        <w:right w:val="none" w:sz="0" w:space="0" w:color="auto"/>
                      </w:divBdr>
                      <w:divsChild>
                        <w:div w:id="618071462">
                          <w:marLeft w:val="0"/>
                          <w:marRight w:val="0"/>
                          <w:marTop w:val="0"/>
                          <w:marBottom w:val="0"/>
                          <w:divBdr>
                            <w:top w:val="none" w:sz="0" w:space="0" w:color="auto"/>
                            <w:left w:val="none" w:sz="0" w:space="0" w:color="auto"/>
                            <w:bottom w:val="none" w:sz="0" w:space="0" w:color="auto"/>
                            <w:right w:val="none" w:sz="0" w:space="0" w:color="auto"/>
                          </w:divBdr>
                          <w:divsChild>
                            <w:div w:id="1062404897">
                              <w:marLeft w:val="0"/>
                              <w:marRight w:val="0"/>
                              <w:marTop w:val="0"/>
                              <w:marBottom w:val="0"/>
                              <w:divBdr>
                                <w:top w:val="none" w:sz="0" w:space="0" w:color="auto"/>
                                <w:left w:val="none" w:sz="0" w:space="0" w:color="auto"/>
                                <w:bottom w:val="none" w:sz="0" w:space="0" w:color="auto"/>
                                <w:right w:val="none" w:sz="0" w:space="0" w:color="auto"/>
                              </w:divBdr>
                              <w:divsChild>
                                <w:div w:id="697315773">
                                  <w:marLeft w:val="0"/>
                                  <w:marRight w:val="0"/>
                                  <w:marTop w:val="0"/>
                                  <w:marBottom w:val="0"/>
                                  <w:divBdr>
                                    <w:top w:val="none" w:sz="0" w:space="0" w:color="auto"/>
                                    <w:left w:val="none" w:sz="0" w:space="0" w:color="auto"/>
                                    <w:bottom w:val="none" w:sz="0" w:space="0" w:color="auto"/>
                                    <w:right w:val="none" w:sz="0" w:space="0" w:color="auto"/>
                                  </w:divBdr>
                                  <w:divsChild>
                                    <w:div w:id="1694186785">
                                      <w:marLeft w:val="0"/>
                                      <w:marRight w:val="0"/>
                                      <w:marTop w:val="0"/>
                                      <w:marBottom w:val="0"/>
                                      <w:divBdr>
                                        <w:top w:val="none" w:sz="0" w:space="0" w:color="auto"/>
                                        <w:left w:val="none" w:sz="0" w:space="0" w:color="auto"/>
                                        <w:bottom w:val="none" w:sz="0" w:space="0" w:color="auto"/>
                                        <w:right w:val="none" w:sz="0" w:space="0" w:color="auto"/>
                                      </w:divBdr>
                                      <w:divsChild>
                                        <w:div w:id="69815190">
                                          <w:marLeft w:val="0"/>
                                          <w:marRight w:val="0"/>
                                          <w:marTop w:val="0"/>
                                          <w:marBottom w:val="0"/>
                                          <w:divBdr>
                                            <w:top w:val="none" w:sz="0" w:space="0" w:color="auto"/>
                                            <w:left w:val="none" w:sz="0" w:space="0" w:color="auto"/>
                                            <w:bottom w:val="none" w:sz="0" w:space="0" w:color="auto"/>
                                            <w:right w:val="none" w:sz="0" w:space="0" w:color="auto"/>
                                          </w:divBdr>
                                          <w:divsChild>
                                            <w:div w:id="334234968">
                                              <w:marLeft w:val="0"/>
                                              <w:marRight w:val="0"/>
                                              <w:marTop w:val="0"/>
                                              <w:marBottom w:val="0"/>
                                              <w:divBdr>
                                                <w:top w:val="none" w:sz="0" w:space="0" w:color="auto"/>
                                                <w:left w:val="none" w:sz="0" w:space="0" w:color="auto"/>
                                                <w:bottom w:val="none" w:sz="0" w:space="0" w:color="auto"/>
                                                <w:right w:val="none" w:sz="0" w:space="0" w:color="auto"/>
                                              </w:divBdr>
                                              <w:divsChild>
                                                <w:div w:id="428889882">
                                                  <w:marLeft w:val="0"/>
                                                  <w:marRight w:val="0"/>
                                                  <w:marTop w:val="0"/>
                                                  <w:marBottom w:val="0"/>
                                                  <w:divBdr>
                                                    <w:top w:val="none" w:sz="0" w:space="0" w:color="auto"/>
                                                    <w:left w:val="none" w:sz="0" w:space="0" w:color="auto"/>
                                                    <w:bottom w:val="none" w:sz="0" w:space="0" w:color="auto"/>
                                                    <w:right w:val="none" w:sz="0" w:space="0" w:color="auto"/>
                                                  </w:divBdr>
                                                  <w:divsChild>
                                                    <w:div w:id="1908759202">
                                                      <w:marLeft w:val="0"/>
                                                      <w:marRight w:val="0"/>
                                                      <w:marTop w:val="240"/>
                                                      <w:marBottom w:val="60"/>
                                                      <w:divBdr>
                                                        <w:top w:val="none" w:sz="0" w:space="0" w:color="auto"/>
                                                        <w:left w:val="none" w:sz="0" w:space="0" w:color="auto"/>
                                                        <w:bottom w:val="none" w:sz="0" w:space="0" w:color="auto"/>
                                                        <w:right w:val="none" w:sz="0" w:space="0" w:color="auto"/>
                                                      </w:divBdr>
                                                      <w:divsChild>
                                                        <w:div w:id="1508639807">
                                                          <w:marLeft w:val="240"/>
                                                          <w:marRight w:val="0"/>
                                                          <w:marTop w:val="60"/>
                                                          <w:marBottom w:val="60"/>
                                                          <w:divBdr>
                                                            <w:top w:val="none" w:sz="0" w:space="0" w:color="auto"/>
                                                            <w:left w:val="none" w:sz="0" w:space="0" w:color="auto"/>
                                                            <w:bottom w:val="none" w:sz="0" w:space="0" w:color="auto"/>
                                                            <w:right w:val="none" w:sz="0" w:space="0" w:color="auto"/>
                                                          </w:divBdr>
                                                          <w:divsChild>
                                                            <w:div w:id="1360355861">
                                                              <w:marLeft w:val="240"/>
                                                              <w:marRight w:val="0"/>
                                                              <w:marTop w:val="60"/>
                                                              <w:marBottom w:val="60"/>
                                                              <w:divBdr>
                                                                <w:top w:val="none" w:sz="0" w:space="0" w:color="auto"/>
                                                                <w:left w:val="none" w:sz="0" w:space="0" w:color="auto"/>
                                                                <w:bottom w:val="none" w:sz="0" w:space="0" w:color="auto"/>
                                                                <w:right w:val="none" w:sz="0" w:space="0" w:color="auto"/>
                                                              </w:divBdr>
                                                              <w:divsChild>
                                                                <w:div w:id="797989496">
                                                                  <w:marLeft w:val="240"/>
                                                                  <w:marRight w:val="0"/>
                                                                  <w:marTop w:val="60"/>
                                                                  <w:marBottom w:val="60"/>
                                                                  <w:divBdr>
                                                                    <w:top w:val="none" w:sz="0" w:space="0" w:color="auto"/>
                                                                    <w:left w:val="none" w:sz="0" w:space="0" w:color="auto"/>
                                                                    <w:bottom w:val="none" w:sz="0" w:space="0" w:color="auto"/>
                                                                    <w:right w:val="none" w:sz="0" w:space="0" w:color="auto"/>
                                                                  </w:divBdr>
                                                                  <w:divsChild>
                                                                    <w:div w:id="9816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1452410">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 w:id="64867665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698895663">
          <w:marLeft w:val="547"/>
          <w:marRight w:val="0"/>
          <w:marTop w:val="134"/>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052509317">
          <w:marLeft w:val="1166"/>
          <w:marRight w:val="0"/>
          <w:marTop w:val="115"/>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1158420991">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718436683">
          <w:marLeft w:val="274"/>
          <w:marRight w:val="0"/>
          <w:marTop w:val="0"/>
          <w:marBottom w:val="0"/>
          <w:divBdr>
            <w:top w:val="none" w:sz="0" w:space="0" w:color="auto"/>
            <w:left w:val="none" w:sz="0" w:space="0" w:color="auto"/>
            <w:bottom w:val="none" w:sz="0" w:space="0" w:color="auto"/>
            <w:right w:val="none" w:sz="0" w:space="0" w:color="auto"/>
          </w:divBdr>
        </w:div>
      </w:divsChild>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1423837047">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683436312">
          <w:marLeft w:val="274"/>
          <w:marRight w:val="0"/>
          <w:marTop w:val="0"/>
          <w:marBottom w:val="0"/>
          <w:divBdr>
            <w:top w:val="none" w:sz="0" w:space="0" w:color="auto"/>
            <w:left w:val="none" w:sz="0" w:space="0" w:color="auto"/>
            <w:bottom w:val="none" w:sz="0" w:space="0" w:color="auto"/>
            <w:right w:val="none" w:sz="0" w:space="0" w:color="auto"/>
          </w:divBdr>
        </w:div>
      </w:divsChild>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1665232571">
          <w:marLeft w:val="547"/>
          <w:marRight w:val="0"/>
          <w:marTop w:val="15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470755704">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 w:id="20152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va.gov/finance/docs/VA-FinancialPolicyVolumeXIIChapter01B.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DMINACCTG.VBAMLA@va.gov" TargetMode="External"/><Relationship Id="rId2" Type="http://schemas.openxmlformats.org/officeDocument/2006/relationships/customXml" Target="../customXml/item2.xml"/><Relationship Id="rId16" Type="http://schemas.openxmlformats.org/officeDocument/2006/relationships/hyperlink" Target="file:///\\VBAMLAFPC2.vba.va.gov\SHARED\Training%20Division\Presentations\AAD\FY18\Documents\Forms\OF%2041%20(Check%20Tracer%20Form).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vbaw.vba.va.gov/bl/20/cfo/Fin/Fin241C/MP4%20PartIV/Chapter%2013%20-%20Fiduciary%20Misuse%20Debt%20December%202016.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va.gov/finance/docs/VA-FinancialPolicyVolumeXIIChapter01.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454F5CD20F834FA60C87CA38130BA9" ma:contentTypeVersion="1" ma:contentTypeDescription="Create a new document." ma:contentTypeScope="" ma:versionID="759cde8576ef5a39d648a094b598f6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2.xml><?xml version="1.0" encoding="utf-8"?>
<ds:datastoreItem xmlns:ds="http://schemas.openxmlformats.org/officeDocument/2006/customXml" ds:itemID="{0A8FE500-94B9-4789-8A32-B2D61675CC3F}">
  <ds:schemaRefs>
    <ds:schemaRef ds:uri="http://schemas.openxmlformats.org/officeDocument/2006/bibliography"/>
  </ds:schemaRefs>
</ds:datastoreItem>
</file>

<file path=customXml/itemProps3.xml><?xml version="1.0" encoding="utf-8"?>
<ds:datastoreItem xmlns:ds="http://schemas.openxmlformats.org/officeDocument/2006/customXml" ds:itemID="{55ADA5B5-73F8-4048-889F-D0E6309F8FCA}">
  <ds:schemaRefs>
    <ds:schemaRef ds:uri="http://schemas.openxmlformats.org/officeDocument/2006/bibliography"/>
  </ds:schemaRefs>
</ds:datastoreItem>
</file>

<file path=customXml/itemProps4.xml><?xml version="1.0" encoding="utf-8"?>
<ds:datastoreItem xmlns:ds="http://schemas.openxmlformats.org/officeDocument/2006/customXml" ds:itemID="{53DD5309-58C8-4FD1-A924-91C0114B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4B27F9-D54A-4EAF-9B86-EA6866ED4CB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CD2B531-8703-4639-BF9C-51AEFCE7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VBA Advanced Agent Cashier VILT Question &amp; Answer Resource Guide</vt:lpstr>
    </vt:vector>
  </TitlesOfParts>
  <Company>Veterans Benefits Administration</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Advanced Agent Cashier VILT Question &amp; Answer Resource Guide</dc:title>
  <dc:subject>VBA Agent Cashier Training</dc:subject>
  <dc:creator>Debra M. (GDIT);lesley.young@va.gov;debra.mastropaolo@va.gov;robinson;Brandon.Robinson@va.gov;Anthony.Zarbano@va.gov</dc:creator>
  <cp:keywords>VBA Advanced Agent Cashier VILT</cp:keywords>
  <dc:description>ORM/ALAC</dc:description>
  <cp:lastModifiedBy>Kathy Poole</cp:lastModifiedBy>
  <cp:revision>3</cp:revision>
  <cp:lastPrinted>2017-12-12T19:47:00Z</cp:lastPrinted>
  <dcterms:created xsi:type="dcterms:W3CDTF">2017-12-13T17:54:00Z</dcterms:created>
  <dcterms:modified xsi:type="dcterms:W3CDTF">2017-12-20T20:15:00Z</dcterms:modified>
  <cp:category>Employee Development &amp; 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0x010100BA454F5CD20F834FA60C87CA38130BA9</vt:lpwstr>
  </property>
  <property fmtid="{D5CDD505-2E9C-101B-9397-08002B2CF9AE}" pid="3" name="Language">
    <vt:lpwstr>en</vt:lpwstr>
  </property>
  <property fmtid="{D5CDD505-2E9C-101B-9397-08002B2CF9AE}" pid="4" name="Type">
    <vt:lpwstr>Reference</vt:lpwstr>
  </property>
</Properties>
</file>