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70" w:type="dxa"/>
        <w:tblLayout w:type="fixed"/>
        <w:tblCellMar>
          <w:left w:w="0" w:type="dxa"/>
          <w:right w:w="0" w:type="dxa"/>
        </w:tblCellMar>
        <w:tblLook w:val="0000" w:firstRow="0" w:lastRow="0" w:firstColumn="0" w:lastColumn="0" w:noHBand="0" w:noVBand="0"/>
      </w:tblPr>
      <w:tblGrid>
        <w:gridCol w:w="2967"/>
        <w:gridCol w:w="6851"/>
      </w:tblGrid>
      <w:tr w:rsidR="005339C5" w:rsidRPr="005339C5" w14:paraId="64730557" w14:textId="77777777" w:rsidTr="003C45ED">
        <w:trPr>
          <w:trHeight w:val="2160"/>
        </w:trPr>
        <w:tc>
          <w:tcPr>
            <w:tcW w:w="2967" w:type="dxa"/>
          </w:tcPr>
          <w:p w14:paraId="6473054F" w14:textId="77777777" w:rsidR="005339C5" w:rsidRPr="005339C5" w:rsidRDefault="005339C5" w:rsidP="005339C5">
            <w:pPr>
              <w:spacing w:after="0" w:line="240" w:lineRule="auto"/>
              <w:jc w:val="center"/>
              <w:rPr>
                <w:rFonts w:ascii="CG Times (WN)" w:eastAsia="Times New Roman" w:hAnsi="CG Times (WN)" w:cs="Times New Roman"/>
                <w:sz w:val="24"/>
                <w:szCs w:val="24"/>
              </w:rPr>
            </w:pPr>
            <w:r>
              <w:rPr>
                <w:rFonts w:ascii="CG Times (WN)" w:eastAsia="Times New Roman" w:hAnsi="CG Times (WN)" w:cs="Times New Roman"/>
                <w:noProof/>
                <w:sz w:val="20"/>
                <w:szCs w:val="24"/>
              </w:rPr>
              <w:drawing>
                <wp:inline distT="0" distB="0" distL="0" distR="0" wp14:anchorId="647305BA" wp14:editId="7DBEE047">
                  <wp:extent cx="981075" cy="971550"/>
                  <wp:effectExtent l="0" t="0" r="9525" b="0"/>
                  <wp:docPr id="1" name="Picture 1" descr="Seal of the U.S. Department of Veterans Affairs" title="Seal of the U.S.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p w14:paraId="64730550" w14:textId="77777777" w:rsidR="005339C5" w:rsidRPr="005339C5" w:rsidRDefault="005339C5" w:rsidP="005339C5">
            <w:pPr>
              <w:spacing w:after="0" w:line="240" w:lineRule="auto"/>
              <w:jc w:val="center"/>
              <w:rPr>
                <w:rFonts w:ascii="CG Times (WN)" w:eastAsia="Times New Roman" w:hAnsi="CG Times (WN)" w:cs="Times New Roman"/>
                <w:sz w:val="24"/>
                <w:szCs w:val="24"/>
              </w:rPr>
            </w:pPr>
          </w:p>
          <w:p w14:paraId="64730551" w14:textId="77777777" w:rsidR="005339C5" w:rsidRPr="005339C5" w:rsidRDefault="005339C5" w:rsidP="005339C5">
            <w:pPr>
              <w:spacing w:after="0" w:line="240" w:lineRule="auto"/>
              <w:ind w:left="-288"/>
              <w:rPr>
                <w:rFonts w:ascii="Times New Roman" w:eastAsia="Times New Roman" w:hAnsi="Times New Roman" w:cs="Times New Roman"/>
                <w:sz w:val="24"/>
                <w:szCs w:val="24"/>
              </w:rPr>
            </w:pPr>
          </w:p>
          <w:p w14:paraId="64730552" w14:textId="77777777" w:rsidR="005339C5" w:rsidRPr="005339C5" w:rsidRDefault="005339C5" w:rsidP="005339C5">
            <w:pPr>
              <w:spacing w:after="0" w:line="240" w:lineRule="auto"/>
              <w:ind w:left="-288"/>
              <w:rPr>
                <w:rFonts w:ascii="Times New Roman" w:eastAsia="Times New Roman" w:hAnsi="Times New Roman" w:cs="Times New Roman"/>
                <w:sz w:val="24"/>
                <w:szCs w:val="24"/>
              </w:rPr>
            </w:pPr>
          </w:p>
        </w:tc>
        <w:tc>
          <w:tcPr>
            <w:tcW w:w="6851" w:type="dxa"/>
          </w:tcPr>
          <w:p w14:paraId="64730553" w14:textId="77777777" w:rsidR="005339C5" w:rsidRPr="005339C5" w:rsidRDefault="005339C5" w:rsidP="005339C5">
            <w:pPr>
              <w:spacing w:after="0" w:line="240" w:lineRule="auto"/>
              <w:ind w:left="-288"/>
              <w:jc w:val="center"/>
              <w:rPr>
                <w:rFonts w:ascii="Arial" w:eastAsia="Times New Roman" w:hAnsi="Arial" w:cs="Times New Roman"/>
                <w:b/>
                <w:color w:val="000080"/>
                <w:sz w:val="24"/>
                <w:szCs w:val="24"/>
              </w:rPr>
            </w:pPr>
          </w:p>
          <w:p w14:paraId="64730554" w14:textId="77777777" w:rsidR="005339C5" w:rsidRPr="005339C5" w:rsidRDefault="005339C5" w:rsidP="005339C5">
            <w:pPr>
              <w:spacing w:after="0" w:line="240" w:lineRule="auto"/>
              <w:ind w:left="-288"/>
              <w:jc w:val="center"/>
              <w:rPr>
                <w:rFonts w:ascii="Arial" w:eastAsia="Times New Roman" w:hAnsi="Arial" w:cs="Times New Roman"/>
                <w:b/>
                <w:color w:val="000080"/>
                <w:sz w:val="24"/>
                <w:szCs w:val="24"/>
              </w:rPr>
            </w:pPr>
            <w:r w:rsidRPr="005339C5">
              <w:rPr>
                <w:rFonts w:ascii="Arial" w:eastAsia="Times New Roman" w:hAnsi="Arial" w:cs="Times New Roman"/>
                <w:b/>
                <w:color w:val="000080"/>
                <w:sz w:val="24"/>
                <w:szCs w:val="24"/>
              </w:rPr>
              <w:t>DEPARTMENT OF VETERANS AFFAIRS</w:t>
            </w:r>
          </w:p>
          <w:p w14:paraId="64730555" w14:textId="77777777" w:rsidR="005339C5" w:rsidRPr="005339C5" w:rsidRDefault="005339C5" w:rsidP="005339C5">
            <w:pPr>
              <w:spacing w:after="0" w:line="240" w:lineRule="auto"/>
              <w:ind w:left="-288"/>
              <w:jc w:val="center"/>
              <w:rPr>
                <w:rFonts w:ascii="Arial" w:eastAsia="Times New Roman" w:hAnsi="Arial" w:cs="Times New Roman"/>
                <w:b/>
                <w:color w:val="000080"/>
                <w:sz w:val="24"/>
                <w:szCs w:val="24"/>
              </w:rPr>
            </w:pPr>
            <w:r w:rsidRPr="005339C5">
              <w:rPr>
                <w:rFonts w:ascii="Arial" w:eastAsia="Times New Roman" w:hAnsi="Arial" w:cs="Times New Roman"/>
                <w:b/>
                <w:color w:val="000080"/>
                <w:sz w:val="24"/>
                <w:szCs w:val="24"/>
              </w:rPr>
              <w:t>Veterans Benefits Administration</w:t>
            </w:r>
          </w:p>
          <w:p w14:paraId="64730556" w14:textId="77777777" w:rsidR="005339C5" w:rsidRPr="005339C5" w:rsidRDefault="005339C5" w:rsidP="005339C5">
            <w:pPr>
              <w:keepNext/>
              <w:spacing w:after="0" w:line="240" w:lineRule="auto"/>
              <w:ind w:left="-288"/>
              <w:jc w:val="center"/>
              <w:outlineLvl w:val="6"/>
              <w:rPr>
                <w:rFonts w:ascii="Arial" w:eastAsia="Times New Roman" w:hAnsi="Arial" w:cs="Times New Roman"/>
                <w:b/>
                <w:color w:val="000080"/>
                <w:sz w:val="24"/>
                <w:szCs w:val="24"/>
              </w:rPr>
            </w:pPr>
            <w:r w:rsidRPr="005339C5">
              <w:rPr>
                <w:rFonts w:ascii="Arial" w:eastAsia="Times New Roman" w:hAnsi="Arial" w:cs="Times New Roman"/>
                <w:b/>
                <w:color w:val="000080"/>
                <w:sz w:val="24"/>
                <w:szCs w:val="24"/>
              </w:rPr>
              <w:t>Washington, D.C.  20420</w:t>
            </w:r>
          </w:p>
        </w:tc>
      </w:tr>
    </w:tbl>
    <w:p w14:paraId="64730558" w14:textId="42346ECD" w:rsidR="005339C5" w:rsidRPr="00A57338" w:rsidRDefault="001C075A" w:rsidP="00A57338">
      <w:pPr>
        <w:pStyle w:val="NoSpacing"/>
        <w:rPr>
          <w:rFonts w:ascii="Times New Roman" w:hAnsi="Times New Roman" w:cs="Times New Roman"/>
          <w:sz w:val="24"/>
          <w:szCs w:val="24"/>
        </w:rPr>
      </w:pPr>
      <w:r>
        <w:rPr>
          <w:rFonts w:ascii="Times New Roman" w:hAnsi="Times New Roman" w:cs="Times New Roman"/>
          <w:sz w:val="24"/>
          <w:szCs w:val="24"/>
        </w:rPr>
        <w:t>June 13, 2014</w:t>
      </w:r>
    </w:p>
    <w:p w14:paraId="64730559" w14:textId="77777777" w:rsidR="005339C5" w:rsidRPr="00A57338" w:rsidRDefault="005339C5" w:rsidP="00A57338">
      <w:pPr>
        <w:pStyle w:val="NoSpacing"/>
        <w:rPr>
          <w:rFonts w:ascii="Times New Roman" w:hAnsi="Times New Roman" w:cs="Times New Roman"/>
          <w:sz w:val="24"/>
          <w:szCs w:val="24"/>
        </w:rPr>
      </w:pPr>
    </w:p>
    <w:p w14:paraId="6473055A" w14:textId="77777777" w:rsidR="005339C5" w:rsidRPr="00A57338" w:rsidRDefault="005339C5" w:rsidP="00A57338">
      <w:pPr>
        <w:pStyle w:val="NoSpacing"/>
        <w:rPr>
          <w:rFonts w:ascii="Times New Roman" w:hAnsi="Times New Roman" w:cs="Times New Roman"/>
          <w:sz w:val="24"/>
          <w:szCs w:val="24"/>
        </w:rPr>
      </w:pPr>
      <w:proofErr w:type="gramStart"/>
      <w:r w:rsidRPr="00A57338">
        <w:rPr>
          <w:rFonts w:ascii="Times New Roman" w:hAnsi="Times New Roman" w:cs="Times New Roman"/>
          <w:sz w:val="24"/>
          <w:szCs w:val="24"/>
        </w:rPr>
        <w:t>Director  (</w:t>
      </w:r>
      <w:proofErr w:type="gramEnd"/>
      <w:r w:rsidRPr="00A57338">
        <w:rPr>
          <w:rFonts w:ascii="Times New Roman" w:hAnsi="Times New Roman" w:cs="Times New Roman"/>
          <w:sz w:val="24"/>
          <w:szCs w:val="24"/>
        </w:rPr>
        <w:t xml:space="preserve">00/21)  </w:t>
      </w:r>
      <w:r w:rsidRPr="00A57338">
        <w:rPr>
          <w:rFonts w:ascii="Times New Roman" w:hAnsi="Times New Roman" w:cs="Times New Roman"/>
          <w:sz w:val="24"/>
          <w:szCs w:val="24"/>
        </w:rPr>
        <w:tab/>
      </w:r>
      <w:r w:rsidRPr="00A57338">
        <w:rPr>
          <w:rFonts w:ascii="Times New Roman" w:hAnsi="Times New Roman" w:cs="Times New Roman"/>
          <w:sz w:val="24"/>
          <w:szCs w:val="24"/>
        </w:rPr>
        <w:tab/>
      </w:r>
      <w:r w:rsidRPr="00A57338">
        <w:rPr>
          <w:rFonts w:ascii="Times New Roman" w:hAnsi="Times New Roman" w:cs="Times New Roman"/>
          <w:sz w:val="24"/>
          <w:szCs w:val="24"/>
        </w:rPr>
        <w:tab/>
      </w:r>
      <w:r w:rsidRPr="00A57338">
        <w:rPr>
          <w:rFonts w:ascii="Times New Roman" w:hAnsi="Times New Roman" w:cs="Times New Roman"/>
          <w:sz w:val="24"/>
          <w:szCs w:val="24"/>
        </w:rPr>
        <w:tab/>
      </w:r>
      <w:r w:rsidRPr="00A57338">
        <w:rPr>
          <w:rFonts w:ascii="Times New Roman" w:hAnsi="Times New Roman" w:cs="Times New Roman"/>
          <w:sz w:val="24"/>
          <w:szCs w:val="24"/>
        </w:rPr>
        <w:tab/>
        <w:t xml:space="preserve">               </w:t>
      </w:r>
      <w:r w:rsidR="001539E5">
        <w:rPr>
          <w:rFonts w:ascii="Times New Roman" w:hAnsi="Times New Roman" w:cs="Times New Roman"/>
          <w:sz w:val="24"/>
          <w:szCs w:val="24"/>
        </w:rPr>
        <w:tab/>
      </w:r>
      <w:r w:rsidRPr="00A57338">
        <w:rPr>
          <w:rFonts w:ascii="Times New Roman" w:hAnsi="Times New Roman" w:cs="Times New Roman"/>
          <w:sz w:val="24"/>
          <w:szCs w:val="24"/>
        </w:rPr>
        <w:t>In Reply Refer To:  211</w:t>
      </w:r>
    </w:p>
    <w:p w14:paraId="6473055B" w14:textId="5E6F02D2" w:rsidR="005339C5" w:rsidRPr="00A57338" w:rsidRDefault="005339C5" w:rsidP="00A57338">
      <w:pPr>
        <w:pStyle w:val="NoSpacing"/>
        <w:rPr>
          <w:rFonts w:ascii="Times New Roman" w:hAnsi="Times New Roman" w:cs="Times New Roman"/>
          <w:sz w:val="24"/>
          <w:szCs w:val="24"/>
        </w:rPr>
      </w:pPr>
      <w:r w:rsidRPr="00A57338">
        <w:rPr>
          <w:rFonts w:ascii="Times New Roman" w:hAnsi="Times New Roman" w:cs="Times New Roman"/>
          <w:sz w:val="24"/>
          <w:szCs w:val="24"/>
        </w:rPr>
        <w:t xml:space="preserve">All VBA </w:t>
      </w:r>
      <w:r w:rsidR="001539E5">
        <w:rPr>
          <w:rFonts w:ascii="Times New Roman" w:hAnsi="Times New Roman" w:cs="Times New Roman"/>
          <w:sz w:val="24"/>
          <w:szCs w:val="24"/>
        </w:rPr>
        <w:t>Regional Offices and Centers</w:t>
      </w:r>
      <w:r w:rsidR="001539E5">
        <w:rPr>
          <w:rFonts w:ascii="Times New Roman" w:hAnsi="Times New Roman" w:cs="Times New Roman"/>
          <w:sz w:val="24"/>
          <w:szCs w:val="24"/>
        </w:rPr>
        <w:tab/>
      </w:r>
      <w:r w:rsidR="001539E5">
        <w:rPr>
          <w:rFonts w:ascii="Times New Roman" w:hAnsi="Times New Roman" w:cs="Times New Roman"/>
          <w:sz w:val="24"/>
          <w:szCs w:val="24"/>
        </w:rPr>
        <w:tab/>
      </w:r>
      <w:r w:rsidR="001539E5">
        <w:rPr>
          <w:rFonts w:ascii="Times New Roman" w:hAnsi="Times New Roman" w:cs="Times New Roman"/>
          <w:sz w:val="24"/>
          <w:szCs w:val="24"/>
        </w:rPr>
        <w:tab/>
      </w:r>
      <w:r w:rsidR="001539E5">
        <w:rPr>
          <w:rFonts w:ascii="Times New Roman" w:hAnsi="Times New Roman" w:cs="Times New Roman"/>
          <w:sz w:val="24"/>
          <w:szCs w:val="24"/>
        </w:rPr>
        <w:tab/>
        <w:t>Training Letter</w:t>
      </w:r>
      <w:r w:rsidRPr="00A57338">
        <w:rPr>
          <w:rFonts w:ascii="Times New Roman" w:hAnsi="Times New Roman" w:cs="Times New Roman"/>
          <w:sz w:val="24"/>
          <w:szCs w:val="24"/>
        </w:rPr>
        <w:t xml:space="preserve"> </w:t>
      </w:r>
      <w:r w:rsidR="000B108A" w:rsidRPr="001C075A">
        <w:rPr>
          <w:rFonts w:ascii="Times New Roman" w:hAnsi="Times New Roman" w:cs="Times New Roman"/>
          <w:sz w:val="24"/>
          <w:szCs w:val="24"/>
        </w:rPr>
        <w:t>1</w:t>
      </w:r>
      <w:r w:rsidR="001C075A" w:rsidRPr="001C075A">
        <w:rPr>
          <w:rFonts w:ascii="Times New Roman" w:hAnsi="Times New Roman" w:cs="Times New Roman"/>
          <w:sz w:val="24"/>
          <w:szCs w:val="24"/>
        </w:rPr>
        <w:t>4</w:t>
      </w:r>
      <w:r w:rsidR="000B108A" w:rsidRPr="001C075A">
        <w:rPr>
          <w:rFonts w:ascii="Times New Roman" w:hAnsi="Times New Roman" w:cs="Times New Roman"/>
          <w:sz w:val="24"/>
          <w:szCs w:val="24"/>
        </w:rPr>
        <w:t>-0</w:t>
      </w:r>
      <w:r w:rsidR="001C075A" w:rsidRPr="001C075A">
        <w:rPr>
          <w:rFonts w:ascii="Times New Roman" w:hAnsi="Times New Roman" w:cs="Times New Roman"/>
          <w:sz w:val="24"/>
          <w:szCs w:val="24"/>
        </w:rPr>
        <w:t>1</w:t>
      </w:r>
    </w:p>
    <w:p w14:paraId="6473055C" w14:textId="77777777" w:rsidR="005339C5" w:rsidRDefault="005339C5" w:rsidP="00A57338">
      <w:pPr>
        <w:pStyle w:val="NoSpacing"/>
        <w:rPr>
          <w:rFonts w:ascii="Times New Roman" w:hAnsi="Times New Roman" w:cs="Times New Roman"/>
          <w:sz w:val="24"/>
          <w:szCs w:val="24"/>
        </w:rPr>
      </w:pPr>
    </w:p>
    <w:p w14:paraId="6473055D" w14:textId="77777777" w:rsidR="00B04905" w:rsidRPr="00A57338" w:rsidRDefault="00B04905" w:rsidP="00A57338">
      <w:pPr>
        <w:pStyle w:val="NoSpacing"/>
        <w:rPr>
          <w:rFonts w:ascii="Times New Roman" w:hAnsi="Times New Roman" w:cs="Times New Roman"/>
          <w:sz w:val="24"/>
          <w:szCs w:val="24"/>
        </w:rPr>
      </w:pPr>
    </w:p>
    <w:p w14:paraId="6473055E" w14:textId="77777777" w:rsidR="005339C5" w:rsidRPr="00A57338" w:rsidRDefault="005339C5" w:rsidP="00A57338">
      <w:pPr>
        <w:pStyle w:val="NoSpacing"/>
        <w:rPr>
          <w:rFonts w:ascii="Times New Roman" w:eastAsia="Times New Roman" w:hAnsi="Times New Roman" w:cs="Times New Roman"/>
          <w:b/>
          <w:bCs/>
          <w:sz w:val="28"/>
          <w:szCs w:val="28"/>
        </w:rPr>
      </w:pPr>
      <w:r w:rsidRPr="00A57338">
        <w:rPr>
          <w:rFonts w:ascii="Times New Roman" w:eastAsia="Times New Roman" w:hAnsi="Times New Roman" w:cs="Times New Roman"/>
          <w:b/>
          <w:bCs/>
          <w:sz w:val="28"/>
          <w:szCs w:val="28"/>
        </w:rPr>
        <w:t>Purpose</w:t>
      </w:r>
      <w:r w:rsidR="00B04905">
        <w:rPr>
          <w:rFonts w:ascii="Times New Roman" w:eastAsia="Times New Roman" w:hAnsi="Times New Roman" w:cs="Times New Roman"/>
          <w:b/>
          <w:bCs/>
          <w:sz w:val="28"/>
          <w:szCs w:val="28"/>
        </w:rPr>
        <w:t xml:space="preserve"> and Background</w:t>
      </w:r>
    </w:p>
    <w:p w14:paraId="6473055F" w14:textId="77777777" w:rsidR="005339C5" w:rsidRPr="00A57338" w:rsidRDefault="005339C5" w:rsidP="00A57338">
      <w:pPr>
        <w:pStyle w:val="NoSpacing"/>
        <w:rPr>
          <w:rFonts w:ascii="Times New Roman" w:eastAsia="Times New Roman" w:hAnsi="Times New Roman" w:cs="Times New Roman"/>
          <w:b/>
          <w:bCs/>
          <w:sz w:val="28"/>
          <w:szCs w:val="28"/>
        </w:rPr>
      </w:pPr>
      <w:r w:rsidRPr="00A57338">
        <w:rPr>
          <w:rFonts w:ascii="Times New Roman" w:eastAsia="Times New Roman" w:hAnsi="Times New Roman" w:cs="Times New Roman"/>
          <w:b/>
          <w:bCs/>
          <w:sz w:val="28"/>
          <w:szCs w:val="28"/>
        </w:rPr>
        <w:tab/>
      </w:r>
    </w:p>
    <w:p w14:paraId="64730560" w14:textId="40332437" w:rsidR="000B108A" w:rsidRPr="00A57338" w:rsidRDefault="000B108A" w:rsidP="00A57338">
      <w:pPr>
        <w:pStyle w:val="NoSpacing"/>
        <w:rPr>
          <w:rFonts w:ascii="Times New Roman" w:eastAsia="Times New Roman" w:hAnsi="Times New Roman" w:cs="Times New Roman"/>
          <w:sz w:val="24"/>
          <w:szCs w:val="24"/>
        </w:rPr>
      </w:pPr>
      <w:bookmarkStart w:id="0" w:name="_GoBack"/>
      <w:r w:rsidRPr="00A57338">
        <w:rPr>
          <w:rFonts w:ascii="Times New Roman" w:eastAsia="Times New Roman" w:hAnsi="Times New Roman" w:cs="Times New Roman"/>
          <w:sz w:val="24"/>
          <w:szCs w:val="24"/>
        </w:rPr>
        <w:t xml:space="preserve">This </w:t>
      </w:r>
      <w:r w:rsidR="00B04905">
        <w:rPr>
          <w:rFonts w:ascii="Times New Roman" w:eastAsia="Times New Roman" w:hAnsi="Times New Roman" w:cs="Times New Roman"/>
          <w:sz w:val="24"/>
          <w:szCs w:val="24"/>
        </w:rPr>
        <w:t>Training Letter</w:t>
      </w:r>
      <w:r w:rsidRPr="00A57338">
        <w:rPr>
          <w:rFonts w:ascii="Times New Roman" w:eastAsia="Times New Roman" w:hAnsi="Times New Roman" w:cs="Times New Roman"/>
          <w:sz w:val="24"/>
          <w:szCs w:val="24"/>
        </w:rPr>
        <w:t xml:space="preserve"> (</w:t>
      </w:r>
      <w:r w:rsidR="00B04905">
        <w:rPr>
          <w:rFonts w:ascii="Times New Roman" w:eastAsia="Times New Roman" w:hAnsi="Times New Roman" w:cs="Times New Roman"/>
          <w:sz w:val="24"/>
          <w:szCs w:val="24"/>
        </w:rPr>
        <w:t>TL</w:t>
      </w:r>
      <w:r w:rsidRPr="00A57338">
        <w:rPr>
          <w:rFonts w:ascii="Times New Roman" w:eastAsia="Times New Roman" w:hAnsi="Times New Roman" w:cs="Times New Roman"/>
          <w:sz w:val="24"/>
          <w:szCs w:val="24"/>
        </w:rPr>
        <w:t xml:space="preserve">) will </w:t>
      </w:r>
      <w:r w:rsidR="004D13F8" w:rsidRPr="00A57338">
        <w:rPr>
          <w:rFonts w:ascii="Times New Roman" w:eastAsia="Times New Roman" w:hAnsi="Times New Roman" w:cs="Times New Roman"/>
          <w:sz w:val="24"/>
          <w:szCs w:val="24"/>
        </w:rPr>
        <w:t xml:space="preserve">help </w:t>
      </w:r>
      <w:r w:rsidR="00A67214" w:rsidRPr="00A57338">
        <w:rPr>
          <w:rFonts w:ascii="Times New Roman" w:eastAsia="Times New Roman" w:hAnsi="Times New Roman" w:cs="Times New Roman"/>
          <w:sz w:val="24"/>
          <w:szCs w:val="24"/>
        </w:rPr>
        <w:t xml:space="preserve">regional office </w:t>
      </w:r>
      <w:r w:rsidR="002F17B0" w:rsidRPr="00A57338">
        <w:rPr>
          <w:rFonts w:ascii="Times New Roman" w:eastAsia="Times New Roman" w:hAnsi="Times New Roman" w:cs="Times New Roman"/>
          <w:sz w:val="24"/>
          <w:szCs w:val="24"/>
        </w:rPr>
        <w:t xml:space="preserve">personnel </w:t>
      </w:r>
      <w:r w:rsidR="004D13F8" w:rsidRPr="00A57338">
        <w:rPr>
          <w:rFonts w:ascii="Times New Roman" w:eastAsia="Times New Roman" w:hAnsi="Times New Roman" w:cs="Times New Roman"/>
          <w:sz w:val="24"/>
          <w:szCs w:val="24"/>
        </w:rPr>
        <w:t>understand the requirements that must be met before a Veteran warrants a VA examination/opinion</w:t>
      </w:r>
      <w:r w:rsidR="00B04905">
        <w:rPr>
          <w:rFonts w:ascii="Times New Roman" w:eastAsia="Times New Roman" w:hAnsi="Times New Roman" w:cs="Times New Roman"/>
          <w:sz w:val="24"/>
          <w:szCs w:val="24"/>
        </w:rPr>
        <w:t>,</w:t>
      </w:r>
      <w:r w:rsidR="004D13F8" w:rsidRPr="00A57338">
        <w:rPr>
          <w:rFonts w:ascii="Times New Roman" w:eastAsia="Times New Roman" w:hAnsi="Times New Roman" w:cs="Times New Roman"/>
          <w:sz w:val="24"/>
          <w:szCs w:val="24"/>
        </w:rPr>
        <w:t xml:space="preserve"> and offers helpful reminders regarding VA examinations.  We hope this will make </w:t>
      </w:r>
      <w:r w:rsidR="00B47768" w:rsidRPr="00A57338">
        <w:rPr>
          <w:rFonts w:ascii="Times New Roman" w:eastAsia="Times New Roman" w:hAnsi="Times New Roman" w:cs="Times New Roman"/>
          <w:sz w:val="24"/>
          <w:szCs w:val="24"/>
        </w:rPr>
        <w:t>regional office personnel</w:t>
      </w:r>
      <w:r w:rsidR="004D13F8" w:rsidRPr="00A57338">
        <w:rPr>
          <w:rFonts w:ascii="Times New Roman" w:eastAsia="Times New Roman" w:hAnsi="Times New Roman" w:cs="Times New Roman"/>
          <w:sz w:val="24"/>
          <w:szCs w:val="24"/>
        </w:rPr>
        <w:t xml:space="preserve"> more confident in their knowledge of the laws, regulations, and policies regarding examinations, and empower them to make decisions without over-development of claims.  </w:t>
      </w:r>
    </w:p>
    <w:bookmarkEnd w:id="0"/>
    <w:p w14:paraId="64730561" w14:textId="77777777" w:rsidR="005339C5" w:rsidRPr="00A57338" w:rsidRDefault="005339C5" w:rsidP="00A57338">
      <w:pPr>
        <w:pStyle w:val="NoSpacing"/>
        <w:rPr>
          <w:rFonts w:ascii="Times New Roman" w:eastAsia="Times New Roman" w:hAnsi="Times New Roman" w:cs="Times New Roman"/>
        </w:rPr>
      </w:pPr>
    </w:p>
    <w:p w14:paraId="64730562" w14:textId="77777777" w:rsidR="005339C5" w:rsidRDefault="00B04905" w:rsidP="00A57338">
      <w:pPr>
        <w:pStyle w:val="No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Policies, Procedures, and Guidance</w:t>
      </w:r>
    </w:p>
    <w:p w14:paraId="64730563" w14:textId="77777777" w:rsidR="00A57338" w:rsidRPr="00A3194C" w:rsidRDefault="00A57338" w:rsidP="00A57338">
      <w:pPr>
        <w:pStyle w:val="NoSpacing"/>
        <w:rPr>
          <w:rFonts w:ascii="Times New Roman" w:eastAsia="Times New Roman" w:hAnsi="Times New Roman" w:cs="Times New Roman"/>
          <w:b/>
          <w:sz w:val="24"/>
          <w:szCs w:val="24"/>
        </w:rPr>
      </w:pPr>
    </w:p>
    <w:p w14:paraId="64730564" w14:textId="77777777" w:rsidR="00B241A5" w:rsidRPr="00A57338" w:rsidRDefault="00385796" w:rsidP="00A57338">
      <w:pPr>
        <w:pStyle w:val="NoSpacing"/>
        <w:rPr>
          <w:rFonts w:ascii="Times New Roman" w:eastAsia="Times New Roman" w:hAnsi="Times New Roman" w:cs="Times New Roman"/>
          <w:sz w:val="24"/>
          <w:szCs w:val="24"/>
          <w:u w:val="single"/>
        </w:rPr>
      </w:pPr>
      <w:r w:rsidRPr="00A57338">
        <w:rPr>
          <w:rFonts w:ascii="Times New Roman" w:eastAsia="Times New Roman" w:hAnsi="Times New Roman" w:cs="Times New Roman"/>
          <w:sz w:val="24"/>
          <w:szCs w:val="24"/>
          <w:u w:val="single"/>
        </w:rPr>
        <w:t xml:space="preserve">The Three </w:t>
      </w:r>
      <w:r w:rsidR="00B241A5" w:rsidRPr="00A57338">
        <w:rPr>
          <w:rFonts w:ascii="Times New Roman" w:eastAsia="Times New Roman" w:hAnsi="Times New Roman" w:cs="Times New Roman"/>
          <w:sz w:val="24"/>
          <w:szCs w:val="24"/>
          <w:u w:val="single"/>
        </w:rPr>
        <w:t xml:space="preserve">Requirements That Must be Met </w:t>
      </w:r>
      <w:proofErr w:type="gramStart"/>
      <w:r w:rsidR="00B241A5" w:rsidRPr="00A57338">
        <w:rPr>
          <w:rFonts w:ascii="Times New Roman" w:eastAsia="Times New Roman" w:hAnsi="Times New Roman" w:cs="Times New Roman"/>
          <w:sz w:val="24"/>
          <w:szCs w:val="24"/>
          <w:u w:val="single"/>
        </w:rPr>
        <w:t>Before</w:t>
      </w:r>
      <w:proofErr w:type="gramEnd"/>
      <w:r w:rsidR="00B241A5" w:rsidRPr="00A57338">
        <w:rPr>
          <w:rFonts w:ascii="Times New Roman" w:eastAsia="Times New Roman" w:hAnsi="Times New Roman" w:cs="Times New Roman"/>
          <w:sz w:val="24"/>
          <w:szCs w:val="24"/>
          <w:u w:val="single"/>
        </w:rPr>
        <w:t xml:space="preserve"> an Examination is Warranted</w:t>
      </w:r>
    </w:p>
    <w:p w14:paraId="64730565" w14:textId="77777777" w:rsidR="00A57338" w:rsidRPr="00A57338" w:rsidRDefault="00A57338" w:rsidP="00A57338">
      <w:pPr>
        <w:pStyle w:val="NoSpacing"/>
        <w:rPr>
          <w:rFonts w:ascii="Times New Roman" w:eastAsia="Times New Roman" w:hAnsi="Times New Roman" w:cs="Times New Roman"/>
          <w:sz w:val="24"/>
          <w:szCs w:val="24"/>
          <w:u w:val="single"/>
        </w:rPr>
      </w:pPr>
    </w:p>
    <w:p w14:paraId="64730566" w14:textId="77777777" w:rsidR="00B47768" w:rsidRDefault="00D9252B" w:rsidP="00A57338">
      <w:pPr>
        <w:pStyle w:val="NoSpacing"/>
        <w:rPr>
          <w:rFonts w:ascii="Times New Roman" w:eastAsia="Times New Roman" w:hAnsi="Times New Roman" w:cs="Times New Roman"/>
          <w:sz w:val="24"/>
          <w:szCs w:val="24"/>
        </w:rPr>
      </w:pPr>
      <w:hyperlink r:id="rId13" w:history="1">
        <w:r w:rsidR="00B47768" w:rsidRPr="00A57338">
          <w:rPr>
            <w:rStyle w:val="Hyperlink"/>
            <w:rFonts w:ascii="Times New Roman" w:eastAsia="Times New Roman" w:hAnsi="Times New Roman" w:cs="Times New Roman"/>
            <w:sz w:val="24"/>
            <w:szCs w:val="24"/>
          </w:rPr>
          <w:t>38 C.F.R. §3.159(c</w:t>
        </w:r>
        <w:proofErr w:type="gramStart"/>
        <w:r w:rsidR="00B47768" w:rsidRPr="00A57338">
          <w:rPr>
            <w:rStyle w:val="Hyperlink"/>
            <w:rFonts w:ascii="Times New Roman" w:eastAsia="Times New Roman" w:hAnsi="Times New Roman" w:cs="Times New Roman"/>
            <w:sz w:val="24"/>
            <w:szCs w:val="24"/>
          </w:rPr>
          <w:t>)(</w:t>
        </w:r>
        <w:proofErr w:type="gramEnd"/>
        <w:r w:rsidR="00B47768" w:rsidRPr="00A57338">
          <w:rPr>
            <w:rStyle w:val="Hyperlink"/>
            <w:rFonts w:ascii="Times New Roman" w:eastAsia="Times New Roman" w:hAnsi="Times New Roman" w:cs="Times New Roman"/>
            <w:sz w:val="24"/>
            <w:szCs w:val="24"/>
          </w:rPr>
          <w:t>4)(i)</w:t>
        </w:r>
      </w:hyperlink>
      <w:r w:rsidR="00B47768" w:rsidRPr="00A57338">
        <w:rPr>
          <w:rFonts w:ascii="Times New Roman" w:eastAsia="Times New Roman" w:hAnsi="Times New Roman" w:cs="Times New Roman"/>
          <w:sz w:val="24"/>
          <w:szCs w:val="24"/>
        </w:rPr>
        <w:t>, provides that an examination or medical opinion is necessary when the evidence of record does not contain sufficient medical evidence to decide the claim, but the following three parts are present:</w:t>
      </w:r>
    </w:p>
    <w:p w14:paraId="64730567" w14:textId="77777777" w:rsidR="00C754BE" w:rsidRDefault="00C754BE" w:rsidP="00A57338">
      <w:pPr>
        <w:pStyle w:val="NoSpacing"/>
        <w:rPr>
          <w:rFonts w:ascii="Times New Roman" w:eastAsia="Times New Roman" w:hAnsi="Times New Roman" w:cs="Times New Roman"/>
          <w:sz w:val="24"/>
          <w:szCs w:val="24"/>
        </w:rPr>
      </w:pPr>
    </w:p>
    <w:tbl>
      <w:tblPr>
        <w:tblStyle w:val="TableGrid"/>
        <w:tblW w:w="0" w:type="auto"/>
        <w:tblInd w:w="108" w:type="dxa"/>
        <w:tblLook w:val="0000" w:firstRow="0" w:lastRow="0" w:firstColumn="0" w:lastColumn="0" w:noHBand="0" w:noVBand="0"/>
      </w:tblPr>
      <w:tblGrid>
        <w:gridCol w:w="2232"/>
        <w:gridCol w:w="7128"/>
      </w:tblGrid>
      <w:tr w:rsidR="00ED64A5" w14:paraId="6473056A" w14:textId="77777777" w:rsidTr="00ED64A5">
        <w:trPr>
          <w:trHeight w:val="300"/>
        </w:trPr>
        <w:tc>
          <w:tcPr>
            <w:tcW w:w="2232" w:type="dxa"/>
          </w:tcPr>
          <w:p w14:paraId="64730568" w14:textId="77777777" w:rsidR="00ED64A5" w:rsidRPr="00ED64A5" w:rsidRDefault="00ED64A5" w:rsidP="00ED64A5">
            <w:pPr>
              <w:pStyle w:val="NoSpacing"/>
              <w:rPr>
                <w:rFonts w:ascii="Times New Roman" w:eastAsia="Times New Roman" w:hAnsi="Times New Roman" w:cs="Times New Roman"/>
                <w:b/>
                <w:sz w:val="24"/>
                <w:szCs w:val="24"/>
                <w:u w:val="single"/>
              </w:rPr>
            </w:pPr>
            <w:r w:rsidRPr="00ED64A5">
              <w:rPr>
                <w:rFonts w:ascii="Times New Roman" w:eastAsia="Times New Roman" w:hAnsi="Times New Roman" w:cs="Times New Roman"/>
                <w:b/>
                <w:sz w:val="24"/>
                <w:szCs w:val="24"/>
                <w:u w:val="single"/>
              </w:rPr>
              <w:t>Element</w:t>
            </w:r>
          </w:p>
        </w:tc>
        <w:tc>
          <w:tcPr>
            <w:tcW w:w="7128" w:type="dxa"/>
          </w:tcPr>
          <w:p w14:paraId="64730569" w14:textId="77777777" w:rsidR="00ED64A5" w:rsidRPr="00ED64A5" w:rsidRDefault="00ED64A5" w:rsidP="00ED64A5">
            <w:pPr>
              <w:pStyle w:val="NoSpacing"/>
              <w:rPr>
                <w:rFonts w:ascii="Times New Roman" w:eastAsia="Times New Roman" w:hAnsi="Times New Roman" w:cs="Times New Roman"/>
                <w:b/>
                <w:sz w:val="24"/>
                <w:szCs w:val="24"/>
                <w:u w:val="single"/>
              </w:rPr>
            </w:pPr>
            <w:r w:rsidRPr="00ED64A5">
              <w:rPr>
                <w:rFonts w:ascii="Times New Roman" w:eastAsia="Times New Roman" w:hAnsi="Times New Roman" w:cs="Times New Roman"/>
                <w:b/>
                <w:sz w:val="24"/>
                <w:szCs w:val="24"/>
                <w:u w:val="single"/>
              </w:rPr>
              <w:t>Guidance</w:t>
            </w:r>
          </w:p>
        </w:tc>
      </w:tr>
      <w:tr w:rsidR="00A3194C" w:rsidRPr="007A2199" w14:paraId="64730570" w14:textId="77777777" w:rsidTr="00ED64A5">
        <w:tblPrEx>
          <w:tblLook w:val="04A0" w:firstRow="1" w:lastRow="0" w:firstColumn="1" w:lastColumn="0" w:noHBand="0" w:noVBand="1"/>
        </w:tblPrEx>
        <w:trPr>
          <w:trHeight w:val="215"/>
        </w:trPr>
        <w:tc>
          <w:tcPr>
            <w:tcW w:w="2232" w:type="dxa"/>
          </w:tcPr>
          <w:p w14:paraId="6473056B" w14:textId="77777777" w:rsidR="00C3593B" w:rsidRDefault="00C3593B" w:rsidP="00276486">
            <w:pPr>
              <w:pStyle w:val="NoSpacing"/>
              <w:rPr>
                <w:rFonts w:ascii="Times New Roman" w:eastAsia="Times New Roman" w:hAnsi="Times New Roman" w:cs="Times New Roman"/>
                <w:sz w:val="21"/>
                <w:szCs w:val="21"/>
              </w:rPr>
            </w:pPr>
            <w:r>
              <w:rPr>
                <w:rFonts w:ascii="Times New Roman" w:eastAsia="Times New Roman" w:hAnsi="Times New Roman" w:cs="Times New Roman"/>
                <w:b/>
                <w:sz w:val="21"/>
                <w:szCs w:val="21"/>
              </w:rPr>
              <w:t>Element</w:t>
            </w:r>
            <w:r w:rsidR="00A3194C" w:rsidRPr="008D3F19">
              <w:rPr>
                <w:rFonts w:ascii="Times New Roman" w:eastAsia="Times New Roman" w:hAnsi="Times New Roman" w:cs="Times New Roman"/>
                <w:b/>
                <w:sz w:val="21"/>
                <w:szCs w:val="21"/>
              </w:rPr>
              <w:t xml:space="preserve"> A</w:t>
            </w:r>
            <w:r w:rsidR="00A3194C" w:rsidRPr="008D3F19">
              <w:rPr>
                <w:rFonts w:ascii="Times New Roman" w:eastAsia="Times New Roman" w:hAnsi="Times New Roman" w:cs="Times New Roman"/>
                <w:sz w:val="21"/>
                <w:szCs w:val="21"/>
              </w:rPr>
              <w:t xml:space="preserve"> </w:t>
            </w:r>
          </w:p>
          <w:p w14:paraId="6473056C" w14:textId="77777777" w:rsidR="00A3194C" w:rsidRPr="008D3F19" w:rsidRDefault="00ED64A5" w:rsidP="00276486">
            <w:pPr>
              <w:pStyle w:val="NoSpacing"/>
              <w:rPr>
                <w:rFonts w:ascii="Times New Roman" w:eastAsia="Times New Roman" w:hAnsi="Times New Roman" w:cs="Times New Roman"/>
                <w:sz w:val="21"/>
                <w:szCs w:val="21"/>
              </w:rPr>
            </w:pPr>
            <w:r>
              <w:rPr>
                <w:rFonts w:ascii="Times New Roman" w:eastAsia="Times New Roman" w:hAnsi="Times New Roman" w:cs="Times New Roman"/>
                <w:sz w:val="21"/>
                <w:szCs w:val="21"/>
              </w:rPr>
              <w:t>C</w:t>
            </w:r>
            <w:r w:rsidR="00C3593B">
              <w:rPr>
                <w:rFonts w:ascii="Times New Roman" w:eastAsia="Times New Roman" w:hAnsi="Times New Roman" w:cs="Times New Roman"/>
                <w:sz w:val="21"/>
                <w:szCs w:val="21"/>
              </w:rPr>
              <w:t xml:space="preserve">ompetent </w:t>
            </w:r>
            <w:r w:rsidR="00A3194C" w:rsidRPr="008D3F19">
              <w:rPr>
                <w:rFonts w:ascii="Times New Roman" w:eastAsia="Times New Roman" w:hAnsi="Times New Roman" w:cs="Times New Roman"/>
                <w:sz w:val="21"/>
                <w:szCs w:val="21"/>
              </w:rPr>
              <w:t xml:space="preserve">medical or lay evidence of current </w:t>
            </w:r>
            <w:r>
              <w:rPr>
                <w:rFonts w:ascii="Times New Roman" w:eastAsia="Times New Roman" w:hAnsi="Times New Roman" w:cs="Times New Roman"/>
                <w:sz w:val="21"/>
                <w:szCs w:val="21"/>
              </w:rPr>
              <w:t xml:space="preserve">diagnosed </w:t>
            </w:r>
            <w:r w:rsidR="00297316">
              <w:rPr>
                <w:rFonts w:ascii="Times New Roman" w:eastAsia="Times New Roman" w:hAnsi="Times New Roman" w:cs="Times New Roman"/>
                <w:sz w:val="21"/>
                <w:szCs w:val="21"/>
              </w:rPr>
              <w:t>disability or</w:t>
            </w:r>
            <w:r>
              <w:rPr>
                <w:rFonts w:ascii="Times New Roman" w:eastAsia="Times New Roman" w:hAnsi="Times New Roman" w:cs="Times New Roman"/>
                <w:sz w:val="21"/>
                <w:szCs w:val="21"/>
              </w:rPr>
              <w:t xml:space="preserve"> persistent or recurrent </w:t>
            </w:r>
            <w:r w:rsidR="00A3194C" w:rsidRPr="008D3F19">
              <w:rPr>
                <w:rFonts w:ascii="Times New Roman" w:eastAsia="Times New Roman" w:hAnsi="Times New Roman" w:cs="Times New Roman"/>
                <w:sz w:val="21"/>
                <w:szCs w:val="21"/>
              </w:rPr>
              <w:t>symptoms or disab</w:t>
            </w:r>
            <w:r>
              <w:rPr>
                <w:rFonts w:ascii="Times New Roman" w:eastAsia="Times New Roman" w:hAnsi="Times New Roman" w:cs="Times New Roman"/>
                <w:sz w:val="21"/>
                <w:szCs w:val="21"/>
              </w:rPr>
              <w:t>ility.</w:t>
            </w:r>
          </w:p>
        </w:tc>
        <w:tc>
          <w:tcPr>
            <w:tcW w:w="7128" w:type="dxa"/>
          </w:tcPr>
          <w:p w14:paraId="6473056D" w14:textId="77777777" w:rsidR="00A3194C" w:rsidRDefault="00A3194C" w:rsidP="00ED64A5">
            <w:pPr>
              <w:pStyle w:val="NoSpacing"/>
              <w:rPr>
                <w:rFonts w:ascii="Times New Roman" w:eastAsia="Times New Roman" w:hAnsi="Times New Roman" w:cs="Times New Roman"/>
                <w:sz w:val="21"/>
                <w:szCs w:val="21"/>
              </w:rPr>
            </w:pPr>
            <w:r w:rsidRPr="008D3F19">
              <w:rPr>
                <w:rFonts w:ascii="Times New Roman" w:eastAsia="Times New Roman" w:hAnsi="Times New Roman" w:cs="Times New Roman"/>
                <w:sz w:val="21"/>
                <w:szCs w:val="21"/>
              </w:rPr>
              <w:t>In many instances the Veteran’s l</w:t>
            </w:r>
            <w:r w:rsidR="00ED64A5">
              <w:rPr>
                <w:rFonts w:ascii="Times New Roman" w:eastAsia="Times New Roman" w:hAnsi="Times New Roman" w:cs="Times New Roman"/>
                <w:sz w:val="21"/>
                <w:szCs w:val="21"/>
              </w:rPr>
              <w:t>ay testimony in a claim is</w:t>
            </w:r>
            <w:r w:rsidRPr="008D3F19">
              <w:rPr>
                <w:rFonts w:ascii="Times New Roman" w:eastAsia="Times New Roman" w:hAnsi="Times New Roman" w:cs="Times New Roman"/>
                <w:sz w:val="21"/>
                <w:szCs w:val="21"/>
              </w:rPr>
              <w:t xml:space="preserve"> enough to establish that there is </w:t>
            </w:r>
            <w:r w:rsidR="00ED64A5">
              <w:rPr>
                <w:rFonts w:ascii="Times New Roman" w:eastAsia="Times New Roman" w:hAnsi="Times New Roman" w:cs="Times New Roman"/>
                <w:sz w:val="21"/>
                <w:szCs w:val="21"/>
              </w:rPr>
              <w:t xml:space="preserve">a </w:t>
            </w:r>
            <w:r w:rsidRPr="008D3F19">
              <w:rPr>
                <w:rFonts w:ascii="Times New Roman" w:eastAsia="Times New Roman" w:hAnsi="Times New Roman" w:cs="Times New Roman"/>
                <w:sz w:val="21"/>
                <w:szCs w:val="21"/>
              </w:rPr>
              <w:t xml:space="preserve">current </w:t>
            </w:r>
            <w:r w:rsidR="00ED64A5">
              <w:rPr>
                <w:rFonts w:ascii="Times New Roman" w:eastAsia="Times New Roman" w:hAnsi="Times New Roman" w:cs="Times New Roman"/>
                <w:sz w:val="21"/>
                <w:szCs w:val="21"/>
              </w:rPr>
              <w:t>disability or persistent or recurrent symptoms</w:t>
            </w:r>
            <w:r w:rsidRPr="008D3F19">
              <w:rPr>
                <w:rFonts w:ascii="Times New Roman" w:eastAsia="Times New Roman" w:hAnsi="Times New Roman" w:cs="Times New Roman"/>
                <w:sz w:val="21"/>
                <w:szCs w:val="21"/>
              </w:rPr>
              <w:t xml:space="preserve"> of disability</w:t>
            </w:r>
            <w:r w:rsidR="00ED64A5">
              <w:rPr>
                <w:rFonts w:ascii="Times New Roman" w:eastAsia="Times New Roman" w:hAnsi="Times New Roman" w:cs="Times New Roman"/>
                <w:sz w:val="21"/>
                <w:szCs w:val="21"/>
              </w:rPr>
              <w:t>.  Lay statements are generally competent to describe symptoms.  In some instances, medical evidenc</w:t>
            </w:r>
            <w:r w:rsidR="007B6673">
              <w:rPr>
                <w:rFonts w:ascii="Times New Roman" w:eastAsia="Times New Roman" w:hAnsi="Times New Roman" w:cs="Times New Roman"/>
                <w:sz w:val="21"/>
                <w:szCs w:val="21"/>
              </w:rPr>
              <w:t xml:space="preserve">e is required </w:t>
            </w:r>
            <w:r w:rsidR="00ED64A5">
              <w:rPr>
                <w:rFonts w:ascii="Times New Roman" w:eastAsia="Times New Roman" w:hAnsi="Times New Roman" w:cs="Times New Roman"/>
                <w:sz w:val="21"/>
                <w:szCs w:val="21"/>
              </w:rPr>
              <w:t>to establish the presence of a diagnosed</w:t>
            </w:r>
            <w:r w:rsidR="007B6673">
              <w:rPr>
                <w:rFonts w:ascii="Times New Roman" w:eastAsia="Times New Roman" w:hAnsi="Times New Roman" w:cs="Times New Roman"/>
                <w:sz w:val="21"/>
                <w:szCs w:val="21"/>
              </w:rPr>
              <w:t xml:space="preserve"> disability</w:t>
            </w:r>
            <w:r w:rsidR="00ED64A5">
              <w:rPr>
                <w:rFonts w:ascii="Times New Roman" w:eastAsia="Times New Roman" w:hAnsi="Times New Roman" w:cs="Times New Roman"/>
                <w:sz w:val="21"/>
                <w:szCs w:val="21"/>
              </w:rPr>
              <w:t xml:space="preserve">, such as identifying a form of cancer. </w:t>
            </w:r>
          </w:p>
          <w:p w14:paraId="6473056E" w14:textId="77777777" w:rsidR="00ED64A5" w:rsidRDefault="00ED64A5" w:rsidP="00ED64A5">
            <w:pPr>
              <w:pStyle w:val="NoSpacing"/>
              <w:rPr>
                <w:rFonts w:ascii="Times New Roman" w:eastAsia="Times New Roman" w:hAnsi="Times New Roman" w:cs="Times New Roman"/>
                <w:sz w:val="21"/>
                <w:szCs w:val="21"/>
              </w:rPr>
            </w:pPr>
          </w:p>
          <w:p w14:paraId="6473056F" w14:textId="77777777" w:rsidR="00ED64A5" w:rsidRPr="008D3F19" w:rsidRDefault="00ED64A5" w:rsidP="00ED64A5">
            <w:pPr>
              <w:pStyle w:val="NoSpacing"/>
              <w:rPr>
                <w:rFonts w:ascii="Times New Roman" w:eastAsia="Times New Roman" w:hAnsi="Times New Roman" w:cs="Times New Roman"/>
                <w:sz w:val="21"/>
                <w:szCs w:val="21"/>
              </w:rPr>
            </w:pPr>
            <w:r>
              <w:rPr>
                <w:rFonts w:ascii="Times New Roman" w:eastAsia="Times New Roman" w:hAnsi="Times New Roman" w:cs="Times New Roman"/>
                <w:sz w:val="21"/>
                <w:szCs w:val="21"/>
              </w:rPr>
              <w:t>VA defines “competent medical evidence” and “competent lay evidence” in 38 C.F.R. § 3.159(a</w:t>
            </w:r>
            <w:proofErr w:type="gramStart"/>
            <w:r>
              <w:rPr>
                <w:rFonts w:ascii="Times New Roman" w:eastAsia="Times New Roman" w:hAnsi="Times New Roman" w:cs="Times New Roman"/>
                <w:sz w:val="21"/>
                <w:szCs w:val="21"/>
              </w:rPr>
              <w:t>)(</w:t>
            </w:r>
            <w:proofErr w:type="gramEnd"/>
            <w:r>
              <w:rPr>
                <w:rFonts w:ascii="Times New Roman" w:eastAsia="Times New Roman" w:hAnsi="Times New Roman" w:cs="Times New Roman"/>
                <w:sz w:val="21"/>
                <w:szCs w:val="21"/>
              </w:rPr>
              <w:t xml:space="preserve">1) and (2).  </w:t>
            </w:r>
          </w:p>
        </w:tc>
      </w:tr>
      <w:tr w:rsidR="00A3194C" w:rsidRPr="007A2199" w14:paraId="64730574" w14:textId="77777777" w:rsidTr="00ED64A5">
        <w:tblPrEx>
          <w:tblLook w:val="04A0" w:firstRow="1" w:lastRow="0" w:firstColumn="1" w:lastColumn="0" w:noHBand="0" w:noVBand="1"/>
        </w:tblPrEx>
        <w:trPr>
          <w:trHeight w:val="215"/>
        </w:trPr>
        <w:tc>
          <w:tcPr>
            <w:tcW w:w="2232" w:type="dxa"/>
          </w:tcPr>
          <w:p w14:paraId="64730571" w14:textId="77777777" w:rsidR="00C3593B" w:rsidRDefault="00C3593B" w:rsidP="00676088">
            <w:pPr>
              <w:pStyle w:val="NoSpacing"/>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Element </w:t>
            </w:r>
            <w:r w:rsidR="00A3194C" w:rsidRPr="008D3F19">
              <w:rPr>
                <w:rFonts w:ascii="Times New Roman" w:eastAsia="Times New Roman" w:hAnsi="Times New Roman" w:cs="Times New Roman"/>
                <w:b/>
                <w:sz w:val="21"/>
                <w:szCs w:val="21"/>
              </w:rPr>
              <w:t>B</w:t>
            </w:r>
          </w:p>
          <w:p w14:paraId="64730572" w14:textId="77777777" w:rsidR="00A3194C" w:rsidRPr="008D3F19" w:rsidRDefault="00ED64A5" w:rsidP="00676088">
            <w:pPr>
              <w:pStyle w:val="NoSpacing"/>
              <w:rPr>
                <w:rFonts w:ascii="Times New Roman" w:eastAsia="Times New Roman" w:hAnsi="Times New Roman" w:cs="Times New Roman"/>
                <w:sz w:val="21"/>
                <w:szCs w:val="21"/>
              </w:rPr>
            </w:pPr>
            <w:r>
              <w:rPr>
                <w:rFonts w:ascii="Times New Roman" w:eastAsia="Times New Roman" w:hAnsi="Times New Roman" w:cs="Times New Roman"/>
                <w:sz w:val="21"/>
                <w:szCs w:val="21"/>
              </w:rPr>
              <w:t>I</w:t>
            </w:r>
            <w:r w:rsidR="00A3194C" w:rsidRPr="008D3F19">
              <w:rPr>
                <w:rFonts w:ascii="Times New Roman" w:eastAsia="Times New Roman" w:hAnsi="Times New Roman" w:cs="Times New Roman"/>
                <w:sz w:val="21"/>
                <w:szCs w:val="21"/>
              </w:rPr>
              <w:t>njury, disease, or event</w:t>
            </w:r>
            <w:r w:rsidR="00676088">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in service.</w:t>
            </w:r>
          </w:p>
        </w:tc>
        <w:tc>
          <w:tcPr>
            <w:tcW w:w="7128" w:type="dxa"/>
          </w:tcPr>
          <w:p w14:paraId="64730573" w14:textId="77777777" w:rsidR="00A3194C" w:rsidRPr="008D3F19" w:rsidRDefault="00ED64A5" w:rsidP="00E76E4C">
            <w:pPr>
              <w:pStyle w:val="NoSpacing"/>
              <w:rPr>
                <w:rFonts w:ascii="Times New Roman" w:eastAsia="Times New Roman" w:hAnsi="Times New Roman" w:cs="Times New Roman"/>
                <w:sz w:val="21"/>
                <w:szCs w:val="21"/>
              </w:rPr>
            </w:pPr>
            <w:r>
              <w:rPr>
                <w:rFonts w:ascii="Times New Roman" w:eastAsia="Times New Roman" w:hAnsi="Times New Roman" w:cs="Times New Roman"/>
                <w:sz w:val="21"/>
                <w:szCs w:val="21"/>
              </w:rPr>
              <w:t>To establish an event, injury, or disease in service, t</w:t>
            </w:r>
            <w:r w:rsidR="00A3194C" w:rsidRPr="008D3F19">
              <w:rPr>
                <w:rFonts w:ascii="Times New Roman" w:eastAsia="Times New Roman" w:hAnsi="Times New Roman" w:cs="Times New Roman"/>
                <w:sz w:val="21"/>
                <w:szCs w:val="21"/>
              </w:rPr>
              <w:t xml:space="preserve">he Veteran merely has to have a single entry in the service treatment records; or, the Veteran’s lay statement </w:t>
            </w:r>
            <w:r>
              <w:rPr>
                <w:rFonts w:ascii="Times New Roman" w:eastAsia="Times New Roman" w:hAnsi="Times New Roman" w:cs="Times New Roman"/>
                <w:sz w:val="21"/>
                <w:szCs w:val="21"/>
              </w:rPr>
              <w:t xml:space="preserve">will be sufficient if such statement </w:t>
            </w:r>
            <w:r w:rsidR="00A3194C" w:rsidRPr="008D3F19">
              <w:rPr>
                <w:rFonts w:ascii="Times New Roman" w:eastAsia="Times New Roman" w:hAnsi="Times New Roman" w:cs="Times New Roman"/>
                <w:sz w:val="21"/>
                <w:szCs w:val="21"/>
              </w:rPr>
              <w:t>is credible and otherwise consistent with the circumstances of the Veteran’s service</w:t>
            </w:r>
            <w:r w:rsidR="00E76E4C">
              <w:rPr>
                <w:rFonts w:ascii="Times New Roman" w:eastAsia="Times New Roman" w:hAnsi="Times New Roman" w:cs="Times New Roman"/>
                <w:sz w:val="21"/>
                <w:szCs w:val="21"/>
              </w:rPr>
              <w:t xml:space="preserve">.  If the Veteran’s claim relates to combat, the Veteran’s lay statement(s) must be accepted as sufficient if consistent with the circumstances, conditions, or hardships of the Veteran’s service.  In addition, this element is present if </w:t>
            </w:r>
            <w:r w:rsidR="00C3593B">
              <w:rPr>
                <w:rFonts w:ascii="Times New Roman" w:eastAsia="Times New Roman" w:hAnsi="Times New Roman" w:cs="Times New Roman"/>
                <w:sz w:val="21"/>
                <w:szCs w:val="21"/>
              </w:rPr>
              <w:t xml:space="preserve">the Veteran has a disease or symptoms of a disease listed in 38 C.F.R. §§ 3.309, 3.313, 3.316, or 3.317 manifesting during an applicable </w:t>
            </w:r>
            <w:r w:rsidR="00C3593B">
              <w:rPr>
                <w:rFonts w:ascii="Times New Roman" w:eastAsia="Times New Roman" w:hAnsi="Times New Roman" w:cs="Times New Roman"/>
                <w:sz w:val="21"/>
                <w:szCs w:val="21"/>
              </w:rPr>
              <w:lastRenderedPageBreak/>
              <w:t xml:space="preserve">presumptive period </w:t>
            </w:r>
            <w:r w:rsidR="00E76E4C">
              <w:rPr>
                <w:rFonts w:ascii="Times New Roman" w:eastAsia="Times New Roman" w:hAnsi="Times New Roman" w:cs="Times New Roman"/>
                <w:sz w:val="21"/>
                <w:szCs w:val="21"/>
              </w:rPr>
              <w:t>(</w:t>
            </w:r>
            <w:r w:rsidR="00C3593B">
              <w:rPr>
                <w:rFonts w:ascii="Times New Roman" w:eastAsia="Times New Roman" w:hAnsi="Times New Roman" w:cs="Times New Roman"/>
                <w:sz w:val="21"/>
                <w:szCs w:val="21"/>
              </w:rPr>
              <w:t>provided that the claimant has the required service or triggering event to qualify for that presumption</w:t>
            </w:r>
            <w:r w:rsidR="00E76E4C">
              <w:rPr>
                <w:rFonts w:ascii="Times New Roman" w:eastAsia="Times New Roman" w:hAnsi="Times New Roman" w:cs="Times New Roman"/>
                <w:sz w:val="21"/>
                <w:szCs w:val="21"/>
              </w:rPr>
              <w:t>)</w:t>
            </w:r>
            <w:r w:rsidR="00A3194C" w:rsidRPr="008D3F19">
              <w:rPr>
                <w:rFonts w:ascii="Times New Roman" w:eastAsia="Times New Roman" w:hAnsi="Times New Roman" w:cs="Times New Roman"/>
                <w:sz w:val="21"/>
                <w:szCs w:val="21"/>
              </w:rPr>
              <w:t xml:space="preserve">.  </w:t>
            </w:r>
          </w:p>
        </w:tc>
      </w:tr>
      <w:tr w:rsidR="00A3194C" w:rsidRPr="007A2199" w14:paraId="64730578" w14:textId="77777777" w:rsidTr="00ED64A5">
        <w:tblPrEx>
          <w:tblLook w:val="04A0" w:firstRow="1" w:lastRow="0" w:firstColumn="1" w:lastColumn="0" w:noHBand="0" w:noVBand="1"/>
        </w:tblPrEx>
        <w:trPr>
          <w:trHeight w:val="283"/>
        </w:trPr>
        <w:tc>
          <w:tcPr>
            <w:tcW w:w="2232" w:type="dxa"/>
          </w:tcPr>
          <w:p w14:paraId="64730575" w14:textId="77777777" w:rsidR="00C3593B" w:rsidRDefault="00C3593B" w:rsidP="00276486">
            <w:pPr>
              <w:pStyle w:val="NoSpacing"/>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Element</w:t>
            </w:r>
            <w:r w:rsidR="00A3194C" w:rsidRPr="008D3F19">
              <w:rPr>
                <w:rFonts w:ascii="Times New Roman" w:eastAsia="Times New Roman" w:hAnsi="Times New Roman" w:cs="Times New Roman"/>
                <w:b/>
                <w:sz w:val="21"/>
                <w:szCs w:val="21"/>
              </w:rPr>
              <w:t xml:space="preserve"> C</w:t>
            </w:r>
            <w:r w:rsidR="00A3194C" w:rsidRPr="008D3F19">
              <w:rPr>
                <w:rFonts w:ascii="Times New Roman" w:eastAsia="Times New Roman" w:hAnsi="Times New Roman" w:cs="Times New Roman"/>
                <w:sz w:val="21"/>
                <w:szCs w:val="21"/>
              </w:rPr>
              <w:t xml:space="preserve"> </w:t>
            </w:r>
          </w:p>
          <w:p w14:paraId="64730576" w14:textId="77777777" w:rsidR="00A3194C" w:rsidRPr="008D3F19" w:rsidRDefault="00E76E4C" w:rsidP="00E76E4C">
            <w:pPr>
              <w:pStyle w:val="NoSpacing"/>
              <w:rPr>
                <w:rFonts w:ascii="Times New Roman" w:eastAsia="Times New Roman" w:hAnsi="Times New Roman" w:cs="Times New Roman"/>
                <w:sz w:val="21"/>
                <w:szCs w:val="21"/>
              </w:rPr>
            </w:pPr>
            <w:r>
              <w:rPr>
                <w:rFonts w:ascii="Times New Roman" w:eastAsia="Times New Roman" w:hAnsi="Times New Roman" w:cs="Times New Roman"/>
                <w:sz w:val="21"/>
                <w:szCs w:val="21"/>
              </w:rPr>
              <w:t>I</w:t>
            </w:r>
            <w:r w:rsidR="00A3194C" w:rsidRPr="008D3F19">
              <w:rPr>
                <w:rFonts w:ascii="Times New Roman" w:eastAsia="Times New Roman" w:hAnsi="Times New Roman" w:cs="Times New Roman"/>
                <w:sz w:val="21"/>
                <w:szCs w:val="21"/>
              </w:rPr>
              <w:t xml:space="preserve">ndication of </w:t>
            </w:r>
            <w:r>
              <w:rPr>
                <w:rFonts w:ascii="Times New Roman" w:eastAsia="Times New Roman" w:hAnsi="Times New Roman" w:cs="Times New Roman"/>
                <w:sz w:val="21"/>
                <w:szCs w:val="21"/>
              </w:rPr>
              <w:t>association with the injury, disease, or event in service.</w:t>
            </w:r>
          </w:p>
        </w:tc>
        <w:tc>
          <w:tcPr>
            <w:tcW w:w="7128" w:type="dxa"/>
          </w:tcPr>
          <w:p w14:paraId="64730577" w14:textId="77777777" w:rsidR="00A3194C" w:rsidRPr="008D3F19" w:rsidRDefault="00A3194C" w:rsidP="00C3593B">
            <w:pPr>
              <w:pStyle w:val="NoSpacing"/>
              <w:rPr>
                <w:rFonts w:ascii="Times New Roman" w:eastAsia="Times New Roman" w:hAnsi="Times New Roman" w:cs="Times New Roman"/>
                <w:sz w:val="21"/>
                <w:szCs w:val="21"/>
              </w:rPr>
            </w:pPr>
            <w:r w:rsidRPr="008D3F19">
              <w:rPr>
                <w:rFonts w:ascii="Times New Roman" w:eastAsia="Times New Roman" w:hAnsi="Times New Roman" w:cs="Times New Roman"/>
                <w:sz w:val="21"/>
                <w:szCs w:val="21"/>
              </w:rPr>
              <w:t>There must be an indication that the</w:t>
            </w:r>
            <w:r w:rsidR="00C3593B">
              <w:rPr>
                <w:rFonts w:ascii="Times New Roman" w:eastAsia="Times New Roman" w:hAnsi="Times New Roman" w:cs="Times New Roman"/>
                <w:sz w:val="21"/>
                <w:szCs w:val="21"/>
              </w:rPr>
              <w:t xml:space="preserve"> claimed disability or sy</w:t>
            </w:r>
            <w:r w:rsidR="00E76E4C">
              <w:rPr>
                <w:rFonts w:ascii="Times New Roman" w:eastAsia="Times New Roman" w:hAnsi="Times New Roman" w:cs="Times New Roman"/>
                <w:sz w:val="21"/>
                <w:szCs w:val="21"/>
              </w:rPr>
              <w:t>mptoms may be associated with the</w:t>
            </w:r>
            <w:r w:rsidR="00C3593B">
              <w:rPr>
                <w:rFonts w:ascii="Times New Roman" w:eastAsia="Times New Roman" w:hAnsi="Times New Roman" w:cs="Times New Roman"/>
                <w:sz w:val="21"/>
                <w:szCs w:val="21"/>
              </w:rPr>
              <w:t xml:space="preserve"> in-service </w:t>
            </w:r>
            <w:r w:rsidRPr="008D3F19">
              <w:rPr>
                <w:rFonts w:ascii="Times New Roman" w:eastAsia="Times New Roman" w:hAnsi="Times New Roman" w:cs="Times New Roman"/>
                <w:sz w:val="21"/>
                <w:szCs w:val="21"/>
              </w:rPr>
              <w:t>injury, disease, or event</w:t>
            </w:r>
            <w:r w:rsidR="00C3593B">
              <w:rPr>
                <w:rFonts w:ascii="Times New Roman" w:eastAsia="Times New Roman" w:hAnsi="Times New Roman" w:cs="Times New Roman"/>
                <w:sz w:val="21"/>
                <w:szCs w:val="21"/>
              </w:rPr>
              <w:t xml:space="preserve"> or with another service-connected disability</w:t>
            </w:r>
            <w:r w:rsidR="00E76E4C">
              <w:rPr>
                <w:rFonts w:ascii="Times New Roman" w:eastAsia="Times New Roman" w:hAnsi="Times New Roman" w:cs="Times New Roman"/>
                <w:sz w:val="21"/>
                <w:szCs w:val="21"/>
              </w:rPr>
              <w:t xml:space="preserve">.  For example, lay or medical evidence that a symptom has persisted “ever since service” would be an indication that a disability may be associated with service.  Lay evidence of association can satisfy element C if the layperson is competent to indicate association.  However, conclusory, generalized lay statements by the Veterans of an association may not be of sufficient weight to satisfy element C.  Unlike element B, the evidence need not establish an association, but only indicate a possible association.  </w:t>
            </w:r>
          </w:p>
        </w:tc>
      </w:tr>
    </w:tbl>
    <w:p w14:paraId="64730579" w14:textId="77777777" w:rsidR="00A3194C" w:rsidRDefault="00A3194C" w:rsidP="00A3194C">
      <w:pPr>
        <w:pStyle w:val="NoSpacing"/>
        <w:rPr>
          <w:rFonts w:ascii="Times New Roman" w:eastAsia="Times New Roman" w:hAnsi="Times New Roman" w:cs="Times New Roman"/>
        </w:rPr>
      </w:pPr>
    </w:p>
    <w:p w14:paraId="6473057A" w14:textId="77777777" w:rsidR="00EB32C2" w:rsidRPr="00EB32C2" w:rsidRDefault="00EB32C2" w:rsidP="00A57338">
      <w:pPr>
        <w:pStyle w:val="NoSpacing"/>
        <w:rPr>
          <w:rFonts w:ascii="Times New Roman" w:eastAsia="Times New Roman" w:hAnsi="Times New Roman" w:cs="Times New Roman"/>
          <w:sz w:val="24"/>
          <w:szCs w:val="24"/>
          <w:u w:val="single"/>
        </w:rPr>
      </w:pPr>
      <w:r w:rsidRPr="00EB32C2">
        <w:rPr>
          <w:rFonts w:ascii="Times New Roman" w:eastAsia="Times New Roman" w:hAnsi="Times New Roman" w:cs="Times New Roman"/>
          <w:sz w:val="24"/>
          <w:szCs w:val="24"/>
          <w:u w:val="single"/>
        </w:rPr>
        <w:t>Case Law</w:t>
      </w:r>
    </w:p>
    <w:p w14:paraId="6473057B" w14:textId="77777777" w:rsidR="00EB32C2" w:rsidRDefault="00EB32C2" w:rsidP="00A57338">
      <w:pPr>
        <w:pStyle w:val="NoSpacing"/>
        <w:rPr>
          <w:rFonts w:ascii="Times New Roman" w:eastAsia="Times New Roman" w:hAnsi="Times New Roman" w:cs="Times New Roman"/>
          <w:sz w:val="24"/>
          <w:szCs w:val="24"/>
        </w:rPr>
      </w:pPr>
    </w:p>
    <w:p w14:paraId="6473057C" w14:textId="5121F025" w:rsidR="006D529C" w:rsidRDefault="006D529C" w:rsidP="00A57338">
      <w:pPr>
        <w:pStyle w:val="No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In </w:t>
      </w:r>
      <w:proofErr w:type="spellStart"/>
      <w:r w:rsidRPr="006D529C">
        <w:rPr>
          <w:rFonts w:ascii="Times New Roman" w:eastAsia="Times New Roman" w:hAnsi="Times New Roman" w:cs="Times New Roman"/>
          <w:i/>
          <w:sz w:val="24"/>
          <w:szCs w:val="24"/>
        </w:rPr>
        <w:t>McLendon</w:t>
      </w:r>
      <w:proofErr w:type="spellEnd"/>
      <w:r w:rsidRPr="006D529C">
        <w:rPr>
          <w:rFonts w:ascii="Times New Roman" w:eastAsia="Times New Roman" w:hAnsi="Times New Roman" w:cs="Times New Roman"/>
          <w:i/>
          <w:sz w:val="24"/>
          <w:szCs w:val="24"/>
        </w:rPr>
        <w:t xml:space="preserve"> v. Nicholson</w:t>
      </w:r>
      <w:r>
        <w:rPr>
          <w:rFonts w:ascii="Times New Roman" w:eastAsia="Times New Roman" w:hAnsi="Times New Roman" w:cs="Times New Roman"/>
          <w:sz w:val="24"/>
          <w:szCs w:val="24"/>
        </w:rPr>
        <w:t xml:space="preserve">, 20 </w:t>
      </w:r>
      <w:proofErr w:type="spellStart"/>
      <w:r>
        <w:rPr>
          <w:rFonts w:ascii="Times New Roman" w:eastAsia="Times New Roman" w:hAnsi="Times New Roman" w:cs="Times New Roman"/>
          <w:sz w:val="24"/>
          <w:szCs w:val="24"/>
        </w:rPr>
        <w:t>Vet.App</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79 (2006), the Court of Appeals for Veterans Claims held that the element C “indicates an association” standard is a “low threshold standard.”  In </w:t>
      </w:r>
      <w:r w:rsidRPr="006D529C">
        <w:rPr>
          <w:rFonts w:ascii="Times New Roman" w:eastAsia="Times New Roman" w:hAnsi="Times New Roman" w:cs="Times New Roman"/>
          <w:i/>
          <w:sz w:val="24"/>
          <w:szCs w:val="24"/>
        </w:rPr>
        <w:t>Waters v. Shinseki</w:t>
      </w:r>
      <w:r>
        <w:rPr>
          <w:rFonts w:ascii="Times New Roman" w:eastAsia="Times New Roman" w:hAnsi="Times New Roman" w:cs="Times New Roman"/>
          <w:sz w:val="24"/>
          <w:szCs w:val="24"/>
        </w:rPr>
        <w:t xml:space="preserve">, 601 F.3d 1274, 1277 (Fed. Cir. 2010), the Court of Appeals for the Federal Circuit held that element C only requires evidence indicating an association; this evidence does not need to be competent, nor does it need to be medical.  The </w:t>
      </w:r>
      <w:r w:rsidRPr="006D529C">
        <w:rPr>
          <w:rFonts w:ascii="Times New Roman" w:eastAsia="Times New Roman" w:hAnsi="Times New Roman" w:cs="Times New Roman"/>
          <w:i/>
          <w:sz w:val="24"/>
          <w:szCs w:val="24"/>
        </w:rPr>
        <w:t>Waters</w:t>
      </w:r>
      <w:r>
        <w:rPr>
          <w:rFonts w:ascii="Times New Roman" w:eastAsia="Times New Roman" w:hAnsi="Times New Roman" w:cs="Times New Roman"/>
          <w:sz w:val="24"/>
          <w:szCs w:val="24"/>
        </w:rPr>
        <w:t xml:space="preserve"> case also clarified that, even with the low threshold standard of element C, a conclusory generalized statement by a claimant </w:t>
      </w:r>
      <w:r w:rsidR="00485A18">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an in-</w:t>
      </w:r>
      <w:r w:rsidR="00485A18">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 xml:space="preserve"> illness or injury caused a present medical condition would not be sufficient to “indicate” an association between a currently claimed condition and disability/symptoms in service.  Evidence that would be sufficient to meet element C would include a Veteran’s lay testimony regarding </w:t>
      </w:r>
      <w:r w:rsidR="006C17E4">
        <w:rPr>
          <w:rFonts w:ascii="Times New Roman" w:eastAsia="Times New Roman" w:hAnsi="Times New Roman" w:cs="Times New Roman"/>
          <w:sz w:val="24"/>
          <w:szCs w:val="24"/>
        </w:rPr>
        <w:t>evidence of continuous symptoms</w:t>
      </w:r>
      <w:r>
        <w:rPr>
          <w:rFonts w:ascii="Times New Roman" w:eastAsia="Times New Roman" w:hAnsi="Times New Roman" w:cs="Times New Roman"/>
          <w:sz w:val="24"/>
          <w:szCs w:val="24"/>
        </w:rPr>
        <w:t xml:space="preserve">, including an assertion that a condition has existed “since service.”  Additionally, medical evidence that suggests a nexus but is too equivocal or lacking in specificity to support a </w:t>
      </w:r>
      <w:r w:rsidR="00485A18">
        <w:rPr>
          <w:rFonts w:ascii="Times New Roman" w:eastAsia="Times New Roman" w:hAnsi="Times New Roman" w:cs="Times New Roman"/>
          <w:sz w:val="24"/>
          <w:szCs w:val="24"/>
        </w:rPr>
        <w:t>decision</w:t>
      </w:r>
      <w:r>
        <w:rPr>
          <w:rFonts w:ascii="Times New Roman" w:eastAsia="Times New Roman" w:hAnsi="Times New Roman" w:cs="Times New Roman"/>
          <w:sz w:val="24"/>
          <w:szCs w:val="24"/>
        </w:rPr>
        <w:t xml:space="preserve"> on the merits would satisfy this element.  </w:t>
      </w:r>
    </w:p>
    <w:p w14:paraId="6473057D" w14:textId="77777777" w:rsidR="006D529C" w:rsidRDefault="006D529C" w:rsidP="00A57338">
      <w:pPr>
        <w:pStyle w:val="NoSpacing"/>
        <w:rPr>
          <w:rFonts w:ascii="Times New Roman" w:eastAsia="Times New Roman" w:hAnsi="Times New Roman" w:cs="Times New Roman"/>
          <w:sz w:val="24"/>
          <w:szCs w:val="24"/>
        </w:rPr>
      </w:pPr>
    </w:p>
    <w:p w14:paraId="6473057E" w14:textId="77777777" w:rsidR="00EB32C2" w:rsidRDefault="00EB32C2" w:rsidP="00A57338">
      <w:pPr>
        <w:pStyle w:val="NoSpacing"/>
        <w:rPr>
          <w:rFonts w:ascii="Times New Roman" w:eastAsia="Times New Roman" w:hAnsi="Times New Roman" w:cs="Times New Roman"/>
          <w:sz w:val="24"/>
          <w:szCs w:val="24"/>
        </w:rPr>
      </w:pPr>
      <w:r w:rsidRPr="00EB32C2">
        <w:rPr>
          <w:rFonts w:ascii="Times New Roman" w:eastAsia="Times New Roman" w:hAnsi="Times New Roman" w:cs="Times New Roman"/>
          <w:sz w:val="24"/>
          <w:szCs w:val="24"/>
          <w:u w:val="single"/>
        </w:rPr>
        <w:t>E</w:t>
      </w:r>
      <w:r w:rsidR="00ED4D57" w:rsidRPr="00EB32C2">
        <w:rPr>
          <w:rFonts w:ascii="Times New Roman" w:eastAsia="Times New Roman" w:hAnsi="Times New Roman" w:cs="Times New Roman"/>
          <w:sz w:val="24"/>
          <w:szCs w:val="24"/>
          <w:u w:val="single"/>
        </w:rPr>
        <w:t xml:space="preserve">xample </w:t>
      </w:r>
      <w:r>
        <w:rPr>
          <w:rFonts w:ascii="Times New Roman" w:eastAsia="Times New Roman" w:hAnsi="Times New Roman" w:cs="Times New Roman"/>
          <w:sz w:val="24"/>
          <w:szCs w:val="24"/>
          <w:u w:val="single"/>
        </w:rPr>
        <w:t>S</w:t>
      </w:r>
      <w:r w:rsidRPr="00EB32C2">
        <w:rPr>
          <w:rFonts w:ascii="Times New Roman" w:eastAsia="Times New Roman" w:hAnsi="Times New Roman" w:cs="Times New Roman"/>
          <w:sz w:val="24"/>
          <w:szCs w:val="24"/>
          <w:u w:val="single"/>
        </w:rPr>
        <w:t xml:space="preserve">howing </w:t>
      </w:r>
      <w:r>
        <w:rPr>
          <w:rFonts w:ascii="Times New Roman" w:eastAsia="Times New Roman" w:hAnsi="Times New Roman" w:cs="Times New Roman"/>
          <w:sz w:val="24"/>
          <w:szCs w:val="24"/>
          <w:u w:val="single"/>
        </w:rPr>
        <w:t>the E</w:t>
      </w:r>
      <w:r w:rsidR="00501A35" w:rsidRPr="00EB32C2">
        <w:rPr>
          <w:rFonts w:ascii="Times New Roman" w:eastAsia="Times New Roman" w:hAnsi="Times New Roman" w:cs="Times New Roman"/>
          <w:sz w:val="24"/>
          <w:szCs w:val="24"/>
          <w:u w:val="single"/>
        </w:rPr>
        <w:t>lements</w:t>
      </w:r>
      <w:r>
        <w:rPr>
          <w:rFonts w:ascii="Times New Roman" w:eastAsia="Times New Roman" w:hAnsi="Times New Roman" w:cs="Times New Roman"/>
          <w:sz w:val="24"/>
          <w:szCs w:val="24"/>
          <w:u w:val="single"/>
        </w:rPr>
        <w:t xml:space="preserve"> for Obtaining a Nexus O</w:t>
      </w:r>
      <w:r w:rsidR="00443F1B" w:rsidRPr="00EB32C2">
        <w:rPr>
          <w:rFonts w:ascii="Times New Roman" w:eastAsia="Times New Roman" w:hAnsi="Times New Roman" w:cs="Times New Roman"/>
          <w:sz w:val="24"/>
          <w:szCs w:val="24"/>
          <w:u w:val="single"/>
        </w:rPr>
        <w:t>pinion</w:t>
      </w:r>
      <w:r>
        <w:rPr>
          <w:rFonts w:ascii="Times New Roman" w:eastAsia="Times New Roman" w:hAnsi="Times New Roman" w:cs="Times New Roman"/>
          <w:sz w:val="24"/>
          <w:szCs w:val="24"/>
          <w:u w:val="single"/>
        </w:rPr>
        <w:t xml:space="preserve"> Not S</w:t>
      </w:r>
      <w:r w:rsidRPr="00EB32C2">
        <w:rPr>
          <w:rFonts w:ascii="Times New Roman" w:eastAsia="Times New Roman" w:hAnsi="Times New Roman" w:cs="Times New Roman"/>
          <w:sz w:val="24"/>
          <w:szCs w:val="24"/>
          <w:u w:val="single"/>
        </w:rPr>
        <w:t>atisfied:</w:t>
      </w:r>
      <w:r w:rsidR="00ED4D57" w:rsidRPr="00A57338">
        <w:rPr>
          <w:rFonts w:ascii="Times New Roman" w:eastAsia="Times New Roman" w:hAnsi="Times New Roman" w:cs="Times New Roman"/>
          <w:sz w:val="24"/>
          <w:szCs w:val="24"/>
        </w:rPr>
        <w:t xml:space="preserve">  </w:t>
      </w:r>
    </w:p>
    <w:p w14:paraId="6473057F" w14:textId="77777777" w:rsidR="00EB32C2" w:rsidRDefault="00EB32C2" w:rsidP="00A57338">
      <w:pPr>
        <w:pStyle w:val="NoSpacing"/>
        <w:rPr>
          <w:rFonts w:ascii="Times New Roman" w:eastAsia="Times New Roman" w:hAnsi="Times New Roman" w:cs="Times New Roman"/>
          <w:sz w:val="24"/>
          <w:szCs w:val="24"/>
        </w:rPr>
      </w:pPr>
    </w:p>
    <w:p w14:paraId="0425988D" w14:textId="1E069522" w:rsidR="002668A2" w:rsidRPr="002668A2" w:rsidRDefault="002668A2" w:rsidP="002668A2">
      <w:pPr>
        <w:pStyle w:val="NoSpacing"/>
        <w:rPr>
          <w:rFonts w:ascii="Times New Roman" w:eastAsia="Times New Roman" w:hAnsi="Times New Roman" w:cs="Times New Roman"/>
          <w:sz w:val="24"/>
          <w:szCs w:val="24"/>
        </w:rPr>
      </w:pPr>
      <w:r w:rsidRPr="002668A2">
        <w:rPr>
          <w:rFonts w:ascii="Times New Roman" w:eastAsia="Times New Roman" w:hAnsi="Times New Roman" w:cs="Times New Roman"/>
          <w:sz w:val="24"/>
          <w:szCs w:val="24"/>
        </w:rPr>
        <w:t xml:space="preserve">The Veteran claimed service connection for “knee disability.”  He had one complaint of knee pain in service with a negative separation examination.  The Veteran’s current claim provided no medical evidence indicating an association and no statement alleging </w:t>
      </w:r>
      <w:r w:rsidR="006C17E4">
        <w:rPr>
          <w:rFonts w:ascii="Times New Roman" w:eastAsia="Times New Roman" w:hAnsi="Times New Roman" w:cs="Times New Roman"/>
          <w:sz w:val="24"/>
          <w:szCs w:val="24"/>
        </w:rPr>
        <w:t>continuous symptoms since service</w:t>
      </w:r>
      <w:r w:rsidRPr="002668A2">
        <w:rPr>
          <w:rFonts w:ascii="Times New Roman" w:eastAsia="Times New Roman" w:hAnsi="Times New Roman" w:cs="Times New Roman"/>
          <w:sz w:val="24"/>
          <w:szCs w:val="24"/>
        </w:rPr>
        <w:t xml:space="preserve"> or that the current disability persisted since military service.  The case can be denied without an examination/opinion, as element C has not been satisfied.  Using the same example as above, a single complaint of knee pain in service with a negative separation examination, if the Veteran claimed “I hurt my knee when I fell off of a truck in Vietnam,</w:t>
      </w:r>
      <w:r w:rsidRPr="002668A2">
        <w:rPr>
          <w:rFonts w:ascii="Times New Roman" w:eastAsia="Times New Roman" w:hAnsi="Times New Roman" w:cs="Times New Roman"/>
          <w:i/>
          <w:iCs/>
          <w:sz w:val="24"/>
          <w:szCs w:val="24"/>
        </w:rPr>
        <w:t xml:space="preserve"> and</w:t>
      </w:r>
      <w:r w:rsidRPr="002668A2">
        <w:rPr>
          <w:rFonts w:ascii="Times New Roman" w:eastAsia="Times New Roman" w:hAnsi="Times New Roman" w:cs="Times New Roman"/>
          <w:sz w:val="24"/>
          <w:szCs w:val="24"/>
        </w:rPr>
        <w:t xml:space="preserve"> it has hurt ever since that time,” then an examination with a nexus opinion is warranted, as all three elements have been satisfied.   </w:t>
      </w:r>
    </w:p>
    <w:p w14:paraId="64730581" w14:textId="77777777" w:rsidR="00FE30C8" w:rsidRDefault="00FE30C8" w:rsidP="00A57338">
      <w:pPr>
        <w:pStyle w:val="NoSpacing"/>
        <w:rPr>
          <w:rFonts w:ascii="Times New Roman" w:eastAsia="Times New Roman" w:hAnsi="Times New Roman" w:cs="Times New Roman"/>
          <w:sz w:val="24"/>
          <w:szCs w:val="24"/>
        </w:rPr>
      </w:pPr>
    </w:p>
    <w:p w14:paraId="64730582" w14:textId="77777777" w:rsidR="00EB32C2" w:rsidRDefault="00EB32C2" w:rsidP="00EB32C2">
      <w:pPr>
        <w:pStyle w:val="NoSpacing"/>
        <w:rPr>
          <w:rFonts w:ascii="Times New Roman" w:eastAsia="Times New Roman" w:hAnsi="Times New Roman" w:cs="Times New Roman"/>
          <w:sz w:val="24"/>
          <w:szCs w:val="24"/>
        </w:rPr>
      </w:pPr>
      <w:r w:rsidRPr="00EB32C2">
        <w:rPr>
          <w:rFonts w:ascii="Times New Roman" w:eastAsia="Times New Roman" w:hAnsi="Times New Roman" w:cs="Times New Roman"/>
          <w:sz w:val="24"/>
          <w:szCs w:val="24"/>
          <w:u w:val="single"/>
        </w:rPr>
        <w:t xml:space="preserve">Example </w:t>
      </w:r>
      <w:r>
        <w:rPr>
          <w:rFonts w:ascii="Times New Roman" w:eastAsia="Times New Roman" w:hAnsi="Times New Roman" w:cs="Times New Roman"/>
          <w:sz w:val="24"/>
          <w:szCs w:val="24"/>
          <w:u w:val="single"/>
        </w:rPr>
        <w:t>S</w:t>
      </w:r>
      <w:r w:rsidRPr="00EB32C2">
        <w:rPr>
          <w:rFonts w:ascii="Times New Roman" w:eastAsia="Times New Roman" w:hAnsi="Times New Roman" w:cs="Times New Roman"/>
          <w:sz w:val="24"/>
          <w:szCs w:val="24"/>
          <w:u w:val="single"/>
        </w:rPr>
        <w:t xml:space="preserve">howing </w:t>
      </w:r>
      <w:r>
        <w:rPr>
          <w:rFonts w:ascii="Times New Roman" w:eastAsia="Times New Roman" w:hAnsi="Times New Roman" w:cs="Times New Roman"/>
          <w:sz w:val="24"/>
          <w:szCs w:val="24"/>
          <w:u w:val="single"/>
        </w:rPr>
        <w:t>the E</w:t>
      </w:r>
      <w:r w:rsidRPr="00EB32C2">
        <w:rPr>
          <w:rFonts w:ascii="Times New Roman" w:eastAsia="Times New Roman" w:hAnsi="Times New Roman" w:cs="Times New Roman"/>
          <w:sz w:val="24"/>
          <w:szCs w:val="24"/>
          <w:u w:val="single"/>
        </w:rPr>
        <w:t>lements</w:t>
      </w:r>
      <w:r>
        <w:rPr>
          <w:rFonts w:ascii="Times New Roman" w:eastAsia="Times New Roman" w:hAnsi="Times New Roman" w:cs="Times New Roman"/>
          <w:sz w:val="24"/>
          <w:szCs w:val="24"/>
          <w:u w:val="single"/>
        </w:rPr>
        <w:t xml:space="preserve"> for Obtaining a Nexus O</w:t>
      </w:r>
      <w:r w:rsidRPr="00EB32C2">
        <w:rPr>
          <w:rFonts w:ascii="Times New Roman" w:eastAsia="Times New Roman" w:hAnsi="Times New Roman" w:cs="Times New Roman"/>
          <w:sz w:val="24"/>
          <w:szCs w:val="24"/>
          <w:u w:val="single"/>
        </w:rPr>
        <w:t>pinion</w:t>
      </w:r>
      <w:r>
        <w:rPr>
          <w:rFonts w:ascii="Times New Roman" w:eastAsia="Times New Roman" w:hAnsi="Times New Roman" w:cs="Times New Roman"/>
          <w:sz w:val="24"/>
          <w:szCs w:val="24"/>
          <w:u w:val="single"/>
        </w:rPr>
        <w:t xml:space="preserve"> Were S</w:t>
      </w:r>
      <w:r w:rsidRPr="00EB32C2">
        <w:rPr>
          <w:rFonts w:ascii="Times New Roman" w:eastAsia="Times New Roman" w:hAnsi="Times New Roman" w:cs="Times New Roman"/>
          <w:sz w:val="24"/>
          <w:szCs w:val="24"/>
          <w:u w:val="single"/>
        </w:rPr>
        <w:t>atisfied:</w:t>
      </w:r>
      <w:r w:rsidRPr="00A57338">
        <w:rPr>
          <w:rFonts w:ascii="Times New Roman" w:eastAsia="Times New Roman" w:hAnsi="Times New Roman" w:cs="Times New Roman"/>
          <w:sz w:val="24"/>
          <w:szCs w:val="24"/>
        </w:rPr>
        <w:t xml:space="preserve">  </w:t>
      </w:r>
    </w:p>
    <w:p w14:paraId="64730583" w14:textId="77777777" w:rsidR="00EB32C2" w:rsidRDefault="00EB32C2" w:rsidP="00A57338">
      <w:pPr>
        <w:pStyle w:val="NoSpacing"/>
        <w:rPr>
          <w:rFonts w:ascii="Times New Roman" w:eastAsia="Times New Roman" w:hAnsi="Times New Roman" w:cs="Times New Roman"/>
          <w:sz w:val="24"/>
          <w:szCs w:val="24"/>
        </w:rPr>
      </w:pPr>
    </w:p>
    <w:p w14:paraId="64730584" w14:textId="77777777" w:rsidR="007A2199" w:rsidRDefault="007A2199" w:rsidP="00A57338">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Veteran’s service treatment records show one complaint of back pain after playing basketball.  On a </w:t>
      </w:r>
      <w:r w:rsidR="00501A35">
        <w:rPr>
          <w:rFonts w:ascii="Times New Roman" w:eastAsia="Times New Roman" w:hAnsi="Times New Roman" w:cs="Times New Roman"/>
          <w:sz w:val="24"/>
          <w:szCs w:val="24"/>
        </w:rPr>
        <w:t>VA Form 21-4138</w:t>
      </w:r>
      <w:r>
        <w:rPr>
          <w:rFonts w:ascii="Times New Roman" w:eastAsia="Times New Roman" w:hAnsi="Times New Roman" w:cs="Times New Roman"/>
          <w:sz w:val="24"/>
          <w:szCs w:val="24"/>
        </w:rPr>
        <w:t>, he states “I hurt my back playing basketball in service, and it has been painful ever since.”  The Veteran has an event in service and lay testimony provides the current symptomatolog</w:t>
      </w:r>
      <w:r w:rsidR="00501A35">
        <w:rPr>
          <w:rFonts w:ascii="Times New Roman" w:eastAsia="Times New Roman" w:hAnsi="Times New Roman" w:cs="Times New Roman"/>
          <w:sz w:val="24"/>
          <w:szCs w:val="24"/>
        </w:rPr>
        <w:t>y and indication of association;</w:t>
      </w:r>
      <w:r>
        <w:rPr>
          <w:rFonts w:ascii="Times New Roman" w:eastAsia="Times New Roman" w:hAnsi="Times New Roman" w:cs="Times New Roman"/>
          <w:sz w:val="24"/>
          <w:szCs w:val="24"/>
        </w:rPr>
        <w:t xml:space="preserve"> therefore, a nexus opinion is warranted.</w:t>
      </w:r>
    </w:p>
    <w:p w14:paraId="64730585" w14:textId="77777777" w:rsidR="00C754BE" w:rsidRDefault="00C754BE" w:rsidP="00A57338">
      <w:pPr>
        <w:pStyle w:val="NoSpacing"/>
        <w:rPr>
          <w:rFonts w:ascii="Times New Roman" w:eastAsia="Times New Roman" w:hAnsi="Times New Roman" w:cs="Times New Roman"/>
          <w:sz w:val="24"/>
          <w:szCs w:val="24"/>
        </w:rPr>
      </w:pPr>
    </w:p>
    <w:p w14:paraId="64730586" w14:textId="77777777" w:rsidR="00EB32C2" w:rsidRDefault="00EB32C2" w:rsidP="00EB32C2">
      <w:pPr>
        <w:pStyle w:val="NoSpacing"/>
        <w:rPr>
          <w:rFonts w:ascii="Times New Roman" w:eastAsia="Times New Roman" w:hAnsi="Times New Roman" w:cs="Times New Roman"/>
          <w:sz w:val="24"/>
          <w:szCs w:val="24"/>
        </w:rPr>
      </w:pPr>
      <w:r w:rsidRPr="00EB32C2">
        <w:rPr>
          <w:rFonts w:ascii="Times New Roman" w:eastAsia="Times New Roman" w:hAnsi="Times New Roman" w:cs="Times New Roman"/>
          <w:sz w:val="24"/>
          <w:szCs w:val="24"/>
          <w:u w:val="single"/>
        </w:rPr>
        <w:lastRenderedPageBreak/>
        <w:t xml:space="preserve">Example </w:t>
      </w:r>
      <w:r>
        <w:rPr>
          <w:rFonts w:ascii="Times New Roman" w:eastAsia="Times New Roman" w:hAnsi="Times New Roman" w:cs="Times New Roman"/>
          <w:sz w:val="24"/>
          <w:szCs w:val="24"/>
          <w:u w:val="single"/>
        </w:rPr>
        <w:t>S</w:t>
      </w:r>
      <w:r w:rsidRPr="00EB32C2">
        <w:rPr>
          <w:rFonts w:ascii="Times New Roman" w:eastAsia="Times New Roman" w:hAnsi="Times New Roman" w:cs="Times New Roman"/>
          <w:sz w:val="24"/>
          <w:szCs w:val="24"/>
          <w:u w:val="single"/>
        </w:rPr>
        <w:t xml:space="preserve">howing </w:t>
      </w:r>
      <w:r w:rsidR="00C754BE">
        <w:rPr>
          <w:rFonts w:ascii="Times New Roman" w:eastAsia="Times New Roman" w:hAnsi="Times New Roman" w:cs="Times New Roman"/>
          <w:sz w:val="24"/>
          <w:szCs w:val="24"/>
          <w:u w:val="single"/>
        </w:rPr>
        <w:t>an Examination or Nexus Opinion Not Required</w:t>
      </w:r>
      <w:r w:rsidRPr="00EB32C2">
        <w:rPr>
          <w:rFonts w:ascii="Times New Roman" w:eastAsia="Times New Roman" w:hAnsi="Times New Roman" w:cs="Times New Roman"/>
          <w:sz w:val="24"/>
          <w:szCs w:val="24"/>
          <w:u w:val="single"/>
        </w:rPr>
        <w:t>:</w:t>
      </w:r>
      <w:r w:rsidRPr="00A57338">
        <w:rPr>
          <w:rFonts w:ascii="Times New Roman" w:eastAsia="Times New Roman" w:hAnsi="Times New Roman" w:cs="Times New Roman"/>
          <w:sz w:val="24"/>
          <w:szCs w:val="24"/>
        </w:rPr>
        <w:t xml:space="preserve">  </w:t>
      </w:r>
    </w:p>
    <w:p w14:paraId="64730587" w14:textId="77777777" w:rsidR="00454CBE" w:rsidRDefault="00454CBE" w:rsidP="00A57338">
      <w:pPr>
        <w:pStyle w:val="NoSpacing"/>
        <w:rPr>
          <w:rFonts w:ascii="Times New Roman" w:eastAsia="Times New Roman" w:hAnsi="Times New Roman" w:cs="Times New Roman"/>
          <w:sz w:val="24"/>
          <w:szCs w:val="24"/>
        </w:rPr>
      </w:pPr>
    </w:p>
    <w:p w14:paraId="64730588" w14:textId="77777777" w:rsidR="00454CBE" w:rsidRDefault="00C754BE" w:rsidP="00A57338">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example, </w:t>
      </w:r>
      <w:r w:rsidR="00501A35">
        <w:rPr>
          <w:rFonts w:ascii="Times New Roman" w:eastAsia="Times New Roman" w:hAnsi="Times New Roman" w:cs="Times New Roman"/>
          <w:sz w:val="24"/>
          <w:szCs w:val="24"/>
        </w:rPr>
        <w:t>all three elements</w:t>
      </w:r>
      <w:r>
        <w:rPr>
          <w:rFonts w:ascii="Times New Roman" w:eastAsia="Times New Roman" w:hAnsi="Times New Roman" w:cs="Times New Roman"/>
          <w:sz w:val="24"/>
          <w:szCs w:val="24"/>
        </w:rPr>
        <w:t xml:space="preserve"> for requiring an examination are satisfied</w:t>
      </w:r>
      <w:r w:rsidR="00501A35">
        <w:rPr>
          <w:rFonts w:ascii="Times New Roman" w:eastAsia="Times New Roman" w:hAnsi="Times New Roman" w:cs="Times New Roman"/>
          <w:sz w:val="24"/>
          <w:szCs w:val="24"/>
        </w:rPr>
        <w:t>, but an</w:t>
      </w:r>
      <w:r w:rsidR="00454CBE">
        <w:rPr>
          <w:rFonts w:ascii="Times New Roman" w:eastAsia="Times New Roman" w:hAnsi="Times New Roman" w:cs="Times New Roman"/>
          <w:sz w:val="24"/>
          <w:szCs w:val="24"/>
        </w:rPr>
        <w:t xml:space="preserve"> examination or nexus opinion is</w:t>
      </w:r>
      <w:r w:rsidR="00501A35">
        <w:rPr>
          <w:rFonts w:ascii="Times New Roman" w:eastAsia="Times New Roman" w:hAnsi="Times New Roman" w:cs="Times New Roman"/>
          <w:sz w:val="24"/>
          <w:szCs w:val="24"/>
        </w:rPr>
        <w:t xml:space="preserve"> not</w:t>
      </w:r>
      <w:r w:rsidR="00454CBE">
        <w:rPr>
          <w:rFonts w:ascii="Times New Roman" w:eastAsia="Times New Roman" w:hAnsi="Times New Roman" w:cs="Times New Roman"/>
          <w:sz w:val="24"/>
          <w:szCs w:val="24"/>
        </w:rPr>
        <w:t xml:space="preserve"> required</w:t>
      </w:r>
      <w:r>
        <w:rPr>
          <w:rFonts w:ascii="Times New Roman" w:eastAsia="Times New Roman" w:hAnsi="Times New Roman" w:cs="Times New Roman"/>
          <w:sz w:val="24"/>
          <w:szCs w:val="24"/>
        </w:rPr>
        <w:t xml:space="preserve"> since</w:t>
      </w:r>
      <w:r w:rsidR="00BB4BAD">
        <w:rPr>
          <w:rFonts w:ascii="Times New Roman" w:eastAsia="Times New Roman" w:hAnsi="Times New Roman" w:cs="Times New Roman"/>
          <w:sz w:val="24"/>
          <w:szCs w:val="24"/>
        </w:rPr>
        <w:t xml:space="preserve"> the claims file contains sufficient medical evidence to decide the claim</w:t>
      </w:r>
      <w:r w:rsidR="00EB32C2">
        <w:rPr>
          <w:rFonts w:ascii="Times New Roman" w:eastAsia="Times New Roman" w:hAnsi="Times New Roman" w:cs="Times New Roman"/>
          <w:sz w:val="24"/>
          <w:szCs w:val="24"/>
        </w:rPr>
        <w:t>:</w:t>
      </w:r>
      <w:r w:rsidR="00454CBE">
        <w:rPr>
          <w:rFonts w:ascii="Times New Roman" w:eastAsia="Times New Roman" w:hAnsi="Times New Roman" w:cs="Times New Roman"/>
          <w:sz w:val="24"/>
          <w:szCs w:val="24"/>
        </w:rPr>
        <w:t xml:space="preserve">  The Veteran claimed “knee condition” two years after discharge.  His service treatment records show a sprained knee due to falling in a ditch.  The Veteran submitted </w:t>
      </w:r>
      <w:r w:rsidR="00501A35">
        <w:rPr>
          <w:rFonts w:ascii="Times New Roman" w:eastAsia="Times New Roman" w:hAnsi="Times New Roman" w:cs="Times New Roman"/>
          <w:sz w:val="24"/>
          <w:szCs w:val="24"/>
        </w:rPr>
        <w:t>a fully completed Disability Benefits Q</w:t>
      </w:r>
      <w:r w:rsidR="006949E1">
        <w:rPr>
          <w:rFonts w:ascii="Times New Roman" w:eastAsia="Times New Roman" w:hAnsi="Times New Roman" w:cs="Times New Roman"/>
          <w:sz w:val="24"/>
          <w:szCs w:val="24"/>
        </w:rPr>
        <w:t xml:space="preserve">uestionnaire (DBQ) </w:t>
      </w:r>
      <w:r w:rsidR="00501A35">
        <w:rPr>
          <w:rFonts w:ascii="Times New Roman" w:eastAsia="Times New Roman" w:hAnsi="Times New Roman" w:cs="Times New Roman"/>
          <w:sz w:val="24"/>
          <w:szCs w:val="24"/>
        </w:rPr>
        <w:t>which</w:t>
      </w:r>
      <w:r w:rsidR="00454CBE">
        <w:rPr>
          <w:rFonts w:ascii="Times New Roman" w:eastAsia="Times New Roman" w:hAnsi="Times New Roman" w:cs="Times New Roman"/>
          <w:sz w:val="24"/>
          <w:szCs w:val="24"/>
        </w:rPr>
        <w:t xml:space="preserve"> included an opini</w:t>
      </w:r>
      <w:r w:rsidR="00BB4BAD">
        <w:rPr>
          <w:rFonts w:ascii="Times New Roman" w:eastAsia="Times New Roman" w:hAnsi="Times New Roman" w:cs="Times New Roman"/>
          <w:sz w:val="24"/>
          <w:szCs w:val="24"/>
        </w:rPr>
        <w:t>on from the examiner that</w:t>
      </w:r>
      <w:r w:rsidR="00454CBE">
        <w:rPr>
          <w:rFonts w:ascii="Times New Roman" w:eastAsia="Times New Roman" w:hAnsi="Times New Roman" w:cs="Times New Roman"/>
          <w:sz w:val="24"/>
          <w:szCs w:val="24"/>
        </w:rPr>
        <w:t xml:space="preserve"> it was “more likely than not” that the Veteran’s current </w:t>
      </w:r>
      <w:r w:rsidR="00DA0D1E">
        <w:rPr>
          <w:rFonts w:ascii="Times New Roman" w:eastAsia="Times New Roman" w:hAnsi="Times New Roman" w:cs="Times New Roman"/>
          <w:sz w:val="24"/>
          <w:szCs w:val="24"/>
        </w:rPr>
        <w:t xml:space="preserve">diagnosis of chronic knee strain was caused by his fall into a ditch during service.  </w:t>
      </w:r>
      <w:r w:rsidR="00501A35">
        <w:rPr>
          <w:rFonts w:ascii="Times New Roman" w:eastAsia="Times New Roman" w:hAnsi="Times New Roman" w:cs="Times New Roman"/>
          <w:sz w:val="24"/>
          <w:szCs w:val="24"/>
        </w:rPr>
        <w:t>The DBQ provided the required information to properly evaluate the knee and</w:t>
      </w:r>
      <w:r w:rsidR="000E5124">
        <w:rPr>
          <w:rFonts w:ascii="Times New Roman" w:eastAsia="Times New Roman" w:hAnsi="Times New Roman" w:cs="Times New Roman"/>
          <w:sz w:val="24"/>
          <w:szCs w:val="24"/>
        </w:rPr>
        <w:t xml:space="preserve"> rule out a higher evaluation. Service connection could be granted without further examination or nexus opinion, as there is an event during service, a current disability, and a nexus opinion provided by the private physician.  </w:t>
      </w:r>
      <w:r w:rsidR="00DA0D1E">
        <w:rPr>
          <w:rFonts w:ascii="Times New Roman" w:eastAsia="Times New Roman" w:hAnsi="Times New Roman" w:cs="Times New Roman"/>
          <w:sz w:val="24"/>
          <w:szCs w:val="24"/>
        </w:rPr>
        <w:t xml:space="preserve"> </w:t>
      </w:r>
    </w:p>
    <w:p w14:paraId="64730589" w14:textId="77777777" w:rsidR="00676088" w:rsidRDefault="00676088" w:rsidP="00A57338">
      <w:pPr>
        <w:pStyle w:val="NoSpacing"/>
        <w:rPr>
          <w:rFonts w:ascii="Times New Roman" w:eastAsia="Times New Roman" w:hAnsi="Times New Roman" w:cs="Times New Roman"/>
          <w:sz w:val="24"/>
          <w:szCs w:val="24"/>
        </w:rPr>
      </w:pPr>
    </w:p>
    <w:p w14:paraId="6473058A" w14:textId="77777777" w:rsidR="00676088" w:rsidRPr="00A57338" w:rsidRDefault="00676088" w:rsidP="00A57338">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Nexus opini</w:t>
      </w:r>
      <w:r w:rsidR="000E5124">
        <w:rPr>
          <w:rFonts w:ascii="Times New Roman" w:eastAsia="Times New Roman" w:hAnsi="Times New Roman" w:cs="Times New Roman"/>
          <w:sz w:val="24"/>
          <w:szCs w:val="24"/>
        </w:rPr>
        <w:t>ons may not be required</w:t>
      </w:r>
      <w:r w:rsidR="00BB4BAD">
        <w:rPr>
          <w:rFonts w:ascii="Times New Roman" w:eastAsia="Times New Roman" w:hAnsi="Times New Roman" w:cs="Times New Roman"/>
          <w:sz w:val="24"/>
          <w:szCs w:val="24"/>
        </w:rPr>
        <w:t>.  For example,</w:t>
      </w:r>
      <w:r w:rsidR="000E5124">
        <w:rPr>
          <w:rFonts w:ascii="Times New Roman" w:eastAsia="Times New Roman" w:hAnsi="Times New Roman" w:cs="Times New Roman"/>
          <w:sz w:val="24"/>
          <w:szCs w:val="24"/>
        </w:rPr>
        <w:t xml:space="preserve"> if the V</w:t>
      </w:r>
      <w:r>
        <w:rPr>
          <w:rFonts w:ascii="Times New Roman" w:eastAsia="Times New Roman" w:hAnsi="Times New Roman" w:cs="Times New Roman"/>
          <w:sz w:val="24"/>
          <w:szCs w:val="24"/>
        </w:rPr>
        <w:t>eteran files for service connection for a disability shortly following separation from service (generally, wi</w:t>
      </w:r>
      <w:r w:rsidR="00BB41B2">
        <w:rPr>
          <w:rFonts w:ascii="Times New Roman" w:eastAsia="Times New Roman" w:hAnsi="Times New Roman" w:cs="Times New Roman"/>
          <w:sz w:val="24"/>
          <w:szCs w:val="24"/>
        </w:rPr>
        <w:t>thin a year</w:t>
      </w:r>
      <w:r>
        <w:rPr>
          <w:rFonts w:ascii="Times New Roman" w:eastAsia="Times New Roman" w:hAnsi="Times New Roman" w:cs="Times New Roman"/>
          <w:sz w:val="24"/>
          <w:szCs w:val="24"/>
        </w:rPr>
        <w:t>)</w:t>
      </w:r>
      <w:r w:rsidR="00FE30C8">
        <w:rPr>
          <w:rFonts w:ascii="Times New Roman" w:eastAsia="Times New Roman" w:hAnsi="Times New Roman" w:cs="Times New Roman"/>
          <w:sz w:val="24"/>
          <w:szCs w:val="24"/>
        </w:rPr>
        <w:t xml:space="preserve"> and the record contains post-service evidence of a disability consistent with an injury, disease, or event shown in service</w:t>
      </w:r>
      <w:r w:rsidR="00BB4BAD">
        <w:rPr>
          <w:rFonts w:ascii="Times New Roman" w:eastAsia="Times New Roman" w:hAnsi="Times New Roman" w:cs="Times New Roman"/>
          <w:sz w:val="24"/>
          <w:szCs w:val="24"/>
        </w:rPr>
        <w:t xml:space="preserve">, a nexus opinion </w:t>
      </w:r>
      <w:r w:rsidR="00C754BE">
        <w:rPr>
          <w:rFonts w:ascii="Times New Roman" w:eastAsia="Times New Roman" w:hAnsi="Times New Roman" w:cs="Times New Roman"/>
          <w:sz w:val="24"/>
          <w:szCs w:val="24"/>
        </w:rPr>
        <w:t>is not</w:t>
      </w:r>
      <w:r w:rsidR="00BB4BAD">
        <w:rPr>
          <w:rFonts w:ascii="Times New Roman" w:eastAsia="Times New Roman" w:hAnsi="Times New Roman" w:cs="Times New Roman"/>
          <w:sz w:val="24"/>
          <w:szCs w:val="24"/>
        </w:rPr>
        <w:t xml:space="preserve"> required</w:t>
      </w:r>
      <w:r w:rsidR="00FE30C8">
        <w:rPr>
          <w:rFonts w:ascii="Times New Roman" w:eastAsia="Times New Roman" w:hAnsi="Times New Roman" w:cs="Times New Roman"/>
          <w:sz w:val="24"/>
          <w:szCs w:val="24"/>
        </w:rPr>
        <w:t xml:space="preserve">.  </w:t>
      </w:r>
      <w:r w:rsidR="00C754BE">
        <w:rPr>
          <w:rFonts w:ascii="Times New Roman" w:eastAsia="Times New Roman" w:hAnsi="Times New Roman" w:cs="Times New Roman"/>
          <w:sz w:val="24"/>
          <w:szCs w:val="24"/>
        </w:rPr>
        <w:t>In another example, if a Veteran’s</w:t>
      </w:r>
      <w:r w:rsidR="005D56F5">
        <w:rPr>
          <w:rFonts w:ascii="Times New Roman" w:eastAsia="Times New Roman" w:hAnsi="Times New Roman" w:cs="Times New Roman"/>
          <w:sz w:val="24"/>
          <w:szCs w:val="24"/>
        </w:rPr>
        <w:t xml:space="preserve"> service treatment records document treatment for tinnitus</w:t>
      </w:r>
      <w:r w:rsidR="00C754BE">
        <w:rPr>
          <w:rFonts w:ascii="Times New Roman" w:eastAsia="Times New Roman" w:hAnsi="Times New Roman" w:cs="Times New Roman"/>
          <w:sz w:val="24"/>
          <w:szCs w:val="24"/>
        </w:rPr>
        <w:t xml:space="preserve"> and he or she files </w:t>
      </w:r>
      <w:r w:rsidR="005D56F5">
        <w:rPr>
          <w:rFonts w:ascii="Times New Roman" w:eastAsia="Times New Roman" w:hAnsi="Times New Roman" w:cs="Times New Roman"/>
          <w:sz w:val="24"/>
          <w:szCs w:val="24"/>
        </w:rPr>
        <w:t>a claim for service connection for tinnitus immediately following separation from servic</w:t>
      </w:r>
      <w:r w:rsidR="00BB41B2">
        <w:rPr>
          <w:rFonts w:ascii="Times New Roman" w:eastAsia="Times New Roman" w:hAnsi="Times New Roman" w:cs="Times New Roman"/>
          <w:sz w:val="24"/>
          <w:szCs w:val="24"/>
        </w:rPr>
        <w:t>e, a diagnosis of tinnitus on a post-service</w:t>
      </w:r>
      <w:r w:rsidR="005D56F5">
        <w:rPr>
          <w:rFonts w:ascii="Times New Roman" w:eastAsia="Times New Roman" w:hAnsi="Times New Roman" w:cs="Times New Roman"/>
          <w:sz w:val="24"/>
          <w:szCs w:val="24"/>
        </w:rPr>
        <w:t xml:space="preserve"> examination</w:t>
      </w:r>
      <w:r w:rsidR="00BB41B2">
        <w:rPr>
          <w:rFonts w:ascii="Times New Roman" w:eastAsia="Times New Roman" w:hAnsi="Times New Roman" w:cs="Times New Roman"/>
          <w:sz w:val="24"/>
          <w:szCs w:val="24"/>
        </w:rPr>
        <w:t xml:space="preserve"> conducted within a few months after separation from service</w:t>
      </w:r>
      <w:r w:rsidR="005D56F5">
        <w:rPr>
          <w:rFonts w:ascii="Times New Roman" w:eastAsia="Times New Roman" w:hAnsi="Times New Roman" w:cs="Times New Roman"/>
          <w:sz w:val="24"/>
          <w:szCs w:val="24"/>
        </w:rPr>
        <w:t xml:space="preserve"> </w:t>
      </w:r>
      <w:r w:rsidR="00BB41B2">
        <w:rPr>
          <w:rFonts w:ascii="Times New Roman" w:eastAsia="Times New Roman" w:hAnsi="Times New Roman" w:cs="Times New Roman"/>
          <w:sz w:val="24"/>
          <w:szCs w:val="24"/>
        </w:rPr>
        <w:t>also</w:t>
      </w:r>
      <w:r w:rsidR="008C1693">
        <w:rPr>
          <w:rFonts w:ascii="Times New Roman" w:eastAsia="Times New Roman" w:hAnsi="Times New Roman" w:cs="Times New Roman"/>
          <w:sz w:val="24"/>
          <w:szCs w:val="24"/>
        </w:rPr>
        <w:t xml:space="preserve"> does not</w:t>
      </w:r>
      <w:r w:rsidR="00BB41B2">
        <w:rPr>
          <w:rFonts w:ascii="Times New Roman" w:eastAsia="Times New Roman" w:hAnsi="Times New Roman" w:cs="Times New Roman"/>
          <w:sz w:val="24"/>
          <w:szCs w:val="24"/>
        </w:rPr>
        <w:t xml:space="preserve"> </w:t>
      </w:r>
      <w:r w:rsidR="005D56F5">
        <w:rPr>
          <w:rFonts w:ascii="Times New Roman" w:eastAsia="Times New Roman" w:hAnsi="Times New Roman" w:cs="Times New Roman"/>
          <w:sz w:val="24"/>
          <w:szCs w:val="24"/>
        </w:rPr>
        <w:t xml:space="preserve">require a medical nexus opinion to support a grant of service connection for the disability.  </w:t>
      </w:r>
    </w:p>
    <w:p w14:paraId="6473058B" w14:textId="77777777" w:rsidR="00A67214" w:rsidRPr="00A57338" w:rsidRDefault="00A67214" w:rsidP="00A57338">
      <w:pPr>
        <w:pStyle w:val="NoSpacing"/>
        <w:rPr>
          <w:rFonts w:ascii="Times New Roman" w:eastAsia="Times New Roman" w:hAnsi="Times New Roman" w:cs="Times New Roman"/>
          <w:sz w:val="24"/>
          <w:szCs w:val="24"/>
        </w:rPr>
      </w:pPr>
    </w:p>
    <w:p w14:paraId="6473058C" w14:textId="77777777" w:rsidR="00A3697E" w:rsidRPr="00A57338" w:rsidRDefault="00A3697E" w:rsidP="00A57338">
      <w:pPr>
        <w:pStyle w:val="NoSpacing"/>
        <w:rPr>
          <w:rFonts w:ascii="Times New Roman" w:eastAsia="Times New Roman" w:hAnsi="Times New Roman" w:cs="Times New Roman"/>
          <w:sz w:val="24"/>
          <w:szCs w:val="24"/>
          <w:u w:val="single"/>
        </w:rPr>
      </w:pPr>
      <w:r w:rsidRPr="00A57338">
        <w:rPr>
          <w:rFonts w:ascii="Times New Roman" w:eastAsia="Times New Roman" w:hAnsi="Times New Roman" w:cs="Times New Roman"/>
          <w:sz w:val="24"/>
          <w:szCs w:val="24"/>
          <w:u w:val="single"/>
        </w:rPr>
        <w:t>Routine Future Examinations</w:t>
      </w:r>
    </w:p>
    <w:p w14:paraId="6473058D" w14:textId="77777777" w:rsidR="00A57338" w:rsidRPr="00A57338" w:rsidRDefault="00A57338" w:rsidP="00A57338">
      <w:pPr>
        <w:pStyle w:val="NoSpacing"/>
        <w:rPr>
          <w:rFonts w:ascii="Times New Roman" w:eastAsia="Times New Roman" w:hAnsi="Times New Roman" w:cs="Times New Roman"/>
          <w:sz w:val="24"/>
          <w:szCs w:val="24"/>
          <w:u w:val="single"/>
        </w:rPr>
      </w:pPr>
    </w:p>
    <w:p w14:paraId="6473058E" w14:textId="77777777" w:rsidR="00A57338" w:rsidRDefault="00D9252B" w:rsidP="00A57338">
      <w:pPr>
        <w:pStyle w:val="NoSpacing"/>
        <w:rPr>
          <w:rFonts w:ascii="Times New Roman" w:hAnsi="Times New Roman" w:cs="Times New Roman"/>
          <w:sz w:val="24"/>
          <w:szCs w:val="24"/>
        </w:rPr>
      </w:pPr>
      <w:hyperlink r:id="rId14" w:history="1">
        <w:r w:rsidR="00E8446B" w:rsidRPr="008C1693">
          <w:rPr>
            <w:rStyle w:val="Hyperlink"/>
            <w:rFonts w:ascii="Times New Roman" w:hAnsi="Times New Roman" w:cs="Times New Roman"/>
            <w:sz w:val="24"/>
            <w:szCs w:val="24"/>
          </w:rPr>
          <w:t>38 C.F.R. § 3.327(a)</w:t>
        </w:r>
      </w:hyperlink>
      <w:r w:rsidR="00E8446B">
        <w:rPr>
          <w:rFonts w:ascii="Times New Roman" w:hAnsi="Times New Roman" w:cs="Times New Roman"/>
          <w:sz w:val="24"/>
          <w:szCs w:val="24"/>
        </w:rPr>
        <w:t xml:space="preserve"> provides that reexaminations “will be requested whenever VA determines there is a need to verify either the continued existence or the current severity of a disability” and that “[g]</w:t>
      </w:r>
      <w:proofErr w:type="spellStart"/>
      <w:r w:rsidR="00E8446B">
        <w:rPr>
          <w:rFonts w:ascii="Times New Roman" w:hAnsi="Times New Roman" w:cs="Times New Roman"/>
          <w:sz w:val="24"/>
          <w:szCs w:val="24"/>
        </w:rPr>
        <w:t>enerally</w:t>
      </w:r>
      <w:proofErr w:type="spellEnd"/>
      <w:r w:rsidR="00E8446B">
        <w:rPr>
          <w:rFonts w:ascii="Times New Roman" w:hAnsi="Times New Roman" w:cs="Times New Roman"/>
          <w:sz w:val="24"/>
          <w:szCs w:val="24"/>
        </w:rPr>
        <w:t>, reexaminations will be required if it is likely that a disability has improved, or evidence indicates there has been a material change in a disability or that the current rating may be incorrect.  There are</w:t>
      </w:r>
      <w:r w:rsidR="00ED4D57" w:rsidRPr="00A57338">
        <w:rPr>
          <w:rFonts w:ascii="Times New Roman" w:hAnsi="Times New Roman" w:cs="Times New Roman"/>
          <w:sz w:val="24"/>
          <w:szCs w:val="24"/>
        </w:rPr>
        <w:t xml:space="preserve"> many cases in which the evidence of record will show that the Veteran continues to meet the requirements of a specific evaluation, and no examination would be necessary.  For example, the Veteran is set to undergo a routine</w:t>
      </w:r>
      <w:r w:rsidR="000E5124">
        <w:rPr>
          <w:rFonts w:ascii="Times New Roman" w:hAnsi="Times New Roman" w:cs="Times New Roman"/>
          <w:sz w:val="24"/>
          <w:szCs w:val="24"/>
        </w:rPr>
        <w:t xml:space="preserve"> future examination for his lumbar spine</w:t>
      </w:r>
      <w:r w:rsidR="00ED4D57" w:rsidRPr="00A57338">
        <w:rPr>
          <w:rFonts w:ascii="Times New Roman" w:hAnsi="Times New Roman" w:cs="Times New Roman"/>
          <w:sz w:val="24"/>
          <w:szCs w:val="24"/>
        </w:rPr>
        <w:t xml:space="preserve"> condition rated a</w:t>
      </w:r>
      <w:r w:rsidR="000E5124">
        <w:rPr>
          <w:rFonts w:ascii="Times New Roman" w:hAnsi="Times New Roman" w:cs="Times New Roman"/>
          <w:sz w:val="24"/>
          <w:szCs w:val="24"/>
        </w:rPr>
        <w:t>s 20 percent disabling</w:t>
      </w:r>
      <w:r w:rsidR="00ED4D57" w:rsidRPr="00A57338">
        <w:rPr>
          <w:rFonts w:ascii="Times New Roman" w:hAnsi="Times New Roman" w:cs="Times New Roman"/>
          <w:sz w:val="24"/>
          <w:szCs w:val="24"/>
        </w:rPr>
        <w:t xml:space="preserve">.  CAPRI records include a note from a few months prior that indicated </w:t>
      </w:r>
      <w:r w:rsidR="000E5124">
        <w:rPr>
          <w:rFonts w:ascii="Times New Roman" w:hAnsi="Times New Roman" w:cs="Times New Roman"/>
          <w:sz w:val="24"/>
          <w:szCs w:val="24"/>
        </w:rPr>
        <w:t xml:space="preserve">forward </w:t>
      </w:r>
      <w:r w:rsidR="00ED4D57" w:rsidRPr="00A57338">
        <w:rPr>
          <w:rFonts w:ascii="Times New Roman" w:hAnsi="Times New Roman" w:cs="Times New Roman"/>
          <w:sz w:val="24"/>
          <w:szCs w:val="24"/>
        </w:rPr>
        <w:t>flexion was limited to 50 degrees.  No review exam</w:t>
      </w:r>
      <w:r w:rsidR="000E5124">
        <w:rPr>
          <w:rFonts w:ascii="Times New Roman" w:hAnsi="Times New Roman" w:cs="Times New Roman"/>
          <w:sz w:val="24"/>
          <w:szCs w:val="24"/>
        </w:rPr>
        <w:t>ination</w:t>
      </w:r>
      <w:r w:rsidR="00ED4D57" w:rsidRPr="00A57338">
        <w:rPr>
          <w:rFonts w:ascii="Times New Roman" w:hAnsi="Times New Roman" w:cs="Times New Roman"/>
          <w:sz w:val="24"/>
          <w:szCs w:val="24"/>
        </w:rPr>
        <w:t xml:space="preserve"> is necessary, as the Veteran continues to meet the requ</w:t>
      </w:r>
      <w:r w:rsidR="000E5124">
        <w:rPr>
          <w:rFonts w:ascii="Times New Roman" w:hAnsi="Times New Roman" w:cs="Times New Roman"/>
          <w:sz w:val="24"/>
          <w:szCs w:val="24"/>
        </w:rPr>
        <w:t>irements for a 20 percent</w:t>
      </w:r>
      <w:r w:rsidR="00A57338" w:rsidRPr="00A57338">
        <w:rPr>
          <w:rFonts w:ascii="Times New Roman" w:hAnsi="Times New Roman" w:cs="Times New Roman"/>
          <w:sz w:val="24"/>
          <w:szCs w:val="24"/>
        </w:rPr>
        <w:t xml:space="preserve"> evaluation. </w:t>
      </w:r>
    </w:p>
    <w:p w14:paraId="6473058F" w14:textId="77777777" w:rsidR="00E8446B" w:rsidRDefault="00E8446B" w:rsidP="00A57338">
      <w:pPr>
        <w:pStyle w:val="NoSpacing"/>
        <w:rPr>
          <w:rFonts w:ascii="Times New Roman" w:hAnsi="Times New Roman" w:cs="Times New Roman"/>
          <w:sz w:val="24"/>
          <w:szCs w:val="24"/>
        </w:rPr>
      </w:pPr>
    </w:p>
    <w:p w14:paraId="64730590" w14:textId="77777777" w:rsidR="00E8446B" w:rsidRDefault="00D9252B" w:rsidP="00E8446B">
      <w:pPr>
        <w:pStyle w:val="NoSpacing"/>
        <w:rPr>
          <w:rFonts w:ascii="Times New Roman" w:hAnsi="Times New Roman" w:cs="Times New Roman"/>
          <w:sz w:val="24"/>
          <w:szCs w:val="24"/>
        </w:rPr>
      </w:pPr>
      <w:hyperlink r:id="rId15" w:history="1">
        <w:r w:rsidR="00E8446B" w:rsidRPr="00A57338">
          <w:rPr>
            <w:rStyle w:val="Hyperlink"/>
            <w:rFonts w:ascii="Times New Roman" w:eastAsia="Times New Roman" w:hAnsi="Times New Roman" w:cs="Times New Roman"/>
            <w:sz w:val="24"/>
            <w:szCs w:val="24"/>
          </w:rPr>
          <w:t>38 CFR § 3.327(b</w:t>
        </w:r>
        <w:proofErr w:type="gramStart"/>
        <w:r w:rsidR="00E8446B" w:rsidRPr="00A57338">
          <w:rPr>
            <w:rStyle w:val="Hyperlink"/>
            <w:rFonts w:ascii="Times New Roman" w:eastAsia="Times New Roman" w:hAnsi="Times New Roman" w:cs="Times New Roman"/>
            <w:sz w:val="24"/>
            <w:szCs w:val="24"/>
          </w:rPr>
          <w:t>)(</w:t>
        </w:r>
        <w:proofErr w:type="gramEnd"/>
        <w:r w:rsidR="00E8446B" w:rsidRPr="00A57338">
          <w:rPr>
            <w:rStyle w:val="Hyperlink"/>
            <w:rFonts w:ascii="Times New Roman" w:eastAsia="Times New Roman" w:hAnsi="Times New Roman" w:cs="Times New Roman"/>
            <w:sz w:val="24"/>
            <w:szCs w:val="24"/>
          </w:rPr>
          <w:t>2)</w:t>
        </w:r>
      </w:hyperlink>
      <w:r w:rsidR="00E8446B" w:rsidRPr="00A57338">
        <w:rPr>
          <w:rFonts w:ascii="Times New Roman" w:hAnsi="Times New Roman" w:cs="Times New Roman"/>
          <w:sz w:val="24"/>
          <w:szCs w:val="24"/>
        </w:rPr>
        <w:t xml:space="preserve"> </w:t>
      </w:r>
      <w:r w:rsidR="00E8446B">
        <w:rPr>
          <w:rFonts w:ascii="Times New Roman" w:hAnsi="Times New Roman" w:cs="Times New Roman"/>
          <w:sz w:val="24"/>
          <w:szCs w:val="24"/>
        </w:rPr>
        <w:t xml:space="preserve">provides six specific scenarios in which no periodic reexamination will be scheduled. </w:t>
      </w:r>
      <w:r w:rsidR="00E8446B" w:rsidRPr="00A57338">
        <w:rPr>
          <w:rFonts w:ascii="Times New Roman" w:hAnsi="Times New Roman" w:cs="Times New Roman"/>
          <w:sz w:val="24"/>
          <w:szCs w:val="24"/>
        </w:rPr>
        <w:t xml:space="preserve"> </w:t>
      </w:r>
    </w:p>
    <w:p w14:paraId="64730591" w14:textId="77777777" w:rsidR="008C1693" w:rsidRDefault="008C1693" w:rsidP="00A57338">
      <w:pPr>
        <w:pStyle w:val="NoSpacing"/>
        <w:rPr>
          <w:rFonts w:ascii="Times New Roman" w:hAnsi="Times New Roman" w:cs="Times New Roman"/>
          <w:sz w:val="24"/>
          <w:szCs w:val="24"/>
        </w:rPr>
      </w:pPr>
    </w:p>
    <w:p w14:paraId="64730592" w14:textId="4AE9EA06" w:rsidR="008C1693" w:rsidRPr="008C1693" w:rsidRDefault="008C1693" w:rsidP="00A57338">
      <w:pPr>
        <w:pStyle w:val="NoSpacing"/>
        <w:rPr>
          <w:rFonts w:ascii="Times New Roman" w:hAnsi="Times New Roman" w:cs="Times New Roman"/>
          <w:sz w:val="24"/>
          <w:szCs w:val="24"/>
          <w:u w:val="single"/>
        </w:rPr>
      </w:pPr>
      <w:r w:rsidRPr="008C1693">
        <w:rPr>
          <w:rFonts w:ascii="Times New Roman" w:hAnsi="Times New Roman" w:cs="Times New Roman"/>
          <w:sz w:val="24"/>
          <w:szCs w:val="24"/>
          <w:u w:val="single"/>
        </w:rPr>
        <w:t>Changing the Game Training</w:t>
      </w:r>
    </w:p>
    <w:p w14:paraId="64730593" w14:textId="77777777" w:rsidR="008C1693" w:rsidRDefault="008C1693" w:rsidP="00A57338">
      <w:pPr>
        <w:pStyle w:val="NoSpacing"/>
        <w:rPr>
          <w:rFonts w:ascii="Times New Roman" w:hAnsi="Times New Roman" w:cs="Times New Roman"/>
          <w:sz w:val="24"/>
          <w:szCs w:val="24"/>
        </w:rPr>
      </w:pPr>
    </w:p>
    <w:p w14:paraId="64730594" w14:textId="77777777" w:rsidR="00B53558" w:rsidRDefault="00B53558" w:rsidP="00A57338">
      <w:pPr>
        <w:pStyle w:val="NoSpacing"/>
        <w:rPr>
          <w:rFonts w:ascii="Times New Roman" w:hAnsi="Times New Roman" w:cs="Times New Roman"/>
          <w:sz w:val="24"/>
          <w:szCs w:val="24"/>
        </w:rPr>
      </w:pPr>
      <w:r w:rsidRPr="00A57338">
        <w:rPr>
          <w:rFonts w:ascii="Times New Roman" w:eastAsia="Times New Roman" w:hAnsi="Times New Roman" w:cs="Times New Roman"/>
          <w:sz w:val="24"/>
          <w:szCs w:val="24"/>
        </w:rPr>
        <w:t xml:space="preserve">The </w:t>
      </w:r>
      <w:r w:rsidRPr="00A57338">
        <w:rPr>
          <w:rFonts w:ascii="Times New Roman" w:eastAsia="Times New Roman" w:hAnsi="Times New Roman" w:cs="Times New Roman"/>
          <w:i/>
          <w:sz w:val="24"/>
          <w:szCs w:val="24"/>
        </w:rPr>
        <w:t>Changing the Game</w:t>
      </w:r>
      <w:r w:rsidRPr="00A57338">
        <w:rPr>
          <w:rFonts w:ascii="Times New Roman" w:eastAsia="Times New Roman" w:hAnsi="Times New Roman" w:cs="Times New Roman"/>
          <w:sz w:val="24"/>
          <w:szCs w:val="24"/>
        </w:rPr>
        <w:t xml:space="preserve"> training</w:t>
      </w:r>
      <w:r w:rsidR="00707D6D">
        <w:rPr>
          <w:rFonts w:ascii="Times New Roman" w:eastAsia="Times New Roman" w:hAnsi="Times New Roman" w:cs="Times New Roman"/>
          <w:sz w:val="24"/>
          <w:szCs w:val="24"/>
        </w:rPr>
        <w:t xml:space="preserve">, which instructed that, </w:t>
      </w:r>
      <w:r w:rsidRPr="00A57338">
        <w:rPr>
          <w:rFonts w:ascii="Times New Roman" w:eastAsia="Times New Roman" w:hAnsi="Times New Roman" w:cs="Times New Roman"/>
          <w:sz w:val="24"/>
          <w:szCs w:val="24"/>
        </w:rPr>
        <w:t>in many cases, contemporaneous examinations were not required if service</w:t>
      </w:r>
      <w:r>
        <w:rPr>
          <w:rFonts w:ascii="Times New Roman" w:eastAsia="Times New Roman" w:hAnsi="Times New Roman" w:cs="Times New Roman"/>
          <w:sz w:val="24"/>
          <w:szCs w:val="24"/>
        </w:rPr>
        <w:t xml:space="preserve"> </w:t>
      </w:r>
      <w:r w:rsidRPr="00A57338">
        <w:rPr>
          <w:rFonts w:ascii="Times New Roman" w:eastAsia="Times New Roman" w:hAnsi="Times New Roman" w:cs="Times New Roman"/>
          <w:sz w:val="24"/>
          <w:szCs w:val="24"/>
        </w:rPr>
        <w:t>connection could be established or an increase to the next higher evaluation could be given bas</w:t>
      </w:r>
      <w:r>
        <w:rPr>
          <w:rFonts w:ascii="Times New Roman" w:eastAsia="Times New Roman" w:hAnsi="Times New Roman" w:cs="Times New Roman"/>
          <w:sz w:val="24"/>
          <w:szCs w:val="24"/>
        </w:rPr>
        <w:t xml:space="preserve">ed on the evidence of record, continues to be in effect and should be applied in determining whether to schedule an examination or rate a claim based on the available evidence of record.  </w:t>
      </w:r>
    </w:p>
    <w:p w14:paraId="64730595" w14:textId="77777777" w:rsidR="00A57338" w:rsidRPr="00A57338" w:rsidRDefault="00A57338" w:rsidP="00A57338">
      <w:pPr>
        <w:pStyle w:val="NoSpacing"/>
        <w:rPr>
          <w:rFonts w:ascii="Times New Roman" w:hAnsi="Times New Roman" w:cs="Times New Roman"/>
          <w:sz w:val="24"/>
          <w:szCs w:val="24"/>
        </w:rPr>
      </w:pPr>
    </w:p>
    <w:p w14:paraId="64730596" w14:textId="77777777" w:rsidR="00A57338" w:rsidRPr="00A57338" w:rsidRDefault="00A57338" w:rsidP="00A57338">
      <w:pPr>
        <w:pStyle w:val="NoSpacing"/>
        <w:rPr>
          <w:rFonts w:ascii="Times New Roman" w:hAnsi="Times New Roman" w:cs="Times New Roman"/>
          <w:sz w:val="24"/>
          <w:szCs w:val="24"/>
          <w:u w:val="single"/>
        </w:rPr>
      </w:pPr>
      <w:r w:rsidRPr="00A57338">
        <w:rPr>
          <w:rFonts w:ascii="Times New Roman" w:hAnsi="Times New Roman" w:cs="Times New Roman"/>
          <w:sz w:val="24"/>
          <w:szCs w:val="24"/>
          <w:u w:val="single"/>
        </w:rPr>
        <w:lastRenderedPageBreak/>
        <w:t>Do Not Develop To Deny</w:t>
      </w:r>
    </w:p>
    <w:p w14:paraId="64730597" w14:textId="77777777" w:rsidR="00A57338" w:rsidRPr="00A57338" w:rsidRDefault="00A57338" w:rsidP="00A57338">
      <w:pPr>
        <w:pStyle w:val="NoSpacing"/>
        <w:rPr>
          <w:rFonts w:ascii="Times New Roman" w:hAnsi="Times New Roman" w:cs="Times New Roman"/>
          <w:sz w:val="24"/>
          <w:szCs w:val="24"/>
          <w:u w:val="single"/>
        </w:rPr>
      </w:pPr>
    </w:p>
    <w:p w14:paraId="64730598" w14:textId="77777777" w:rsidR="00242070" w:rsidRPr="00A57338" w:rsidRDefault="00AF2681" w:rsidP="00A57338">
      <w:pPr>
        <w:pStyle w:val="NoSpacing"/>
        <w:rPr>
          <w:rFonts w:ascii="Times New Roman" w:eastAsia="Times New Roman" w:hAnsi="Times New Roman" w:cs="Times New Roman"/>
          <w:i/>
          <w:sz w:val="24"/>
          <w:szCs w:val="24"/>
        </w:rPr>
      </w:pPr>
      <w:r w:rsidRPr="00A57338">
        <w:rPr>
          <w:rFonts w:ascii="Times New Roman" w:eastAsia="Times New Roman" w:hAnsi="Times New Roman" w:cs="Times New Roman"/>
          <w:sz w:val="24"/>
          <w:szCs w:val="24"/>
        </w:rPr>
        <w:t xml:space="preserve">If </w:t>
      </w:r>
      <w:r w:rsidR="00610D28" w:rsidRPr="00A57338">
        <w:rPr>
          <w:rFonts w:ascii="Times New Roman" w:eastAsia="Times New Roman" w:hAnsi="Times New Roman" w:cs="Times New Roman"/>
          <w:sz w:val="24"/>
          <w:szCs w:val="24"/>
        </w:rPr>
        <w:t xml:space="preserve">the evidence of record is adequate for rating purposes and sufficient to grant the claim, </w:t>
      </w:r>
      <w:r w:rsidRPr="00A57338">
        <w:rPr>
          <w:rFonts w:ascii="Times New Roman" w:eastAsia="Times New Roman" w:hAnsi="Times New Roman" w:cs="Times New Roman"/>
          <w:sz w:val="24"/>
          <w:szCs w:val="24"/>
        </w:rPr>
        <w:t>do not continue to develop</w:t>
      </w:r>
      <w:r w:rsidR="00E8446B">
        <w:rPr>
          <w:rFonts w:ascii="Times New Roman" w:eastAsia="Times New Roman" w:hAnsi="Times New Roman" w:cs="Times New Roman"/>
          <w:sz w:val="24"/>
          <w:szCs w:val="24"/>
        </w:rPr>
        <w:t xml:space="preserve"> (i.e. order</w:t>
      </w:r>
      <w:r w:rsidR="00D861DA" w:rsidRPr="00A57338">
        <w:rPr>
          <w:rFonts w:ascii="Times New Roman" w:eastAsia="Times New Roman" w:hAnsi="Times New Roman" w:cs="Times New Roman"/>
          <w:sz w:val="24"/>
          <w:szCs w:val="24"/>
        </w:rPr>
        <w:t xml:space="preserve"> an examination/opin</w:t>
      </w:r>
      <w:r w:rsidR="005025E3" w:rsidRPr="00A57338">
        <w:rPr>
          <w:rFonts w:ascii="Times New Roman" w:eastAsia="Times New Roman" w:hAnsi="Times New Roman" w:cs="Times New Roman"/>
          <w:sz w:val="24"/>
          <w:szCs w:val="24"/>
        </w:rPr>
        <w:t>ion) merely to deny the claim</w:t>
      </w:r>
      <w:r w:rsidRPr="00A57338">
        <w:rPr>
          <w:rFonts w:ascii="Times New Roman" w:eastAsia="Times New Roman" w:hAnsi="Times New Roman" w:cs="Times New Roman"/>
          <w:sz w:val="24"/>
          <w:szCs w:val="24"/>
        </w:rPr>
        <w:t xml:space="preserve">. See </w:t>
      </w:r>
      <w:hyperlink r:id="rId16" w:history="1">
        <w:r w:rsidR="00D861DA" w:rsidRPr="00A57338">
          <w:rPr>
            <w:rStyle w:val="Hyperlink"/>
            <w:rFonts w:ascii="Times New Roman" w:eastAsia="Times New Roman" w:hAnsi="Times New Roman" w:cs="Times New Roman"/>
            <w:i/>
            <w:sz w:val="24"/>
            <w:szCs w:val="24"/>
          </w:rPr>
          <w:t xml:space="preserve">Mariano v. </w:t>
        </w:r>
        <w:proofErr w:type="spellStart"/>
        <w:r w:rsidR="00D861DA" w:rsidRPr="00A57338">
          <w:rPr>
            <w:rStyle w:val="Hyperlink"/>
            <w:rFonts w:ascii="Times New Roman" w:eastAsia="Times New Roman" w:hAnsi="Times New Roman" w:cs="Times New Roman"/>
            <w:i/>
            <w:sz w:val="24"/>
            <w:szCs w:val="24"/>
          </w:rPr>
          <w:t>Principi</w:t>
        </w:r>
        <w:proofErr w:type="spellEnd"/>
      </w:hyperlink>
      <w:r w:rsidR="00D861DA" w:rsidRPr="00A57338">
        <w:rPr>
          <w:rFonts w:ascii="Times New Roman" w:eastAsia="Times New Roman" w:hAnsi="Times New Roman" w:cs="Times New Roman"/>
          <w:i/>
          <w:sz w:val="24"/>
          <w:szCs w:val="24"/>
        </w:rPr>
        <w:t xml:space="preserve">, </w:t>
      </w:r>
      <w:proofErr w:type="gramStart"/>
      <w:r w:rsidR="005025E3" w:rsidRPr="00A57338">
        <w:rPr>
          <w:rFonts w:ascii="Times New Roman" w:eastAsia="Times New Roman" w:hAnsi="Times New Roman" w:cs="Times New Roman"/>
          <w:sz w:val="24"/>
          <w:szCs w:val="24"/>
        </w:rPr>
        <w:t xml:space="preserve">17 </w:t>
      </w:r>
      <w:proofErr w:type="spellStart"/>
      <w:r w:rsidR="005025E3" w:rsidRPr="00A57338">
        <w:rPr>
          <w:rFonts w:ascii="Times New Roman" w:eastAsia="Times New Roman" w:hAnsi="Times New Roman" w:cs="Times New Roman"/>
          <w:sz w:val="24"/>
          <w:szCs w:val="24"/>
        </w:rPr>
        <w:t>Vet.App</w:t>
      </w:r>
      <w:proofErr w:type="spellEnd"/>
      <w:proofErr w:type="gramEnd"/>
      <w:r w:rsidR="005025E3" w:rsidRPr="00A57338">
        <w:rPr>
          <w:rFonts w:ascii="Times New Roman" w:eastAsia="Times New Roman" w:hAnsi="Times New Roman" w:cs="Times New Roman"/>
          <w:sz w:val="24"/>
          <w:szCs w:val="24"/>
        </w:rPr>
        <w:t xml:space="preserve">. </w:t>
      </w:r>
      <w:proofErr w:type="gramStart"/>
      <w:r w:rsidR="005025E3" w:rsidRPr="00A57338">
        <w:rPr>
          <w:rFonts w:ascii="Times New Roman" w:eastAsia="Times New Roman" w:hAnsi="Times New Roman" w:cs="Times New Roman"/>
          <w:sz w:val="24"/>
          <w:szCs w:val="24"/>
        </w:rPr>
        <w:t>305 (2003).</w:t>
      </w:r>
      <w:proofErr w:type="gramEnd"/>
      <w:r w:rsidR="00D861DA" w:rsidRPr="00A57338">
        <w:rPr>
          <w:rFonts w:ascii="Times New Roman" w:eastAsia="Times New Roman" w:hAnsi="Times New Roman" w:cs="Times New Roman"/>
          <w:i/>
          <w:sz w:val="24"/>
          <w:szCs w:val="24"/>
        </w:rPr>
        <w:t xml:space="preserve"> </w:t>
      </w:r>
    </w:p>
    <w:p w14:paraId="64730599" w14:textId="77777777" w:rsidR="00A57338" w:rsidRPr="00A57338" w:rsidRDefault="00A57338" w:rsidP="00A57338">
      <w:pPr>
        <w:pStyle w:val="NoSpacing"/>
        <w:rPr>
          <w:rFonts w:ascii="Times New Roman" w:eastAsia="Times New Roman" w:hAnsi="Times New Roman" w:cs="Times New Roman"/>
          <w:sz w:val="24"/>
          <w:szCs w:val="24"/>
        </w:rPr>
      </w:pPr>
    </w:p>
    <w:p w14:paraId="6473059A" w14:textId="77777777" w:rsidR="00242070" w:rsidRPr="00A57338" w:rsidRDefault="00242070" w:rsidP="00A57338">
      <w:pPr>
        <w:pStyle w:val="NoSpacing"/>
        <w:rPr>
          <w:rFonts w:ascii="Times New Roman" w:eastAsia="Times New Roman" w:hAnsi="Times New Roman" w:cs="Times New Roman"/>
          <w:sz w:val="24"/>
          <w:szCs w:val="24"/>
          <w:u w:val="single"/>
        </w:rPr>
      </w:pPr>
      <w:r w:rsidRPr="00A57338">
        <w:rPr>
          <w:rFonts w:ascii="Times New Roman" w:eastAsia="Times New Roman" w:hAnsi="Times New Roman" w:cs="Times New Roman"/>
          <w:sz w:val="24"/>
          <w:szCs w:val="24"/>
          <w:u w:val="single"/>
        </w:rPr>
        <w:t>Returning Examinations for Clarification</w:t>
      </w:r>
    </w:p>
    <w:p w14:paraId="6473059B" w14:textId="77777777" w:rsidR="00A57338" w:rsidRPr="00A57338" w:rsidRDefault="00A57338" w:rsidP="00A57338">
      <w:pPr>
        <w:pStyle w:val="NoSpacing"/>
        <w:rPr>
          <w:rFonts w:ascii="Times New Roman" w:eastAsia="Times New Roman" w:hAnsi="Times New Roman" w:cs="Times New Roman"/>
          <w:sz w:val="24"/>
          <w:szCs w:val="24"/>
          <w:u w:val="single"/>
        </w:rPr>
      </w:pPr>
    </w:p>
    <w:p w14:paraId="6473059C" w14:textId="77777777" w:rsidR="00D861DA" w:rsidRPr="00A57338" w:rsidRDefault="006949E1" w:rsidP="00A57338">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DBQs</w:t>
      </w:r>
      <w:r w:rsidR="00242070" w:rsidRPr="00A57338">
        <w:rPr>
          <w:rFonts w:ascii="Times New Roman" w:eastAsia="Times New Roman" w:hAnsi="Times New Roman" w:cs="Times New Roman"/>
          <w:sz w:val="24"/>
          <w:szCs w:val="24"/>
        </w:rPr>
        <w:t xml:space="preserve"> </w:t>
      </w:r>
      <w:r w:rsidR="00076E86" w:rsidRPr="00A57338">
        <w:rPr>
          <w:rFonts w:ascii="Times New Roman" w:eastAsia="Times New Roman" w:hAnsi="Times New Roman" w:cs="Times New Roman"/>
          <w:sz w:val="24"/>
          <w:szCs w:val="24"/>
        </w:rPr>
        <w:t xml:space="preserve">should be accepted as adequate for rating purposes and should not be returned </w:t>
      </w:r>
      <w:r w:rsidR="00242070" w:rsidRPr="00A57338">
        <w:rPr>
          <w:rFonts w:ascii="Times New Roman" w:eastAsia="Times New Roman" w:hAnsi="Times New Roman" w:cs="Times New Roman"/>
          <w:sz w:val="24"/>
          <w:szCs w:val="24"/>
        </w:rPr>
        <w:t>for clarification unless the DBQ findings lack clarity an</w:t>
      </w:r>
      <w:r w:rsidR="00443F1B">
        <w:rPr>
          <w:rFonts w:ascii="Times New Roman" w:eastAsia="Times New Roman" w:hAnsi="Times New Roman" w:cs="Times New Roman"/>
          <w:sz w:val="24"/>
          <w:szCs w:val="24"/>
        </w:rPr>
        <w:t>d/or sufficient rationale, or are</w:t>
      </w:r>
      <w:r w:rsidR="00242070" w:rsidRPr="00A57338">
        <w:rPr>
          <w:rFonts w:ascii="Times New Roman" w:eastAsia="Times New Roman" w:hAnsi="Times New Roman" w:cs="Times New Roman"/>
          <w:sz w:val="24"/>
          <w:szCs w:val="24"/>
        </w:rPr>
        <w:t xml:space="preserve"> otherwise insufficient for rating purposes.  If there is a defect in the </w:t>
      </w:r>
      <w:r w:rsidR="00076E86" w:rsidRPr="00A57338">
        <w:rPr>
          <w:rFonts w:ascii="Times New Roman" w:eastAsia="Times New Roman" w:hAnsi="Times New Roman" w:cs="Times New Roman"/>
          <w:sz w:val="24"/>
          <w:szCs w:val="24"/>
        </w:rPr>
        <w:t>DBQ</w:t>
      </w:r>
      <w:r w:rsidR="00242070" w:rsidRPr="00A57338">
        <w:rPr>
          <w:rFonts w:ascii="Times New Roman" w:eastAsia="Times New Roman" w:hAnsi="Times New Roman" w:cs="Times New Roman"/>
          <w:sz w:val="24"/>
          <w:szCs w:val="24"/>
        </w:rPr>
        <w:t xml:space="preserve">, such as not being completely filled out, but the defect does not render the examination inadequate for rating purposes, do not send it back for clarification.  For example, if a Veteran is </w:t>
      </w:r>
      <w:r w:rsidR="006026CD" w:rsidRPr="00A57338">
        <w:rPr>
          <w:rFonts w:ascii="Times New Roman" w:eastAsia="Times New Roman" w:hAnsi="Times New Roman" w:cs="Times New Roman"/>
          <w:sz w:val="24"/>
          <w:szCs w:val="24"/>
        </w:rPr>
        <w:t xml:space="preserve">service-connected for </w:t>
      </w:r>
      <w:r w:rsidR="00006832">
        <w:rPr>
          <w:rFonts w:ascii="Times New Roman" w:eastAsia="Times New Roman" w:hAnsi="Times New Roman" w:cs="Times New Roman"/>
          <w:sz w:val="24"/>
          <w:szCs w:val="24"/>
        </w:rPr>
        <w:t xml:space="preserve">bronchial asthma under diagnostic code (DC) 6602 and the pulmonary function testing fails to include </w:t>
      </w:r>
      <w:proofErr w:type="gramStart"/>
      <w:r w:rsidR="00006832">
        <w:rPr>
          <w:rFonts w:ascii="Times New Roman" w:eastAsia="Times New Roman" w:hAnsi="Times New Roman" w:cs="Times New Roman"/>
          <w:sz w:val="24"/>
          <w:szCs w:val="24"/>
        </w:rPr>
        <w:t>DLCO(</w:t>
      </w:r>
      <w:proofErr w:type="gramEnd"/>
      <w:r w:rsidR="00006832">
        <w:rPr>
          <w:rFonts w:ascii="Times New Roman" w:eastAsia="Times New Roman" w:hAnsi="Times New Roman" w:cs="Times New Roman"/>
          <w:sz w:val="24"/>
          <w:szCs w:val="24"/>
        </w:rPr>
        <w:t xml:space="preserve">SB), </w:t>
      </w:r>
      <w:r w:rsidR="00A67214" w:rsidRPr="00A57338">
        <w:rPr>
          <w:rFonts w:ascii="Times New Roman" w:eastAsia="Times New Roman" w:hAnsi="Times New Roman" w:cs="Times New Roman"/>
          <w:sz w:val="24"/>
          <w:szCs w:val="24"/>
        </w:rPr>
        <w:t>sending</w:t>
      </w:r>
      <w:r w:rsidR="006026CD" w:rsidRPr="00A57338">
        <w:rPr>
          <w:rFonts w:ascii="Times New Roman" w:eastAsia="Times New Roman" w:hAnsi="Times New Roman" w:cs="Times New Roman"/>
          <w:sz w:val="24"/>
          <w:szCs w:val="24"/>
        </w:rPr>
        <w:t xml:space="preserve"> the examination back to the examiner for </w:t>
      </w:r>
      <w:r w:rsidR="00E64A24">
        <w:rPr>
          <w:rFonts w:ascii="Times New Roman" w:eastAsia="Times New Roman" w:hAnsi="Times New Roman" w:cs="Times New Roman"/>
          <w:sz w:val="24"/>
          <w:szCs w:val="24"/>
        </w:rPr>
        <w:t xml:space="preserve">completion of DLCO (SB) testing would be unnecessary as DC 6602 does not consider DLCO (SB) in rating bronchial asthma.  </w:t>
      </w:r>
      <w:r w:rsidR="00076E86" w:rsidRPr="00A57338">
        <w:rPr>
          <w:rFonts w:ascii="Times New Roman" w:eastAsia="Times New Roman" w:hAnsi="Times New Roman" w:cs="Times New Roman"/>
          <w:sz w:val="24"/>
          <w:szCs w:val="24"/>
        </w:rPr>
        <w:t xml:space="preserve">  </w:t>
      </w:r>
      <w:r w:rsidR="006026CD" w:rsidRPr="00A57338">
        <w:rPr>
          <w:rFonts w:ascii="Times New Roman" w:eastAsia="Times New Roman" w:hAnsi="Times New Roman" w:cs="Times New Roman"/>
          <w:sz w:val="24"/>
          <w:szCs w:val="24"/>
        </w:rPr>
        <w:t xml:space="preserve">  </w:t>
      </w:r>
    </w:p>
    <w:p w14:paraId="6473059D" w14:textId="77777777" w:rsidR="00E8446B" w:rsidRDefault="00E8446B" w:rsidP="00A57338">
      <w:pPr>
        <w:pStyle w:val="NoSpacing"/>
        <w:rPr>
          <w:rFonts w:ascii="Times New Roman" w:eastAsia="Times New Roman" w:hAnsi="Times New Roman" w:cs="Times New Roman"/>
          <w:sz w:val="24"/>
          <w:szCs w:val="24"/>
          <w:u w:val="single"/>
        </w:rPr>
      </w:pPr>
    </w:p>
    <w:p w14:paraId="6473059E" w14:textId="77777777" w:rsidR="00652BA6" w:rsidRDefault="001539E5" w:rsidP="00A57338">
      <w:pPr>
        <w:pStyle w:val="No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Guidance that Required Color Photographs </w:t>
      </w:r>
      <w:r w:rsidR="00770A78">
        <w:rPr>
          <w:rFonts w:ascii="Times New Roman" w:eastAsia="Times New Roman" w:hAnsi="Times New Roman" w:cs="Times New Roman"/>
          <w:sz w:val="24"/>
          <w:szCs w:val="24"/>
          <w:u w:val="single"/>
        </w:rPr>
        <w:t xml:space="preserve">for Evaluations </w:t>
      </w:r>
      <w:proofErr w:type="gramStart"/>
      <w:r w:rsidR="00770A78">
        <w:rPr>
          <w:rFonts w:ascii="Times New Roman" w:eastAsia="Times New Roman" w:hAnsi="Times New Roman" w:cs="Times New Roman"/>
          <w:sz w:val="24"/>
          <w:szCs w:val="24"/>
          <w:u w:val="single"/>
        </w:rPr>
        <w:t>Under</w:t>
      </w:r>
      <w:proofErr w:type="gramEnd"/>
      <w:r w:rsidR="00770A78">
        <w:rPr>
          <w:rFonts w:ascii="Times New Roman" w:eastAsia="Times New Roman" w:hAnsi="Times New Roman" w:cs="Times New Roman"/>
          <w:sz w:val="24"/>
          <w:szCs w:val="24"/>
          <w:u w:val="single"/>
        </w:rPr>
        <w:t xml:space="preserve"> DC 7800</w:t>
      </w:r>
      <w:r w:rsidR="00ED4690">
        <w:rPr>
          <w:rFonts w:ascii="Times New Roman" w:eastAsia="Times New Roman" w:hAnsi="Times New Roman" w:cs="Times New Roman"/>
          <w:sz w:val="24"/>
          <w:szCs w:val="24"/>
          <w:u w:val="single"/>
        </w:rPr>
        <w:t xml:space="preserve"> is Rescinded</w:t>
      </w:r>
    </w:p>
    <w:p w14:paraId="6473059F" w14:textId="77777777" w:rsidR="00770A78" w:rsidRDefault="00770A78" w:rsidP="00A57338">
      <w:pPr>
        <w:pStyle w:val="NoSpacing"/>
        <w:rPr>
          <w:rFonts w:ascii="Times New Roman" w:eastAsia="Times New Roman" w:hAnsi="Times New Roman" w:cs="Times New Roman"/>
          <w:sz w:val="24"/>
          <w:szCs w:val="24"/>
          <w:u w:val="single"/>
        </w:rPr>
      </w:pPr>
    </w:p>
    <w:p w14:paraId="647305A0" w14:textId="77777777" w:rsidR="003572F6" w:rsidRPr="00EF46BC" w:rsidRDefault="006D4850" w:rsidP="00DA1A2C">
      <w:pPr>
        <w:pStyle w:val="NoSpacing"/>
        <w:rPr>
          <w:rFonts w:ascii="Times New Roman" w:hAnsi="Times New Roman" w:cs="Times New Roman"/>
          <w:sz w:val="24"/>
          <w:szCs w:val="24"/>
        </w:rPr>
      </w:pPr>
      <w:r>
        <w:rPr>
          <w:rFonts w:ascii="Times New Roman" w:eastAsia="Times New Roman" w:hAnsi="Times New Roman" w:cs="Times New Roman"/>
          <w:sz w:val="24"/>
          <w:szCs w:val="24"/>
        </w:rPr>
        <w:t xml:space="preserve">Color photographs are no longer required for evaluations under DC 7800.  </w:t>
      </w:r>
      <w:r w:rsidR="00770A78">
        <w:rPr>
          <w:rFonts w:ascii="Times New Roman" w:eastAsia="Times New Roman" w:hAnsi="Times New Roman" w:cs="Times New Roman"/>
          <w:sz w:val="24"/>
          <w:szCs w:val="24"/>
        </w:rPr>
        <w:t>The April 2012 Com</w:t>
      </w:r>
      <w:r>
        <w:rPr>
          <w:rFonts w:ascii="Times New Roman" w:eastAsia="Times New Roman" w:hAnsi="Times New Roman" w:cs="Times New Roman"/>
          <w:sz w:val="24"/>
          <w:szCs w:val="24"/>
        </w:rPr>
        <w:t>pensation Bulletin provided</w:t>
      </w:r>
      <w:r w:rsidR="00770A78">
        <w:rPr>
          <w:rFonts w:ascii="Times New Roman" w:eastAsia="Times New Roman" w:hAnsi="Times New Roman" w:cs="Times New Roman"/>
          <w:sz w:val="24"/>
          <w:szCs w:val="24"/>
        </w:rPr>
        <w:t xml:space="preserve"> guidance </w:t>
      </w:r>
      <w:r>
        <w:rPr>
          <w:rFonts w:ascii="Times New Roman" w:eastAsia="Times New Roman" w:hAnsi="Times New Roman" w:cs="Times New Roman"/>
          <w:sz w:val="24"/>
          <w:szCs w:val="24"/>
        </w:rPr>
        <w:t xml:space="preserve">that </w:t>
      </w:r>
      <w:r w:rsidR="00770A78">
        <w:rPr>
          <w:rFonts w:ascii="Times New Roman" w:eastAsia="Times New Roman" w:hAnsi="Times New Roman" w:cs="Times New Roman"/>
          <w:sz w:val="24"/>
          <w:szCs w:val="24"/>
        </w:rPr>
        <w:t>under</w:t>
      </w:r>
      <w:r w:rsidR="00770A78" w:rsidRPr="00770A78">
        <w:rPr>
          <w:rFonts w:ascii="Times New Roman" w:eastAsia="Times New Roman" w:hAnsi="Times New Roman" w:cs="Times New Roman"/>
          <w:sz w:val="24"/>
          <w:szCs w:val="24"/>
        </w:rPr>
        <w:t xml:space="preserve"> </w:t>
      </w:r>
      <w:hyperlink r:id="rId17" w:history="1">
        <w:r w:rsidR="00770A78" w:rsidRPr="00770A78">
          <w:rPr>
            <w:rStyle w:val="Hyperlink"/>
            <w:rFonts w:ascii="Times New Roman" w:eastAsia="Times New Roman" w:hAnsi="Times New Roman" w:cs="Times New Roman"/>
            <w:sz w:val="24"/>
            <w:szCs w:val="24"/>
          </w:rPr>
          <w:t>38 C.F.R. § 4.118</w:t>
        </w:r>
      </w:hyperlink>
      <w:r w:rsidR="00770A78" w:rsidRPr="00770A78">
        <w:rPr>
          <w:rFonts w:ascii="Times New Roman" w:eastAsia="Times New Roman" w:hAnsi="Times New Roman" w:cs="Times New Roman"/>
          <w:sz w:val="24"/>
          <w:szCs w:val="24"/>
        </w:rPr>
        <w:t>, DC 7800</w:t>
      </w:r>
      <w:r w:rsidR="00707D6D">
        <w:rPr>
          <w:rFonts w:ascii="Times New Roman" w:eastAsia="Times New Roman" w:hAnsi="Times New Roman" w:cs="Times New Roman"/>
          <w:sz w:val="24"/>
          <w:szCs w:val="24"/>
        </w:rPr>
        <w:t>,</w:t>
      </w:r>
      <w:r w:rsidR="00770A78" w:rsidRPr="00770A78">
        <w:rPr>
          <w:rFonts w:ascii="Times New Roman" w:eastAsia="Times New Roman" w:hAnsi="Times New Roman" w:cs="Times New Roman"/>
          <w:sz w:val="24"/>
          <w:szCs w:val="24"/>
        </w:rPr>
        <w:t xml:space="preserve"> </w:t>
      </w:r>
      <w:r w:rsidR="00770A78">
        <w:rPr>
          <w:rFonts w:ascii="Times New Roman" w:eastAsia="Times New Roman" w:hAnsi="Times New Roman" w:cs="Times New Roman"/>
          <w:sz w:val="24"/>
          <w:szCs w:val="24"/>
        </w:rPr>
        <w:t>required c</w:t>
      </w:r>
      <w:r w:rsidR="00770A78" w:rsidRPr="00770A78">
        <w:rPr>
          <w:rFonts w:ascii="Times New Roman" w:eastAsia="Times New Roman" w:hAnsi="Times New Roman" w:cs="Times New Roman"/>
          <w:sz w:val="24"/>
          <w:szCs w:val="24"/>
        </w:rPr>
        <w:t xml:space="preserve">olor photographs be taken and incorporated into the claims file unless the evidentiary record, without the photographs, is sufficient to grant the maximum schedular evaluation for the scar.  </w:t>
      </w:r>
      <w:r w:rsidR="00770A78">
        <w:rPr>
          <w:rFonts w:ascii="Times New Roman" w:eastAsia="Times New Roman" w:hAnsi="Times New Roman" w:cs="Times New Roman"/>
          <w:sz w:val="24"/>
          <w:szCs w:val="24"/>
        </w:rPr>
        <w:t>This guidance is now rescinded</w:t>
      </w:r>
      <w:r w:rsidR="00E64A24">
        <w:rPr>
          <w:rFonts w:ascii="Times New Roman" w:eastAsia="Times New Roman" w:hAnsi="Times New Roman" w:cs="Times New Roman"/>
          <w:sz w:val="24"/>
          <w:szCs w:val="24"/>
        </w:rPr>
        <w:t xml:space="preserve">.  </w:t>
      </w:r>
      <w:r w:rsidR="003572F6" w:rsidRPr="00EF46BC">
        <w:rPr>
          <w:rFonts w:ascii="Times New Roman" w:hAnsi="Times New Roman" w:cs="Times New Roman"/>
          <w:sz w:val="24"/>
          <w:szCs w:val="24"/>
        </w:rPr>
        <w:t>If color photo</w:t>
      </w:r>
      <w:r w:rsidR="00C17273">
        <w:rPr>
          <w:rFonts w:ascii="Times New Roman" w:hAnsi="Times New Roman" w:cs="Times New Roman"/>
          <w:sz w:val="24"/>
          <w:szCs w:val="24"/>
        </w:rPr>
        <w:t>graph</w:t>
      </w:r>
      <w:r w:rsidR="003572F6" w:rsidRPr="00EF46BC">
        <w:rPr>
          <w:rFonts w:ascii="Times New Roman" w:hAnsi="Times New Roman" w:cs="Times New Roman"/>
          <w:sz w:val="24"/>
          <w:szCs w:val="24"/>
        </w:rPr>
        <w:t>s accompany the exam</w:t>
      </w:r>
      <w:r w:rsidR="000E5124">
        <w:rPr>
          <w:rFonts w:ascii="Times New Roman" w:hAnsi="Times New Roman" w:cs="Times New Roman"/>
          <w:sz w:val="24"/>
          <w:szCs w:val="24"/>
        </w:rPr>
        <w:t>ination, then the Rating Veterans Service Representative (RVSR)</w:t>
      </w:r>
      <w:r>
        <w:rPr>
          <w:rFonts w:ascii="Times New Roman" w:hAnsi="Times New Roman" w:cs="Times New Roman"/>
          <w:sz w:val="24"/>
          <w:szCs w:val="24"/>
        </w:rPr>
        <w:t xml:space="preserve"> must consider this evidence.  H</w:t>
      </w:r>
      <w:r w:rsidR="003572F6" w:rsidRPr="00EF46BC">
        <w:rPr>
          <w:rFonts w:ascii="Times New Roman" w:hAnsi="Times New Roman" w:cs="Times New Roman"/>
          <w:sz w:val="24"/>
          <w:szCs w:val="24"/>
        </w:rPr>
        <w:t>owever, if color photographs are unavailable, the scar condition should be rated based on the findings reported by the examiner.  Please do not return the exam</w:t>
      </w:r>
      <w:r w:rsidR="00C17273">
        <w:rPr>
          <w:rFonts w:ascii="Times New Roman" w:hAnsi="Times New Roman" w:cs="Times New Roman"/>
          <w:sz w:val="24"/>
          <w:szCs w:val="24"/>
        </w:rPr>
        <w:t>ination</w:t>
      </w:r>
      <w:r w:rsidR="003572F6" w:rsidRPr="00EF46BC">
        <w:rPr>
          <w:rFonts w:ascii="Times New Roman" w:hAnsi="Times New Roman" w:cs="Times New Roman"/>
          <w:sz w:val="24"/>
          <w:szCs w:val="24"/>
        </w:rPr>
        <w:t xml:space="preserve"> as insufficient and request color photographs to be completed. </w:t>
      </w:r>
      <w:r w:rsidR="00E64A24">
        <w:rPr>
          <w:rFonts w:ascii="Times New Roman" w:hAnsi="Times New Roman" w:cs="Times New Roman"/>
          <w:sz w:val="24"/>
          <w:szCs w:val="24"/>
        </w:rPr>
        <w:t xml:space="preserve">  </w:t>
      </w:r>
    </w:p>
    <w:p w14:paraId="647305A1" w14:textId="77777777" w:rsidR="0084378C" w:rsidRPr="00B04905" w:rsidRDefault="0084378C" w:rsidP="00B04905">
      <w:pPr>
        <w:pStyle w:val="NoSpacing"/>
        <w:rPr>
          <w:rFonts w:ascii="Times New Roman" w:eastAsia="Times New Roman" w:hAnsi="Times New Roman" w:cs="Times New Roman"/>
          <w:sz w:val="24"/>
          <w:szCs w:val="24"/>
        </w:rPr>
      </w:pPr>
    </w:p>
    <w:p w14:paraId="647305A2" w14:textId="77777777" w:rsidR="00652BA6" w:rsidRDefault="00C21A35" w:rsidP="00A57338">
      <w:pPr>
        <w:pStyle w:val="No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Accept Home Sleep </w:t>
      </w:r>
      <w:r w:rsidR="00443F1B">
        <w:rPr>
          <w:rFonts w:ascii="Times New Roman" w:eastAsia="Times New Roman" w:hAnsi="Times New Roman" w:cs="Times New Roman"/>
          <w:sz w:val="24"/>
          <w:szCs w:val="24"/>
          <w:u w:val="single"/>
        </w:rPr>
        <w:t>Studies for</w:t>
      </w:r>
      <w:r>
        <w:rPr>
          <w:rFonts w:ascii="Times New Roman" w:eastAsia="Times New Roman" w:hAnsi="Times New Roman" w:cs="Times New Roman"/>
          <w:sz w:val="24"/>
          <w:szCs w:val="24"/>
          <w:u w:val="single"/>
        </w:rPr>
        <w:t xml:space="preserve"> Diagnoses of Obstructive Sleep Apnea</w:t>
      </w:r>
    </w:p>
    <w:p w14:paraId="647305A3" w14:textId="77777777" w:rsidR="00C21A35" w:rsidRDefault="00C21A35" w:rsidP="00A57338">
      <w:pPr>
        <w:pStyle w:val="NoSpacing"/>
        <w:rPr>
          <w:rFonts w:ascii="Times New Roman" w:eastAsia="Times New Roman" w:hAnsi="Times New Roman" w:cs="Times New Roman"/>
          <w:sz w:val="24"/>
          <w:szCs w:val="24"/>
          <w:u w:val="single"/>
        </w:rPr>
      </w:pPr>
    </w:p>
    <w:p w14:paraId="647305A4" w14:textId="77777777" w:rsidR="00FE30C8" w:rsidRPr="00FE30C8" w:rsidRDefault="00C21A35" w:rsidP="00FE30C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Previously, </w:t>
      </w:r>
      <w:r w:rsidR="00ED4690">
        <w:rPr>
          <w:rFonts w:ascii="Times New Roman" w:eastAsia="Times New Roman" w:hAnsi="Times New Roman" w:cs="Times New Roman"/>
          <w:sz w:val="24"/>
          <w:szCs w:val="24"/>
        </w:rPr>
        <w:t xml:space="preserve">only observed nocturnal </w:t>
      </w:r>
      <w:proofErr w:type="spellStart"/>
      <w:r w:rsidR="00ED4690">
        <w:rPr>
          <w:rFonts w:ascii="Times New Roman" w:eastAsia="Times New Roman" w:hAnsi="Times New Roman" w:cs="Times New Roman"/>
          <w:sz w:val="24"/>
          <w:szCs w:val="24"/>
        </w:rPr>
        <w:t>polysomnogram</w:t>
      </w:r>
      <w:proofErr w:type="spellEnd"/>
      <w:r w:rsidR="00ED4690">
        <w:rPr>
          <w:rFonts w:ascii="Times New Roman" w:eastAsia="Times New Roman" w:hAnsi="Times New Roman" w:cs="Times New Roman"/>
          <w:sz w:val="24"/>
          <w:szCs w:val="24"/>
        </w:rPr>
        <w:t xml:space="preserve"> diagnoses of sleep apnea were accepted for</w:t>
      </w:r>
      <w:r w:rsidR="003572F6">
        <w:rPr>
          <w:rFonts w:ascii="Times New Roman" w:eastAsia="Times New Roman" w:hAnsi="Times New Roman" w:cs="Times New Roman"/>
          <w:sz w:val="24"/>
          <w:szCs w:val="24"/>
        </w:rPr>
        <w:t xml:space="preserve"> the</w:t>
      </w:r>
      <w:r w:rsidR="00ED4690">
        <w:rPr>
          <w:rFonts w:ascii="Times New Roman" w:eastAsia="Times New Roman" w:hAnsi="Times New Roman" w:cs="Times New Roman"/>
          <w:sz w:val="24"/>
          <w:szCs w:val="24"/>
        </w:rPr>
        <w:t xml:space="preserve"> purpose</w:t>
      </w:r>
      <w:r w:rsidR="00443F1B">
        <w:rPr>
          <w:rFonts w:ascii="Times New Roman" w:eastAsia="Times New Roman" w:hAnsi="Times New Roman" w:cs="Times New Roman"/>
          <w:sz w:val="24"/>
          <w:szCs w:val="24"/>
        </w:rPr>
        <w:t>s</w:t>
      </w:r>
      <w:r w:rsidR="00ED4690">
        <w:rPr>
          <w:rFonts w:ascii="Times New Roman" w:eastAsia="Times New Roman" w:hAnsi="Times New Roman" w:cs="Times New Roman"/>
          <w:sz w:val="24"/>
          <w:szCs w:val="24"/>
        </w:rPr>
        <w:t xml:space="preserve"> </w:t>
      </w:r>
      <w:r w:rsidR="003572F6">
        <w:rPr>
          <w:rFonts w:ascii="Times New Roman" w:eastAsia="Times New Roman" w:hAnsi="Times New Roman" w:cs="Times New Roman"/>
          <w:sz w:val="24"/>
          <w:szCs w:val="24"/>
        </w:rPr>
        <w:t xml:space="preserve">of </w:t>
      </w:r>
      <w:r w:rsidR="00443F1B">
        <w:rPr>
          <w:rFonts w:ascii="Times New Roman" w:eastAsia="Times New Roman" w:hAnsi="Times New Roman" w:cs="Times New Roman"/>
          <w:sz w:val="24"/>
          <w:szCs w:val="24"/>
        </w:rPr>
        <w:t xml:space="preserve">service </w:t>
      </w:r>
      <w:r w:rsidR="00ED4690">
        <w:rPr>
          <w:rFonts w:ascii="Times New Roman" w:eastAsia="Times New Roman" w:hAnsi="Times New Roman" w:cs="Times New Roman"/>
          <w:sz w:val="24"/>
          <w:szCs w:val="24"/>
        </w:rPr>
        <w:t xml:space="preserve">connection.  </w:t>
      </w:r>
      <w:r w:rsidR="00A93562">
        <w:rPr>
          <w:rFonts w:ascii="Times New Roman" w:eastAsia="Times New Roman" w:hAnsi="Times New Roman" w:cs="Times New Roman"/>
          <w:sz w:val="24"/>
          <w:szCs w:val="24"/>
        </w:rPr>
        <w:t>Now, VA will accept a</w:t>
      </w:r>
      <w:r w:rsidR="00ED4690">
        <w:rPr>
          <w:rFonts w:ascii="Times New Roman" w:eastAsia="Times New Roman" w:hAnsi="Times New Roman" w:cs="Times New Roman"/>
          <w:sz w:val="24"/>
          <w:szCs w:val="24"/>
        </w:rPr>
        <w:t>t-home sleep study diagnoses of sleep apnea for</w:t>
      </w:r>
      <w:r w:rsidR="00A93562">
        <w:rPr>
          <w:rFonts w:ascii="Times New Roman" w:eastAsia="Times New Roman" w:hAnsi="Times New Roman" w:cs="Times New Roman"/>
          <w:sz w:val="24"/>
          <w:szCs w:val="24"/>
        </w:rPr>
        <w:t xml:space="preserve"> purposes of service </w:t>
      </w:r>
      <w:r w:rsidR="00FE30C8">
        <w:rPr>
          <w:rFonts w:ascii="Times New Roman" w:eastAsia="Times New Roman" w:hAnsi="Times New Roman" w:cs="Times New Roman"/>
          <w:sz w:val="24"/>
          <w:szCs w:val="24"/>
        </w:rPr>
        <w:t>connection</w:t>
      </w:r>
      <w:r w:rsidR="00FE30C8" w:rsidRPr="00FE30C8">
        <w:rPr>
          <w:rFonts w:ascii="Times New Roman" w:eastAsia="Times New Roman" w:hAnsi="Times New Roman" w:cs="Times New Roman"/>
          <w:sz w:val="24"/>
          <w:szCs w:val="24"/>
        </w:rPr>
        <w:t xml:space="preserve"> if it has been clinically determined that the Veteran can be appropriately evaluated by a home sleep study.  The study’s results must be evaluated by a competent medical provider.  </w:t>
      </w:r>
    </w:p>
    <w:p w14:paraId="647305A5" w14:textId="77777777" w:rsidR="00FE30C8" w:rsidRPr="00FE30C8" w:rsidRDefault="00FE30C8" w:rsidP="00FE30C8">
      <w:pPr>
        <w:spacing w:after="0" w:line="240" w:lineRule="auto"/>
        <w:rPr>
          <w:rFonts w:ascii="Times New Roman" w:eastAsia="Times New Roman" w:hAnsi="Times New Roman" w:cs="Times New Roman"/>
          <w:sz w:val="24"/>
          <w:szCs w:val="24"/>
        </w:rPr>
      </w:pPr>
    </w:p>
    <w:p w14:paraId="647305A6" w14:textId="77777777" w:rsidR="00435A18" w:rsidRDefault="00FE30C8" w:rsidP="00FE30C8">
      <w:pPr>
        <w:spacing w:after="0" w:line="240" w:lineRule="auto"/>
        <w:rPr>
          <w:rFonts w:ascii="Times New Roman" w:eastAsia="Times New Roman" w:hAnsi="Times New Roman" w:cs="Times New Roman"/>
          <w:sz w:val="24"/>
          <w:szCs w:val="24"/>
        </w:rPr>
      </w:pPr>
      <w:r w:rsidRPr="00FE30C8">
        <w:rPr>
          <w:rFonts w:ascii="Times New Roman" w:eastAsia="Times New Roman" w:hAnsi="Times New Roman" w:cs="Times New Roman"/>
          <w:sz w:val="24"/>
          <w:szCs w:val="24"/>
        </w:rPr>
        <w:t xml:space="preserve">Receipt of medical evidence disclosing a diagnosis of sleep apnea without confirmation by a sleep study is sufficient to trigger the scheduling </w:t>
      </w:r>
      <w:r w:rsidR="00297316">
        <w:rPr>
          <w:rFonts w:ascii="Times New Roman" w:eastAsia="Times New Roman" w:hAnsi="Times New Roman" w:cs="Times New Roman"/>
          <w:sz w:val="24"/>
          <w:szCs w:val="24"/>
        </w:rPr>
        <w:t xml:space="preserve">of </w:t>
      </w:r>
      <w:r w:rsidRPr="00FE30C8">
        <w:rPr>
          <w:rFonts w:ascii="Times New Roman" w:eastAsia="Times New Roman" w:hAnsi="Times New Roman" w:cs="Times New Roman"/>
          <w:sz w:val="24"/>
          <w:szCs w:val="24"/>
        </w:rPr>
        <w:t xml:space="preserve">an examination if the other provisions of </w:t>
      </w:r>
    </w:p>
    <w:p w14:paraId="647305A7" w14:textId="77777777" w:rsidR="00FE30C8" w:rsidRPr="00FE30C8" w:rsidRDefault="00D9252B" w:rsidP="00FE30C8">
      <w:pPr>
        <w:spacing w:after="0" w:line="240" w:lineRule="auto"/>
        <w:rPr>
          <w:rFonts w:ascii="Times New Roman" w:eastAsia="Times New Roman" w:hAnsi="Times New Roman" w:cs="Times New Roman"/>
          <w:sz w:val="24"/>
          <w:szCs w:val="24"/>
        </w:rPr>
      </w:pPr>
      <w:hyperlink r:id="rId18" w:history="1">
        <w:r w:rsidR="00FE30C8" w:rsidRPr="00FE30C8">
          <w:rPr>
            <w:rFonts w:ascii="Times New Roman" w:eastAsia="Times New Roman" w:hAnsi="Times New Roman" w:cs="Times New Roman"/>
            <w:color w:val="0000FF"/>
            <w:sz w:val="24"/>
            <w:szCs w:val="24"/>
            <w:u w:val="single"/>
          </w:rPr>
          <w:t>38 C.F.R. § 3.159(c</w:t>
        </w:r>
        <w:proofErr w:type="gramStart"/>
        <w:r w:rsidR="00FE30C8" w:rsidRPr="00FE30C8">
          <w:rPr>
            <w:rFonts w:ascii="Times New Roman" w:eastAsia="Times New Roman" w:hAnsi="Times New Roman" w:cs="Times New Roman"/>
            <w:color w:val="0000FF"/>
            <w:sz w:val="24"/>
            <w:szCs w:val="24"/>
            <w:u w:val="single"/>
          </w:rPr>
          <w:t>)(</w:t>
        </w:r>
        <w:proofErr w:type="gramEnd"/>
        <w:r w:rsidR="00FE30C8" w:rsidRPr="00FE30C8">
          <w:rPr>
            <w:rFonts w:ascii="Times New Roman" w:eastAsia="Times New Roman" w:hAnsi="Times New Roman" w:cs="Times New Roman"/>
            <w:color w:val="0000FF"/>
            <w:sz w:val="24"/>
            <w:szCs w:val="24"/>
            <w:u w:val="single"/>
          </w:rPr>
          <w:t>4)</w:t>
        </w:r>
      </w:hyperlink>
      <w:r w:rsidR="00FE30C8" w:rsidRPr="00FE30C8">
        <w:rPr>
          <w:rFonts w:ascii="Times New Roman" w:eastAsia="Times New Roman" w:hAnsi="Times New Roman" w:cs="Times New Roman"/>
          <w:sz w:val="24"/>
          <w:szCs w:val="24"/>
        </w:rPr>
        <w:t xml:space="preserve"> have been sa</w:t>
      </w:r>
      <w:r w:rsidR="00297316">
        <w:rPr>
          <w:rFonts w:ascii="Times New Roman" w:eastAsia="Times New Roman" w:hAnsi="Times New Roman" w:cs="Times New Roman"/>
          <w:sz w:val="24"/>
          <w:szCs w:val="24"/>
        </w:rPr>
        <w:t>tisfied.  However, a diagnosis alone</w:t>
      </w:r>
      <w:r w:rsidR="00FE30C8" w:rsidRPr="00FE30C8">
        <w:rPr>
          <w:rFonts w:ascii="Times New Roman" w:eastAsia="Times New Roman" w:hAnsi="Times New Roman" w:cs="Times New Roman"/>
          <w:sz w:val="24"/>
          <w:szCs w:val="24"/>
        </w:rPr>
        <w:t xml:space="preserve"> is not sufficient to establish a grant of service connection for sleep apnea.  </w:t>
      </w:r>
    </w:p>
    <w:p w14:paraId="647305A8" w14:textId="77777777" w:rsidR="00ED4690" w:rsidRDefault="00ED4690" w:rsidP="00A57338">
      <w:pPr>
        <w:pStyle w:val="NoSpacing"/>
        <w:rPr>
          <w:rFonts w:ascii="Times New Roman" w:eastAsia="Times New Roman" w:hAnsi="Times New Roman" w:cs="Times New Roman"/>
          <w:sz w:val="24"/>
          <w:szCs w:val="24"/>
        </w:rPr>
      </w:pPr>
    </w:p>
    <w:p w14:paraId="647305A9" w14:textId="77777777" w:rsidR="00ED4690" w:rsidRPr="00ED4690" w:rsidRDefault="00ED4690" w:rsidP="00A57338">
      <w:pPr>
        <w:pStyle w:val="NoSpacing"/>
        <w:rPr>
          <w:rFonts w:ascii="Times New Roman" w:eastAsia="Times New Roman" w:hAnsi="Times New Roman" w:cs="Times New Roman"/>
          <w:sz w:val="24"/>
          <w:szCs w:val="24"/>
          <w:u w:val="single"/>
        </w:rPr>
      </w:pPr>
      <w:r w:rsidRPr="00ED4690">
        <w:rPr>
          <w:rFonts w:ascii="Times New Roman" w:eastAsia="Times New Roman" w:hAnsi="Times New Roman" w:cs="Times New Roman"/>
          <w:sz w:val="24"/>
          <w:szCs w:val="24"/>
          <w:u w:val="single"/>
        </w:rPr>
        <w:t xml:space="preserve">General Medical Examinations </w:t>
      </w:r>
      <w:r>
        <w:rPr>
          <w:rFonts w:ascii="Times New Roman" w:eastAsia="Times New Roman" w:hAnsi="Times New Roman" w:cs="Times New Roman"/>
          <w:sz w:val="24"/>
          <w:szCs w:val="24"/>
          <w:u w:val="single"/>
        </w:rPr>
        <w:t xml:space="preserve">are not </w:t>
      </w:r>
      <w:proofErr w:type="gramStart"/>
      <w:r>
        <w:rPr>
          <w:rFonts w:ascii="Times New Roman" w:eastAsia="Times New Roman" w:hAnsi="Times New Roman" w:cs="Times New Roman"/>
          <w:sz w:val="24"/>
          <w:szCs w:val="24"/>
          <w:u w:val="single"/>
        </w:rPr>
        <w:t>Required</w:t>
      </w:r>
      <w:proofErr w:type="gramEnd"/>
      <w:r>
        <w:rPr>
          <w:rFonts w:ascii="Times New Roman" w:eastAsia="Times New Roman" w:hAnsi="Times New Roman" w:cs="Times New Roman"/>
          <w:sz w:val="24"/>
          <w:szCs w:val="24"/>
          <w:u w:val="single"/>
        </w:rPr>
        <w:t xml:space="preserve"> for Claims for Individual Unemployability</w:t>
      </w:r>
    </w:p>
    <w:p w14:paraId="647305AA" w14:textId="77777777" w:rsidR="00652BA6" w:rsidRDefault="00652BA6" w:rsidP="00A57338">
      <w:pPr>
        <w:pStyle w:val="NoSpacing"/>
        <w:rPr>
          <w:rFonts w:ascii="Times New Roman" w:eastAsia="Times New Roman" w:hAnsi="Times New Roman" w:cs="Times New Roman"/>
          <w:sz w:val="24"/>
          <w:szCs w:val="24"/>
          <w:u w:val="single"/>
        </w:rPr>
      </w:pPr>
    </w:p>
    <w:p w14:paraId="647305AB" w14:textId="692AF3A9" w:rsidR="007D32A0" w:rsidRDefault="00D9252B" w:rsidP="00A57338">
      <w:pPr>
        <w:pStyle w:val="NoSpacing"/>
        <w:rPr>
          <w:rFonts w:ascii="Times New Roman" w:eastAsia="Times New Roman" w:hAnsi="Times New Roman" w:cs="Times New Roman"/>
          <w:sz w:val="24"/>
          <w:szCs w:val="24"/>
        </w:rPr>
      </w:pPr>
      <w:hyperlink r:id="rId19" w:history="1">
        <w:r w:rsidR="00B04905">
          <w:rPr>
            <w:rStyle w:val="Hyperlink"/>
            <w:rFonts w:ascii="Times New Roman" w:eastAsia="Times New Roman" w:hAnsi="Times New Roman" w:cs="Times New Roman"/>
            <w:sz w:val="24"/>
            <w:szCs w:val="24"/>
          </w:rPr>
          <w:t>TL</w:t>
        </w:r>
        <w:r w:rsidR="00A41BAB" w:rsidRPr="00776743">
          <w:rPr>
            <w:rStyle w:val="Hyperlink"/>
            <w:rFonts w:ascii="Times New Roman" w:eastAsia="Times New Roman" w:hAnsi="Times New Roman" w:cs="Times New Roman"/>
            <w:sz w:val="24"/>
            <w:szCs w:val="24"/>
          </w:rPr>
          <w:t xml:space="preserve"> 10-07</w:t>
        </w:r>
      </w:hyperlink>
      <w:r w:rsidR="00A41BAB">
        <w:rPr>
          <w:rFonts w:ascii="Times New Roman" w:eastAsia="Times New Roman" w:hAnsi="Times New Roman" w:cs="Times New Roman"/>
          <w:sz w:val="24"/>
          <w:szCs w:val="24"/>
        </w:rPr>
        <w:t xml:space="preserve"> provided guidance that a claim for Total Disability based on Individual Unemployability (TDIU) was</w:t>
      </w:r>
      <w:r w:rsidR="00C17273">
        <w:rPr>
          <w:rFonts w:ascii="Times New Roman" w:eastAsia="Times New Roman" w:hAnsi="Times New Roman" w:cs="Times New Roman"/>
          <w:sz w:val="24"/>
          <w:szCs w:val="24"/>
        </w:rPr>
        <w:t xml:space="preserve"> considered</w:t>
      </w:r>
      <w:r w:rsidR="00A41BAB">
        <w:rPr>
          <w:rFonts w:ascii="Times New Roman" w:eastAsia="Times New Roman" w:hAnsi="Times New Roman" w:cs="Times New Roman"/>
          <w:sz w:val="24"/>
          <w:szCs w:val="24"/>
        </w:rPr>
        <w:t xml:space="preserve"> a claim for increase in all service-connected disabilities</w:t>
      </w:r>
      <w:r w:rsidR="00FC1B4D">
        <w:rPr>
          <w:rFonts w:ascii="Times New Roman" w:eastAsia="Times New Roman" w:hAnsi="Times New Roman" w:cs="Times New Roman"/>
          <w:sz w:val="24"/>
          <w:szCs w:val="24"/>
        </w:rPr>
        <w:t xml:space="preserve"> </w:t>
      </w:r>
      <w:r w:rsidR="00C17273">
        <w:rPr>
          <w:rFonts w:ascii="Times New Roman" w:eastAsia="Times New Roman" w:hAnsi="Times New Roman" w:cs="Times New Roman"/>
          <w:sz w:val="24"/>
          <w:szCs w:val="24"/>
        </w:rPr>
        <w:lastRenderedPageBreak/>
        <w:t xml:space="preserve">unless TDIU was expressly claimed as being due to one or more specific disabilities.  </w:t>
      </w:r>
      <w:r w:rsidR="00A41BAB">
        <w:rPr>
          <w:rFonts w:ascii="Times New Roman" w:eastAsia="Times New Roman" w:hAnsi="Times New Roman" w:cs="Times New Roman"/>
          <w:sz w:val="24"/>
          <w:szCs w:val="24"/>
        </w:rPr>
        <w:t>T</w:t>
      </w:r>
      <w:r w:rsidR="00C17273">
        <w:rPr>
          <w:rFonts w:ascii="Times New Roman" w:eastAsia="Times New Roman" w:hAnsi="Times New Roman" w:cs="Times New Roman"/>
          <w:sz w:val="24"/>
          <w:szCs w:val="24"/>
        </w:rPr>
        <w:t>he TL indicated that a general m</w:t>
      </w:r>
      <w:r w:rsidR="00A41BAB">
        <w:rPr>
          <w:rFonts w:ascii="Times New Roman" w:eastAsia="Times New Roman" w:hAnsi="Times New Roman" w:cs="Times New Roman"/>
          <w:sz w:val="24"/>
          <w:szCs w:val="24"/>
        </w:rPr>
        <w:t>edical examination was required, with an opinion from the examiner regarding employability based on service-connected disabilities.  This guidance has been rescinded</w:t>
      </w:r>
      <w:r w:rsidR="00C17273">
        <w:rPr>
          <w:rFonts w:ascii="Times New Roman" w:eastAsia="Times New Roman" w:hAnsi="Times New Roman" w:cs="Times New Roman"/>
          <w:sz w:val="24"/>
          <w:szCs w:val="24"/>
        </w:rPr>
        <w:t xml:space="preserve"> by the</w:t>
      </w:r>
      <w:r w:rsidR="00454CBE">
        <w:rPr>
          <w:rFonts w:ascii="Times New Roman" w:eastAsia="Times New Roman" w:hAnsi="Times New Roman" w:cs="Times New Roman"/>
          <w:sz w:val="24"/>
          <w:szCs w:val="24"/>
        </w:rPr>
        <w:t xml:space="preserve"> new guidance provided in the </w:t>
      </w:r>
      <w:r w:rsidR="00FE30C8">
        <w:rPr>
          <w:rFonts w:ascii="Times New Roman" w:eastAsia="Times New Roman" w:hAnsi="Times New Roman" w:cs="Times New Roman"/>
          <w:sz w:val="24"/>
          <w:szCs w:val="24"/>
        </w:rPr>
        <w:t>Fast Letter 13-13</w:t>
      </w:r>
      <w:r w:rsidR="00C17273">
        <w:rPr>
          <w:rFonts w:ascii="Times New Roman" w:eastAsia="Times New Roman" w:hAnsi="Times New Roman" w:cs="Times New Roman"/>
          <w:sz w:val="24"/>
          <w:szCs w:val="24"/>
        </w:rPr>
        <w:t xml:space="preserve"> (</w:t>
      </w:r>
      <w:hyperlink r:id="rId20" w:history="1">
        <w:r w:rsidR="00C17273" w:rsidRPr="001C075A">
          <w:rPr>
            <w:rStyle w:val="Hyperlink"/>
            <w:rFonts w:ascii="Times New Roman" w:eastAsia="Times New Roman" w:hAnsi="Times New Roman" w:cs="Times New Roman"/>
            <w:sz w:val="24"/>
            <w:szCs w:val="24"/>
          </w:rPr>
          <w:t xml:space="preserve">FL </w:t>
        </w:r>
        <w:r w:rsidR="00C17273" w:rsidRPr="001C075A">
          <w:rPr>
            <w:rStyle w:val="Hyperlink"/>
            <w:rFonts w:ascii="Times New Roman" w:eastAsia="Times New Roman" w:hAnsi="Times New Roman" w:cs="Times New Roman"/>
            <w:sz w:val="24"/>
            <w:szCs w:val="24"/>
          </w:rPr>
          <w:t>1</w:t>
        </w:r>
        <w:r w:rsidR="00C17273" w:rsidRPr="001C075A">
          <w:rPr>
            <w:rStyle w:val="Hyperlink"/>
            <w:rFonts w:ascii="Times New Roman" w:eastAsia="Times New Roman" w:hAnsi="Times New Roman" w:cs="Times New Roman"/>
            <w:sz w:val="24"/>
            <w:szCs w:val="24"/>
          </w:rPr>
          <w:t>3-13</w:t>
        </w:r>
      </w:hyperlink>
      <w:r w:rsidR="00C17273">
        <w:rPr>
          <w:rFonts w:ascii="Times New Roman" w:eastAsia="Times New Roman" w:hAnsi="Times New Roman" w:cs="Times New Roman"/>
          <w:sz w:val="24"/>
          <w:szCs w:val="24"/>
        </w:rPr>
        <w:t>)</w:t>
      </w:r>
      <w:r w:rsidR="00FE30C8">
        <w:rPr>
          <w:rFonts w:ascii="Times New Roman" w:eastAsia="Times New Roman" w:hAnsi="Times New Roman" w:cs="Times New Roman"/>
          <w:sz w:val="24"/>
          <w:szCs w:val="24"/>
        </w:rPr>
        <w:t xml:space="preserve">.  </w:t>
      </w:r>
      <w:r w:rsidR="007B3751">
        <w:rPr>
          <w:rFonts w:ascii="Times New Roman" w:eastAsia="Times New Roman" w:hAnsi="Times New Roman" w:cs="Times New Roman"/>
          <w:sz w:val="24"/>
          <w:szCs w:val="24"/>
        </w:rPr>
        <w:t>U</w:t>
      </w:r>
      <w:r w:rsidR="00C17273">
        <w:rPr>
          <w:rFonts w:ascii="Times New Roman" w:eastAsia="Times New Roman" w:hAnsi="Times New Roman" w:cs="Times New Roman"/>
          <w:sz w:val="24"/>
          <w:szCs w:val="24"/>
        </w:rPr>
        <w:t>nder the current</w:t>
      </w:r>
      <w:r w:rsidR="00454CBE">
        <w:rPr>
          <w:rFonts w:ascii="Times New Roman" w:eastAsia="Times New Roman" w:hAnsi="Times New Roman" w:cs="Times New Roman"/>
          <w:sz w:val="24"/>
          <w:szCs w:val="24"/>
        </w:rPr>
        <w:t xml:space="preserve"> guidance, c</w:t>
      </w:r>
      <w:r w:rsidR="00A41BAB">
        <w:rPr>
          <w:rFonts w:ascii="Times New Roman" w:eastAsia="Times New Roman" w:hAnsi="Times New Roman" w:cs="Times New Roman"/>
          <w:sz w:val="24"/>
          <w:szCs w:val="24"/>
        </w:rPr>
        <w:t xml:space="preserve">laims for TDIU do not require a </w:t>
      </w:r>
      <w:r w:rsidR="00C17273">
        <w:rPr>
          <w:rFonts w:ascii="Times New Roman" w:eastAsia="Times New Roman" w:hAnsi="Times New Roman" w:cs="Times New Roman"/>
          <w:sz w:val="24"/>
          <w:szCs w:val="24"/>
        </w:rPr>
        <w:t>g</w:t>
      </w:r>
      <w:r w:rsidR="00A41BAB">
        <w:rPr>
          <w:rFonts w:ascii="Times New Roman" w:eastAsia="Times New Roman" w:hAnsi="Times New Roman" w:cs="Times New Roman"/>
          <w:sz w:val="24"/>
          <w:szCs w:val="24"/>
        </w:rPr>
        <w:t xml:space="preserve">eneral </w:t>
      </w:r>
      <w:r w:rsidR="00C17273">
        <w:rPr>
          <w:rFonts w:ascii="Times New Roman" w:eastAsia="Times New Roman" w:hAnsi="Times New Roman" w:cs="Times New Roman"/>
          <w:sz w:val="24"/>
          <w:szCs w:val="24"/>
        </w:rPr>
        <w:t>m</w:t>
      </w:r>
      <w:r w:rsidR="00A41BAB">
        <w:rPr>
          <w:rFonts w:ascii="Times New Roman" w:eastAsia="Times New Roman" w:hAnsi="Times New Roman" w:cs="Times New Roman"/>
          <w:sz w:val="24"/>
          <w:szCs w:val="24"/>
        </w:rPr>
        <w:t>edical examination</w:t>
      </w:r>
      <w:r w:rsidR="007B3751">
        <w:rPr>
          <w:rFonts w:ascii="Times New Roman" w:eastAsia="Times New Roman" w:hAnsi="Times New Roman" w:cs="Times New Roman"/>
          <w:sz w:val="24"/>
          <w:szCs w:val="24"/>
        </w:rPr>
        <w:t xml:space="preserve">, nor is VA required to address all </w:t>
      </w:r>
      <w:r w:rsidR="007574B8">
        <w:rPr>
          <w:rFonts w:ascii="Times New Roman" w:eastAsia="Times New Roman" w:hAnsi="Times New Roman" w:cs="Times New Roman"/>
          <w:sz w:val="24"/>
          <w:szCs w:val="24"/>
        </w:rPr>
        <w:t>service-connected disabilities</w:t>
      </w:r>
      <w:r w:rsidR="009D4B43">
        <w:rPr>
          <w:rFonts w:ascii="Times New Roman" w:eastAsia="Times New Roman" w:hAnsi="Times New Roman" w:cs="Times New Roman"/>
          <w:sz w:val="24"/>
          <w:szCs w:val="24"/>
        </w:rPr>
        <w:t>.</w:t>
      </w:r>
      <w:r w:rsidR="007574B8">
        <w:rPr>
          <w:rFonts w:ascii="Times New Roman" w:eastAsia="Times New Roman" w:hAnsi="Times New Roman" w:cs="Times New Roman"/>
          <w:sz w:val="24"/>
          <w:szCs w:val="24"/>
        </w:rPr>
        <w:t xml:space="preserve"> </w:t>
      </w:r>
      <w:r w:rsidR="009D4B43">
        <w:rPr>
          <w:rFonts w:ascii="Times New Roman" w:eastAsia="Times New Roman" w:hAnsi="Times New Roman" w:cs="Times New Roman"/>
          <w:sz w:val="24"/>
          <w:szCs w:val="24"/>
        </w:rPr>
        <w:t xml:space="preserve"> O</w:t>
      </w:r>
      <w:r w:rsidR="007574B8">
        <w:rPr>
          <w:rFonts w:ascii="Times New Roman" w:eastAsia="Times New Roman" w:hAnsi="Times New Roman" w:cs="Times New Roman"/>
          <w:sz w:val="24"/>
          <w:szCs w:val="24"/>
        </w:rPr>
        <w:t xml:space="preserve">nly the </w:t>
      </w:r>
      <w:r w:rsidR="00454CBE">
        <w:rPr>
          <w:rFonts w:ascii="Times New Roman" w:eastAsia="Times New Roman" w:hAnsi="Times New Roman" w:cs="Times New Roman"/>
          <w:sz w:val="24"/>
          <w:szCs w:val="24"/>
        </w:rPr>
        <w:t>disabilities</w:t>
      </w:r>
      <w:r w:rsidR="007574B8">
        <w:rPr>
          <w:rFonts w:ascii="Times New Roman" w:eastAsia="Times New Roman" w:hAnsi="Times New Roman" w:cs="Times New Roman"/>
          <w:sz w:val="24"/>
          <w:szCs w:val="24"/>
        </w:rPr>
        <w:t xml:space="preserve"> that the Veteran </w:t>
      </w:r>
      <w:r w:rsidR="007B3751">
        <w:rPr>
          <w:rFonts w:ascii="Times New Roman" w:eastAsia="Times New Roman" w:hAnsi="Times New Roman" w:cs="Times New Roman"/>
          <w:sz w:val="24"/>
          <w:szCs w:val="24"/>
        </w:rPr>
        <w:t>alleges are the cause of</w:t>
      </w:r>
      <w:r w:rsidR="007574B8">
        <w:rPr>
          <w:rFonts w:ascii="Times New Roman" w:eastAsia="Times New Roman" w:hAnsi="Times New Roman" w:cs="Times New Roman"/>
          <w:sz w:val="24"/>
          <w:szCs w:val="24"/>
        </w:rPr>
        <w:t xml:space="preserve"> </w:t>
      </w:r>
      <w:r w:rsidR="009D4B43">
        <w:rPr>
          <w:rFonts w:ascii="Times New Roman" w:eastAsia="Times New Roman" w:hAnsi="Times New Roman" w:cs="Times New Roman"/>
          <w:sz w:val="24"/>
          <w:szCs w:val="24"/>
        </w:rPr>
        <w:t xml:space="preserve">or are reasonably raised by the </w:t>
      </w:r>
      <w:r w:rsidR="007B3751">
        <w:rPr>
          <w:rFonts w:ascii="Times New Roman" w:eastAsia="Times New Roman" w:hAnsi="Times New Roman" w:cs="Times New Roman"/>
          <w:sz w:val="24"/>
          <w:szCs w:val="24"/>
        </w:rPr>
        <w:t xml:space="preserve">evidence of </w:t>
      </w:r>
      <w:r w:rsidR="009D4B43">
        <w:rPr>
          <w:rFonts w:ascii="Times New Roman" w:eastAsia="Times New Roman" w:hAnsi="Times New Roman" w:cs="Times New Roman"/>
          <w:sz w:val="24"/>
          <w:szCs w:val="24"/>
        </w:rPr>
        <w:t xml:space="preserve">record </w:t>
      </w:r>
      <w:r w:rsidR="007574B8">
        <w:rPr>
          <w:rFonts w:ascii="Times New Roman" w:eastAsia="Times New Roman" w:hAnsi="Times New Roman" w:cs="Times New Roman"/>
          <w:sz w:val="24"/>
          <w:szCs w:val="24"/>
        </w:rPr>
        <w:t>to have caused unemployability</w:t>
      </w:r>
      <w:r w:rsidR="00FC1B4D">
        <w:rPr>
          <w:rFonts w:ascii="Times New Roman" w:eastAsia="Times New Roman" w:hAnsi="Times New Roman" w:cs="Times New Roman"/>
          <w:sz w:val="24"/>
          <w:szCs w:val="24"/>
        </w:rPr>
        <w:t xml:space="preserve"> must be examined and addressed in the Rating Decision</w:t>
      </w:r>
      <w:r w:rsidR="007574B8">
        <w:rPr>
          <w:rFonts w:ascii="Times New Roman" w:eastAsia="Times New Roman" w:hAnsi="Times New Roman" w:cs="Times New Roman"/>
          <w:sz w:val="24"/>
          <w:szCs w:val="24"/>
        </w:rPr>
        <w:t xml:space="preserve">. </w:t>
      </w:r>
    </w:p>
    <w:p w14:paraId="647305AC" w14:textId="77777777" w:rsidR="00A41BAB" w:rsidRDefault="00A41BAB" w:rsidP="00A57338">
      <w:pPr>
        <w:pStyle w:val="NoSpacing"/>
        <w:rPr>
          <w:rFonts w:ascii="Times New Roman" w:eastAsia="Times New Roman" w:hAnsi="Times New Roman" w:cs="Times New Roman"/>
          <w:sz w:val="24"/>
          <w:szCs w:val="24"/>
        </w:rPr>
      </w:pPr>
    </w:p>
    <w:p w14:paraId="647305AD" w14:textId="77777777" w:rsidR="007D32A0" w:rsidRPr="00A41BAB" w:rsidRDefault="007D32A0" w:rsidP="00A57338">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 has the flexibility to request either condition-specific DBQs or a general medical DBQ when examinations are needed to decide the TDIU claim.  Do not order examinations for disabilities not alleged </w:t>
      </w:r>
      <w:r w:rsidR="0013691D">
        <w:rPr>
          <w:rFonts w:ascii="Times New Roman" w:eastAsia="Times New Roman" w:hAnsi="Times New Roman" w:cs="Times New Roman"/>
          <w:sz w:val="24"/>
          <w:szCs w:val="24"/>
        </w:rPr>
        <w:t xml:space="preserve">or </w:t>
      </w:r>
      <w:r w:rsidR="003A151E">
        <w:rPr>
          <w:rFonts w:ascii="Times New Roman" w:eastAsia="Times New Roman" w:hAnsi="Times New Roman" w:cs="Times New Roman"/>
          <w:sz w:val="24"/>
          <w:szCs w:val="24"/>
        </w:rPr>
        <w:t xml:space="preserve">reasonably raised by the record </w:t>
      </w:r>
      <w:r>
        <w:rPr>
          <w:rFonts w:ascii="Times New Roman" w:eastAsia="Times New Roman" w:hAnsi="Times New Roman" w:cs="Times New Roman"/>
          <w:sz w:val="24"/>
          <w:szCs w:val="24"/>
        </w:rPr>
        <w:t xml:space="preserve">to cause or contribute to unemployability.  Schedule a general medical examination only if the rating activity determines that it is needed to fairly and fully adjudicate the TDIU claim.  </w:t>
      </w:r>
    </w:p>
    <w:p w14:paraId="647305AE" w14:textId="77777777" w:rsidR="00652BA6" w:rsidRDefault="00652BA6" w:rsidP="00A57338">
      <w:pPr>
        <w:pStyle w:val="NoSpacing"/>
        <w:rPr>
          <w:rFonts w:ascii="Times New Roman" w:eastAsia="Times New Roman" w:hAnsi="Times New Roman" w:cs="Times New Roman"/>
          <w:sz w:val="24"/>
          <w:szCs w:val="24"/>
          <w:u w:val="single"/>
        </w:rPr>
      </w:pPr>
    </w:p>
    <w:p w14:paraId="647305AF" w14:textId="77777777" w:rsidR="005339C5" w:rsidRPr="00A57338" w:rsidRDefault="005339C5" w:rsidP="00A57338">
      <w:pPr>
        <w:pStyle w:val="NoSpacing"/>
        <w:rPr>
          <w:rFonts w:ascii="Times New Roman" w:eastAsia="Times New Roman" w:hAnsi="Times New Roman" w:cs="Times New Roman"/>
          <w:b/>
          <w:bCs/>
          <w:iCs/>
          <w:sz w:val="24"/>
          <w:szCs w:val="24"/>
        </w:rPr>
      </w:pPr>
      <w:r w:rsidRPr="00A57338">
        <w:rPr>
          <w:rFonts w:ascii="Times New Roman" w:eastAsia="Times New Roman" w:hAnsi="Times New Roman" w:cs="Times New Roman"/>
          <w:b/>
          <w:bCs/>
          <w:iCs/>
          <w:sz w:val="24"/>
          <w:szCs w:val="24"/>
        </w:rPr>
        <w:t>Questions</w:t>
      </w:r>
    </w:p>
    <w:p w14:paraId="647305B0" w14:textId="77777777" w:rsidR="005339C5" w:rsidRPr="00A57338" w:rsidRDefault="005339C5" w:rsidP="00A57338">
      <w:pPr>
        <w:pStyle w:val="NoSpacing"/>
        <w:rPr>
          <w:rFonts w:ascii="Times New Roman" w:eastAsia="Times New Roman" w:hAnsi="Times New Roman" w:cs="Times New Roman"/>
          <w:sz w:val="24"/>
          <w:szCs w:val="24"/>
        </w:rPr>
      </w:pPr>
    </w:p>
    <w:p w14:paraId="15F5E29F" w14:textId="1E763E5C" w:rsidR="006803FA" w:rsidRPr="008E184C" w:rsidRDefault="006803FA" w:rsidP="006803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w:t>
      </w:r>
      <w:r w:rsidR="00015A82">
        <w:rPr>
          <w:rFonts w:ascii="Times New Roman" w:eastAsia="Times New Roman" w:hAnsi="Times New Roman" w:cs="Times New Roman"/>
          <w:sz w:val="24"/>
          <w:szCs w:val="24"/>
        </w:rPr>
        <w:t>it questions regarding this training</w:t>
      </w:r>
      <w:r>
        <w:rPr>
          <w:rFonts w:ascii="Times New Roman" w:eastAsia="Times New Roman" w:hAnsi="Times New Roman" w:cs="Times New Roman"/>
          <w:sz w:val="24"/>
          <w:szCs w:val="24"/>
        </w:rPr>
        <w:t xml:space="preserve"> letter to the Veterans Service Center Manager mailbox and email to </w:t>
      </w:r>
      <w:hyperlink r:id="rId21" w:history="1">
        <w:r w:rsidRPr="001C075A">
          <w:rPr>
            <w:rStyle w:val="Hyperlink"/>
            <w:rFonts w:ascii="Times New Roman" w:eastAsia="Times New Roman" w:hAnsi="Times New Roman" w:cs="Times New Roman"/>
            <w:sz w:val="24"/>
            <w:szCs w:val="24"/>
          </w:rPr>
          <w:t>VAVBAWAS/</w:t>
        </w:r>
        <w:r w:rsidRPr="001C075A">
          <w:rPr>
            <w:rStyle w:val="Hyperlink"/>
            <w:rFonts w:ascii="Times New Roman" w:eastAsia="Times New Roman" w:hAnsi="Times New Roman" w:cs="Times New Roman"/>
            <w:sz w:val="24"/>
            <w:szCs w:val="24"/>
          </w:rPr>
          <w:t>C</w:t>
        </w:r>
        <w:r w:rsidRPr="001C075A">
          <w:rPr>
            <w:rStyle w:val="Hyperlink"/>
            <w:rFonts w:ascii="Times New Roman" w:eastAsia="Times New Roman" w:hAnsi="Times New Roman" w:cs="Times New Roman"/>
            <w:sz w:val="24"/>
            <w:szCs w:val="24"/>
          </w:rPr>
          <w:t>O/21Q&amp;A</w:t>
        </w:r>
      </w:hyperlink>
      <w:r w:rsidRPr="008E184C">
        <w:rPr>
          <w:rFonts w:ascii="Times New Roman" w:eastAsia="Times New Roman" w:hAnsi="Times New Roman" w:cs="Times New Roman"/>
          <w:sz w:val="24"/>
          <w:szCs w:val="24"/>
        </w:rPr>
        <w:t>.</w:t>
      </w:r>
    </w:p>
    <w:p w14:paraId="647305B2" w14:textId="77777777" w:rsidR="005339C5" w:rsidRDefault="005339C5" w:rsidP="00A57338">
      <w:pPr>
        <w:pStyle w:val="NoSpacing"/>
        <w:rPr>
          <w:rFonts w:ascii="Times New Roman" w:eastAsia="Times New Roman" w:hAnsi="Times New Roman" w:cs="Times New Roman"/>
          <w:sz w:val="24"/>
          <w:szCs w:val="24"/>
        </w:rPr>
      </w:pPr>
    </w:p>
    <w:p w14:paraId="647305B3" w14:textId="77777777" w:rsidR="007A2199" w:rsidRDefault="007A2199" w:rsidP="00A57338">
      <w:pPr>
        <w:pStyle w:val="NoSpacing"/>
        <w:rPr>
          <w:rFonts w:ascii="Times New Roman" w:eastAsia="Times New Roman" w:hAnsi="Times New Roman" w:cs="Times New Roman"/>
          <w:sz w:val="24"/>
          <w:szCs w:val="24"/>
        </w:rPr>
      </w:pPr>
    </w:p>
    <w:p w14:paraId="647305B4" w14:textId="77777777" w:rsidR="007A2199" w:rsidRPr="00A57338" w:rsidRDefault="007A2199" w:rsidP="00A57338">
      <w:pPr>
        <w:pStyle w:val="NoSpacing"/>
        <w:rPr>
          <w:rFonts w:ascii="Times New Roman" w:eastAsia="Times New Roman" w:hAnsi="Times New Roman" w:cs="Times New Roman"/>
          <w:sz w:val="24"/>
          <w:szCs w:val="24"/>
        </w:rPr>
      </w:pPr>
    </w:p>
    <w:p w14:paraId="647305B5" w14:textId="77777777" w:rsidR="005339C5" w:rsidRPr="00A57338" w:rsidRDefault="005339C5" w:rsidP="00A57338">
      <w:pPr>
        <w:pStyle w:val="NoSpacing"/>
        <w:rPr>
          <w:rFonts w:ascii="Times New Roman" w:eastAsia="Times New Roman" w:hAnsi="Times New Roman" w:cs="Times New Roman"/>
          <w:sz w:val="24"/>
          <w:szCs w:val="24"/>
        </w:rPr>
      </w:pP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p>
    <w:p w14:paraId="647305B6" w14:textId="0AE7423A" w:rsidR="005339C5" w:rsidRDefault="005339C5" w:rsidP="00A57338">
      <w:pPr>
        <w:pStyle w:val="NoSpacing"/>
        <w:rPr>
          <w:rFonts w:ascii="Times New Roman" w:eastAsia="Times New Roman" w:hAnsi="Times New Roman" w:cs="Times New Roman"/>
          <w:sz w:val="24"/>
          <w:szCs w:val="24"/>
        </w:rPr>
      </w:pP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00627CAA">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/S/</w:t>
      </w:r>
    </w:p>
    <w:p w14:paraId="64E46AD5" w14:textId="77777777" w:rsidR="00627CAA" w:rsidRPr="00A57338" w:rsidRDefault="00627CAA" w:rsidP="00A57338">
      <w:pPr>
        <w:pStyle w:val="NoSpacing"/>
        <w:rPr>
          <w:rFonts w:ascii="Times New Roman" w:eastAsia="Times New Roman" w:hAnsi="Times New Roman" w:cs="Times New Roman"/>
          <w:sz w:val="24"/>
          <w:szCs w:val="24"/>
        </w:rPr>
      </w:pPr>
    </w:p>
    <w:p w14:paraId="647305B7" w14:textId="77777777" w:rsidR="005339C5" w:rsidRPr="00A57338" w:rsidRDefault="005339C5" w:rsidP="00A57338">
      <w:pPr>
        <w:pStyle w:val="NoSpacing"/>
        <w:rPr>
          <w:rFonts w:ascii="Times New Roman" w:eastAsia="Times New Roman" w:hAnsi="Times New Roman" w:cs="Times New Roman"/>
          <w:sz w:val="24"/>
          <w:szCs w:val="24"/>
        </w:rPr>
      </w:pP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t>Thomas J. Murphy</w:t>
      </w:r>
    </w:p>
    <w:p w14:paraId="647305B8" w14:textId="77777777" w:rsidR="005339C5" w:rsidRPr="00A57338" w:rsidRDefault="005339C5" w:rsidP="00A57338">
      <w:pPr>
        <w:pStyle w:val="NoSpacing"/>
        <w:rPr>
          <w:rFonts w:ascii="Times New Roman" w:eastAsia="Times New Roman" w:hAnsi="Times New Roman" w:cs="Times New Roman"/>
          <w:sz w:val="24"/>
          <w:szCs w:val="24"/>
        </w:rPr>
      </w:pP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t>Director</w:t>
      </w:r>
    </w:p>
    <w:p w14:paraId="647305B9" w14:textId="77777777" w:rsidR="00A3194C" w:rsidRPr="00A57338" w:rsidRDefault="005339C5" w:rsidP="00A57338">
      <w:pPr>
        <w:pStyle w:val="NoSpacing"/>
        <w:rPr>
          <w:rFonts w:ascii="Times New Roman" w:eastAsia="Times New Roman" w:hAnsi="Times New Roman" w:cs="Times New Roman"/>
          <w:sz w:val="24"/>
          <w:szCs w:val="24"/>
        </w:rPr>
      </w:pP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r>
      <w:r w:rsidRPr="00A57338">
        <w:rPr>
          <w:rFonts w:ascii="Times New Roman" w:eastAsia="Times New Roman" w:hAnsi="Times New Roman" w:cs="Times New Roman"/>
          <w:sz w:val="24"/>
          <w:szCs w:val="24"/>
        </w:rPr>
        <w:tab/>
        <w:t>Compensation Service</w:t>
      </w:r>
    </w:p>
    <w:sectPr w:rsidR="00A3194C" w:rsidRPr="00A57338" w:rsidSect="00435A18">
      <w:head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66BF6" w14:textId="77777777" w:rsidR="00D9252B" w:rsidRDefault="00D9252B" w:rsidP="00C71687">
      <w:pPr>
        <w:spacing w:after="0" w:line="240" w:lineRule="auto"/>
      </w:pPr>
      <w:r>
        <w:separator/>
      </w:r>
    </w:p>
  </w:endnote>
  <w:endnote w:type="continuationSeparator" w:id="0">
    <w:p w14:paraId="68ECA9A5" w14:textId="77777777" w:rsidR="00D9252B" w:rsidRDefault="00D9252B" w:rsidP="00C7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E6836" w14:textId="77777777" w:rsidR="00D9252B" w:rsidRDefault="00D9252B" w:rsidP="00C71687">
      <w:pPr>
        <w:spacing w:after="0" w:line="240" w:lineRule="auto"/>
      </w:pPr>
      <w:r>
        <w:separator/>
      </w:r>
    </w:p>
  </w:footnote>
  <w:footnote w:type="continuationSeparator" w:id="0">
    <w:p w14:paraId="1889BCC2" w14:textId="77777777" w:rsidR="00D9252B" w:rsidRDefault="00D9252B" w:rsidP="00C71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305C0" w14:textId="77777777" w:rsidR="00435A18" w:rsidRPr="00F07637" w:rsidRDefault="00435A1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BDF"/>
    <w:multiLevelType w:val="hybridMultilevel"/>
    <w:tmpl w:val="554EF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653C1"/>
    <w:multiLevelType w:val="hybridMultilevel"/>
    <w:tmpl w:val="C04C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B2563"/>
    <w:multiLevelType w:val="hybridMultilevel"/>
    <w:tmpl w:val="11A2F9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521623F"/>
    <w:multiLevelType w:val="hybridMultilevel"/>
    <w:tmpl w:val="4EB264FC"/>
    <w:lvl w:ilvl="0" w:tplc="54F24780">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24C1B55"/>
    <w:multiLevelType w:val="hybridMultilevel"/>
    <w:tmpl w:val="2EEA3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041AB3"/>
    <w:multiLevelType w:val="hybridMultilevel"/>
    <w:tmpl w:val="1110D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51311DC6"/>
    <w:multiLevelType w:val="hybridMultilevel"/>
    <w:tmpl w:val="C8944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60FB4D1C"/>
    <w:multiLevelType w:val="hybridMultilevel"/>
    <w:tmpl w:val="A2340C7E"/>
    <w:lvl w:ilvl="0" w:tplc="04090001">
      <w:start w:val="3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93620"/>
    <w:multiLevelType w:val="hybridMultilevel"/>
    <w:tmpl w:val="FA727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2"/>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C5"/>
    <w:rsid w:val="00005492"/>
    <w:rsid w:val="00006832"/>
    <w:rsid w:val="0000765D"/>
    <w:rsid w:val="00015A82"/>
    <w:rsid w:val="00027120"/>
    <w:rsid w:val="00036A32"/>
    <w:rsid w:val="0004077F"/>
    <w:rsid w:val="00043F0D"/>
    <w:rsid w:val="00052774"/>
    <w:rsid w:val="00076E86"/>
    <w:rsid w:val="00077F04"/>
    <w:rsid w:val="000A26FA"/>
    <w:rsid w:val="000B108A"/>
    <w:rsid w:val="000C2EB7"/>
    <w:rsid w:val="000D5BA7"/>
    <w:rsid w:val="000E5124"/>
    <w:rsid w:val="0013691D"/>
    <w:rsid w:val="0014789F"/>
    <w:rsid w:val="001539E5"/>
    <w:rsid w:val="00174B32"/>
    <w:rsid w:val="001A33E9"/>
    <w:rsid w:val="001C075A"/>
    <w:rsid w:val="001C255E"/>
    <w:rsid w:val="00234902"/>
    <w:rsid w:val="00242070"/>
    <w:rsid w:val="00262428"/>
    <w:rsid w:val="002668A2"/>
    <w:rsid w:val="00297316"/>
    <w:rsid w:val="002D25D8"/>
    <w:rsid w:val="002D2D71"/>
    <w:rsid w:val="002D3A74"/>
    <w:rsid w:val="002F17B0"/>
    <w:rsid w:val="002F6ECA"/>
    <w:rsid w:val="0031563F"/>
    <w:rsid w:val="00331D8F"/>
    <w:rsid w:val="003572F6"/>
    <w:rsid w:val="00385796"/>
    <w:rsid w:val="003A151E"/>
    <w:rsid w:val="003A66AD"/>
    <w:rsid w:val="003B643A"/>
    <w:rsid w:val="00414102"/>
    <w:rsid w:val="00435A18"/>
    <w:rsid w:val="00443F1B"/>
    <w:rsid w:val="00445430"/>
    <w:rsid w:val="00454CBE"/>
    <w:rsid w:val="00485A18"/>
    <w:rsid w:val="004D13F8"/>
    <w:rsid w:val="00501A35"/>
    <w:rsid w:val="005025E3"/>
    <w:rsid w:val="00513FE2"/>
    <w:rsid w:val="005339C5"/>
    <w:rsid w:val="005401AC"/>
    <w:rsid w:val="00584371"/>
    <w:rsid w:val="005951E7"/>
    <w:rsid w:val="005B0898"/>
    <w:rsid w:val="005B33B0"/>
    <w:rsid w:val="005D56F5"/>
    <w:rsid w:val="006026CD"/>
    <w:rsid w:val="00610D28"/>
    <w:rsid w:val="00627CAA"/>
    <w:rsid w:val="00652BA6"/>
    <w:rsid w:val="00665ED8"/>
    <w:rsid w:val="00676088"/>
    <w:rsid w:val="006803FA"/>
    <w:rsid w:val="006812D5"/>
    <w:rsid w:val="006949E1"/>
    <w:rsid w:val="006C17E4"/>
    <w:rsid w:val="006D4850"/>
    <w:rsid w:val="006D529C"/>
    <w:rsid w:val="00707D6D"/>
    <w:rsid w:val="00711FF3"/>
    <w:rsid w:val="007218E6"/>
    <w:rsid w:val="007246CF"/>
    <w:rsid w:val="00726666"/>
    <w:rsid w:val="007574B8"/>
    <w:rsid w:val="00770A78"/>
    <w:rsid w:val="00776743"/>
    <w:rsid w:val="007A2199"/>
    <w:rsid w:val="007B3751"/>
    <w:rsid w:val="007B5AF6"/>
    <w:rsid w:val="007B6673"/>
    <w:rsid w:val="007D32A0"/>
    <w:rsid w:val="007E6F51"/>
    <w:rsid w:val="00814E21"/>
    <w:rsid w:val="00825494"/>
    <w:rsid w:val="00836C12"/>
    <w:rsid w:val="0084378C"/>
    <w:rsid w:val="00884D00"/>
    <w:rsid w:val="008B48B8"/>
    <w:rsid w:val="008C1693"/>
    <w:rsid w:val="008D3F19"/>
    <w:rsid w:val="009037E8"/>
    <w:rsid w:val="00930E7A"/>
    <w:rsid w:val="00962059"/>
    <w:rsid w:val="009C77D6"/>
    <w:rsid w:val="009D4B43"/>
    <w:rsid w:val="00A22627"/>
    <w:rsid w:val="00A3194C"/>
    <w:rsid w:val="00A3697E"/>
    <w:rsid w:val="00A41BAB"/>
    <w:rsid w:val="00A57338"/>
    <w:rsid w:val="00A67214"/>
    <w:rsid w:val="00A93562"/>
    <w:rsid w:val="00AC45D3"/>
    <w:rsid w:val="00AC4A92"/>
    <w:rsid w:val="00AF2681"/>
    <w:rsid w:val="00B04905"/>
    <w:rsid w:val="00B22645"/>
    <w:rsid w:val="00B241A5"/>
    <w:rsid w:val="00B47768"/>
    <w:rsid w:val="00B53558"/>
    <w:rsid w:val="00BA39DC"/>
    <w:rsid w:val="00BB41B2"/>
    <w:rsid w:val="00BB4BAD"/>
    <w:rsid w:val="00BF7E9B"/>
    <w:rsid w:val="00C17273"/>
    <w:rsid w:val="00C21A35"/>
    <w:rsid w:val="00C21AD1"/>
    <w:rsid w:val="00C3593B"/>
    <w:rsid w:val="00C4139E"/>
    <w:rsid w:val="00C446FD"/>
    <w:rsid w:val="00C71687"/>
    <w:rsid w:val="00C754BE"/>
    <w:rsid w:val="00C837B0"/>
    <w:rsid w:val="00C84D1E"/>
    <w:rsid w:val="00C96FF6"/>
    <w:rsid w:val="00CA2379"/>
    <w:rsid w:val="00D00591"/>
    <w:rsid w:val="00D539E4"/>
    <w:rsid w:val="00D56936"/>
    <w:rsid w:val="00D668FA"/>
    <w:rsid w:val="00D861DA"/>
    <w:rsid w:val="00D9252B"/>
    <w:rsid w:val="00D9290F"/>
    <w:rsid w:val="00DA0D1E"/>
    <w:rsid w:val="00DA1A2C"/>
    <w:rsid w:val="00DD0ADB"/>
    <w:rsid w:val="00DD6D01"/>
    <w:rsid w:val="00DD6D36"/>
    <w:rsid w:val="00E01AF8"/>
    <w:rsid w:val="00E55BD4"/>
    <w:rsid w:val="00E64A24"/>
    <w:rsid w:val="00E6554B"/>
    <w:rsid w:val="00E76E4C"/>
    <w:rsid w:val="00E8446B"/>
    <w:rsid w:val="00EB32C2"/>
    <w:rsid w:val="00EB5EC3"/>
    <w:rsid w:val="00EC528C"/>
    <w:rsid w:val="00ED4690"/>
    <w:rsid w:val="00ED4D57"/>
    <w:rsid w:val="00ED64A5"/>
    <w:rsid w:val="00EF60B1"/>
    <w:rsid w:val="00F07637"/>
    <w:rsid w:val="00F56A72"/>
    <w:rsid w:val="00F65B3F"/>
    <w:rsid w:val="00F92C91"/>
    <w:rsid w:val="00FC1B4D"/>
    <w:rsid w:val="00FE2CBF"/>
    <w:rsid w:val="00FE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5339C5"/>
    <w:rPr>
      <w:sz w:val="16"/>
      <w:szCs w:val="16"/>
    </w:rPr>
  </w:style>
  <w:style w:type="paragraph" w:styleId="CommentText">
    <w:name w:val="annotation text"/>
    <w:basedOn w:val="Normal"/>
    <w:link w:val="CommentTextChar"/>
    <w:semiHidden/>
    <w:unhideWhenUsed/>
    <w:rsid w:val="005339C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339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9C5"/>
    <w:rPr>
      <w:rFonts w:ascii="Tahoma" w:hAnsi="Tahoma" w:cs="Tahoma"/>
      <w:sz w:val="16"/>
      <w:szCs w:val="16"/>
    </w:rPr>
  </w:style>
  <w:style w:type="character" w:styleId="Hyperlink">
    <w:name w:val="Hyperlink"/>
    <w:basedOn w:val="DefaultParagraphFont"/>
    <w:uiPriority w:val="99"/>
    <w:unhideWhenUsed/>
    <w:rsid w:val="0031563F"/>
    <w:rPr>
      <w:color w:val="0000FF" w:themeColor="hyperlink"/>
      <w:u w:val="single"/>
    </w:rPr>
  </w:style>
  <w:style w:type="paragraph" w:styleId="Header">
    <w:name w:val="header"/>
    <w:basedOn w:val="Normal"/>
    <w:link w:val="HeaderChar"/>
    <w:uiPriority w:val="99"/>
    <w:unhideWhenUsed/>
    <w:rsid w:val="00C71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687"/>
  </w:style>
  <w:style w:type="paragraph" w:styleId="Footer">
    <w:name w:val="footer"/>
    <w:basedOn w:val="Normal"/>
    <w:link w:val="FooterChar"/>
    <w:uiPriority w:val="99"/>
    <w:unhideWhenUsed/>
    <w:rsid w:val="00C71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687"/>
  </w:style>
  <w:style w:type="paragraph" w:styleId="ListParagraph">
    <w:name w:val="List Paragraph"/>
    <w:basedOn w:val="Normal"/>
    <w:uiPriority w:val="34"/>
    <w:qFormat/>
    <w:rsid w:val="00D539E4"/>
    <w:pPr>
      <w:ind w:left="720"/>
      <w:contextualSpacing/>
    </w:pPr>
  </w:style>
  <w:style w:type="paragraph" w:styleId="NormalWeb">
    <w:name w:val="Normal (Web)"/>
    <w:basedOn w:val="Normal"/>
    <w:uiPriority w:val="99"/>
    <w:semiHidden/>
    <w:unhideWhenUsed/>
    <w:rsid w:val="0000765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6554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F268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2681"/>
    <w:rPr>
      <w:rFonts w:ascii="Times New Roman" w:eastAsia="Times New Roman" w:hAnsi="Times New Roman" w:cs="Times New Roman"/>
      <w:b/>
      <w:bCs/>
      <w:sz w:val="20"/>
      <w:szCs w:val="20"/>
    </w:rPr>
  </w:style>
  <w:style w:type="table" w:styleId="TableGrid">
    <w:name w:val="Table Grid"/>
    <w:basedOn w:val="TableNormal"/>
    <w:uiPriority w:val="59"/>
    <w:rsid w:val="003B6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573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5339C5"/>
    <w:rPr>
      <w:sz w:val="16"/>
      <w:szCs w:val="16"/>
    </w:rPr>
  </w:style>
  <w:style w:type="paragraph" w:styleId="CommentText">
    <w:name w:val="annotation text"/>
    <w:basedOn w:val="Normal"/>
    <w:link w:val="CommentTextChar"/>
    <w:semiHidden/>
    <w:unhideWhenUsed/>
    <w:rsid w:val="005339C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339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9C5"/>
    <w:rPr>
      <w:rFonts w:ascii="Tahoma" w:hAnsi="Tahoma" w:cs="Tahoma"/>
      <w:sz w:val="16"/>
      <w:szCs w:val="16"/>
    </w:rPr>
  </w:style>
  <w:style w:type="character" w:styleId="Hyperlink">
    <w:name w:val="Hyperlink"/>
    <w:basedOn w:val="DefaultParagraphFont"/>
    <w:uiPriority w:val="99"/>
    <w:unhideWhenUsed/>
    <w:rsid w:val="0031563F"/>
    <w:rPr>
      <w:color w:val="0000FF" w:themeColor="hyperlink"/>
      <w:u w:val="single"/>
    </w:rPr>
  </w:style>
  <w:style w:type="paragraph" w:styleId="Header">
    <w:name w:val="header"/>
    <w:basedOn w:val="Normal"/>
    <w:link w:val="HeaderChar"/>
    <w:uiPriority w:val="99"/>
    <w:unhideWhenUsed/>
    <w:rsid w:val="00C71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687"/>
  </w:style>
  <w:style w:type="paragraph" w:styleId="Footer">
    <w:name w:val="footer"/>
    <w:basedOn w:val="Normal"/>
    <w:link w:val="FooterChar"/>
    <w:uiPriority w:val="99"/>
    <w:unhideWhenUsed/>
    <w:rsid w:val="00C71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687"/>
  </w:style>
  <w:style w:type="paragraph" w:styleId="ListParagraph">
    <w:name w:val="List Paragraph"/>
    <w:basedOn w:val="Normal"/>
    <w:uiPriority w:val="34"/>
    <w:qFormat/>
    <w:rsid w:val="00D539E4"/>
    <w:pPr>
      <w:ind w:left="720"/>
      <w:contextualSpacing/>
    </w:pPr>
  </w:style>
  <w:style w:type="paragraph" w:styleId="NormalWeb">
    <w:name w:val="Normal (Web)"/>
    <w:basedOn w:val="Normal"/>
    <w:uiPriority w:val="99"/>
    <w:semiHidden/>
    <w:unhideWhenUsed/>
    <w:rsid w:val="0000765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6554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F268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2681"/>
    <w:rPr>
      <w:rFonts w:ascii="Times New Roman" w:eastAsia="Times New Roman" w:hAnsi="Times New Roman" w:cs="Times New Roman"/>
      <w:b/>
      <w:bCs/>
      <w:sz w:val="20"/>
      <w:szCs w:val="20"/>
    </w:rPr>
  </w:style>
  <w:style w:type="table" w:styleId="TableGrid">
    <w:name w:val="Table Grid"/>
    <w:basedOn w:val="TableNormal"/>
    <w:uiPriority w:val="59"/>
    <w:rsid w:val="003B6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57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6826">
      <w:bodyDiv w:val="1"/>
      <w:marLeft w:val="0"/>
      <w:marRight w:val="0"/>
      <w:marTop w:val="0"/>
      <w:marBottom w:val="0"/>
      <w:divBdr>
        <w:top w:val="none" w:sz="0" w:space="0" w:color="auto"/>
        <w:left w:val="none" w:sz="0" w:space="0" w:color="auto"/>
        <w:bottom w:val="none" w:sz="0" w:space="0" w:color="auto"/>
        <w:right w:val="none" w:sz="0" w:space="0" w:color="auto"/>
      </w:divBdr>
    </w:div>
    <w:div w:id="863910190">
      <w:bodyDiv w:val="1"/>
      <w:marLeft w:val="0"/>
      <w:marRight w:val="0"/>
      <w:marTop w:val="0"/>
      <w:marBottom w:val="0"/>
      <w:divBdr>
        <w:top w:val="none" w:sz="0" w:space="0" w:color="auto"/>
        <w:left w:val="none" w:sz="0" w:space="0" w:color="auto"/>
        <w:bottom w:val="none" w:sz="0" w:space="0" w:color="auto"/>
        <w:right w:val="none" w:sz="0" w:space="0" w:color="auto"/>
      </w:divBdr>
    </w:div>
    <w:div w:id="894269230">
      <w:bodyDiv w:val="1"/>
      <w:marLeft w:val="0"/>
      <w:marRight w:val="0"/>
      <w:marTop w:val="0"/>
      <w:marBottom w:val="0"/>
      <w:divBdr>
        <w:top w:val="none" w:sz="0" w:space="0" w:color="auto"/>
        <w:left w:val="none" w:sz="0" w:space="0" w:color="auto"/>
        <w:bottom w:val="none" w:sz="0" w:space="0" w:color="auto"/>
        <w:right w:val="none" w:sz="0" w:space="0" w:color="auto"/>
      </w:divBdr>
    </w:div>
    <w:div w:id="1067610645">
      <w:bodyDiv w:val="1"/>
      <w:marLeft w:val="0"/>
      <w:marRight w:val="0"/>
      <w:marTop w:val="0"/>
      <w:marBottom w:val="0"/>
      <w:divBdr>
        <w:top w:val="none" w:sz="0" w:space="0" w:color="auto"/>
        <w:left w:val="none" w:sz="0" w:space="0" w:color="auto"/>
        <w:bottom w:val="none" w:sz="0" w:space="0" w:color="auto"/>
        <w:right w:val="none" w:sz="0" w:space="0" w:color="auto"/>
      </w:divBdr>
    </w:div>
    <w:div w:id="1440443104">
      <w:bodyDiv w:val="1"/>
      <w:marLeft w:val="0"/>
      <w:marRight w:val="0"/>
      <w:marTop w:val="0"/>
      <w:marBottom w:val="0"/>
      <w:divBdr>
        <w:top w:val="none" w:sz="0" w:space="0" w:color="auto"/>
        <w:left w:val="none" w:sz="0" w:space="0" w:color="auto"/>
        <w:bottom w:val="none" w:sz="0" w:space="0" w:color="auto"/>
        <w:right w:val="none" w:sz="0" w:space="0" w:color="auto"/>
      </w:divBdr>
    </w:div>
    <w:div w:id="1590656128">
      <w:bodyDiv w:val="1"/>
      <w:marLeft w:val="0"/>
      <w:marRight w:val="0"/>
      <w:marTop w:val="0"/>
      <w:marBottom w:val="0"/>
      <w:divBdr>
        <w:top w:val="none" w:sz="0" w:space="0" w:color="auto"/>
        <w:left w:val="none" w:sz="0" w:space="0" w:color="auto"/>
        <w:bottom w:val="none" w:sz="0" w:space="0" w:color="auto"/>
        <w:right w:val="none" w:sz="0" w:space="0" w:color="auto"/>
      </w:divBdr>
    </w:div>
    <w:div w:id="1635478221">
      <w:bodyDiv w:val="1"/>
      <w:marLeft w:val="0"/>
      <w:marRight w:val="0"/>
      <w:marTop w:val="0"/>
      <w:marBottom w:val="0"/>
      <w:divBdr>
        <w:top w:val="none" w:sz="0" w:space="0" w:color="auto"/>
        <w:left w:val="none" w:sz="0" w:space="0" w:color="auto"/>
        <w:bottom w:val="none" w:sz="0" w:space="0" w:color="auto"/>
        <w:right w:val="none" w:sz="0" w:space="0" w:color="auto"/>
      </w:divBdr>
    </w:div>
    <w:div w:id="1723941470">
      <w:bodyDiv w:val="1"/>
      <w:marLeft w:val="0"/>
      <w:marRight w:val="0"/>
      <w:marTop w:val="0"/>
      <w:marBottom w:val="0"/>
      <w:divBdr>
        <w:top w:val="none" w:sz="0" w:space="0" w:color="auto"/>
        <w:left w:val="none" w:sz="0" w:space="0" w:color="auto"/>
        <w:bottom w:val="none" w:sz="0" w:space="0" w:color="auto"/>
        <w:right w:val="none" w:sz="0" w:space="0" w:color="auto"/>
      </w:divBdr>
      <w:divsChild>
        <w:div w:id="1650934504">
          <w:marLeft w:val="0"/>
          <w:marRight w:val="0"/>
          <w:marTop w:val="0"/>
          <w:marBottom w:val="0"/>
          <w:divBdr>
            <w:top w:val="none" w:sz="0" w:space="0" w:color="auto"/>
            <w:left w:val="none" w:sz="0" w:space="0" w:color="auto"/>
            <w:bottom w:val="none" w:sz="0" w:space="0" w:color="auto"/>
            <w:right w:val="none" w:sz="0" w:space="0" w:color="auto"/>
          </w:divBdr>
        </w:div>
      </w:divsChild>
    </w:div>
    <w:div w:id="1873953062">
      <w:bodyDiv w:val="1"/>
      <w:marLeft w:val="0"/>
      <w:marRight w:val="0"/>
      <w:marTop w:val="0"/>
      <w:marBottom w:val="0"/>
      <w:divBdr>
        <w:top w:val="none" w:sz="0" w:space="0" w:color="auto"/>
        <w:left w:val="none" w:sz="0" w:space="0" w:color="auto"/>
        <w:bottom w:val="none" w:sz="0" w:space="0" w:color="auto"/>
        <w:right w:val="none" w:sz="0" w:space="0" w:color="auto"/>
      </w:divBdr>
    </w:div>
    <w:div w:id="2072993886">
      <w:bodyDiv w:val="1"/>
      <w:marLeft w:val="0"/>
      <w:marRight w:val="0"/>
      <w:marTop w:val="0"/>
      <w:marBottom w:val="0"/>
      <w:divBdr>
        <w:top w:val="none" w:sz="0" w:space="0" w:color="auto"/>
        <w:left w:val="none" w:sz="0" w:space="0" w:color="auto"/>
        <w:bottom w:val="none" w:sz="0" w:space="0" w:color="auto"/>
        <w:right w:val="none" w:sz="0" w:space="0" w:color="auto"/>
      </w:divBdr>
    </w:div>
    <w:div w:id="21277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publicat/Regs/Part3/3_159.htm" TargetMode="External"/><Relationship Id="rId18" Type="http://schemas.openxmlformats.org/officeDocument/2006/relationships/hyperlink" Target="http://vbaw.vba.va.gov/bl/21/publicat/Regs/Part3/3_159.htm" TargetMode="External"/><Relationship Id="rId3" Type="http://schemas.openxmlformats.org/officeDocument/2006/relationships/customXml" Target="../customXml/item3.xml"/><Relationship Id="rId21" Type="http://schemas.openxmlformats.org/officeDocument/2006/relationships/hyperlink" Target="mailto:21QA.VBACO@va.gov?subject=Training%20Letter%2014-01"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vbaw.vba.va.gov/bl/21/publicat/Regs/Part4/4_118.htm" TargetMode="External"/><Relationship Id="rId2" Type="http://schemas.openxmlformats.org/officeDocument/2006/relationships/customXml" Target="../customXml/item2.xml"/><Relationship Id="rId16" Type="http://schemas.openxmlformats.org/officeDocument/2006/relationships/hyperlink" Target="http://vbaw.vba.va.gov/bl/21/advisory/CAVC/2003dec/Mariano.doc" TargetMode="External"/><Relationship Id="rId20" Type="http://schemas.openxmlformats.org/officeDocument/2006/relationships/hyperlink" Target="http://vbaw.vba.va.gov/bl/21/publicat/Letters/FL13/FL13-013.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vbaw.vba.va.gov/bl/21/publicat/Regs/Part3/3_327.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vbaw.vba.va.gov/bl/21/publicat/Letters/TrngLtrs/TL10-07.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Regs/Part3/3_327.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514940081ABA4E8C3292F3EE1618DE" ma:contentTypeVersion="0" ma:contentTypeDescription="Create a new document." ma:contentTypeScope="" ma:versionID="1b8548da9679800f7679955cc4bed94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052B-9F8E-4E5F-B3FB-7596B39AE51F}">
  <ds:schemaRefs>
    <ds:schemaRef ds:uri="http://schemas.microsoft.com/sharepoint/v3/contenttype/forms"/>
  </ds:schemaRefs>
</ds:datastoreItem>
</file>

<file path=customXml/itemProps2.xml><?xml version="1.0" encoding="utf-8"?>
<ds:datastoreItem xmlns:ds="http://schemas.openxmlformats.org/officeDocument/2006/customXml" ds:itemID="{737B9CE6-13E9-4153-88AB-5237415A4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5CE5D6-F7CD-4E4C-86A2-EA8B096C57F6}">
  <ds:schemaRefs>
    <ds:schemaRef ds:uri="http://schemas.microsoft.com/office/2006/metadata/properties"/>
  </ds:schemaRefs>
</ds:datastoreItem>
</file>

<file path=customXml/itemProps4.xml><?xml version="1.0" encoding="utf-8"?>
<ds:datastoreItem xmlns:ds="http://schemas.openxmlformats.org/officeDocument/2006/customXml" ds:itemID="{4C382951-A6FE-4615-99E1-FF3B0B21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2040</Words>
  <Characters>11165</Characters>
  <Application>Microsoft Office Word</Application>
  <DocSecurity>0</DocSecurity>
  <Lines>230</Lines>
  <Paragraphs>56</Paragraphs>
  <ScaleCrop>false</ScaleCrop>
  <HeadingPairs>
    <vt:vector size="2" baseType="variant">
      <vt:variant>
        <vt:lpstr>Title</vt:lpstr>
      </vt:variant>
      <vt:variant>
        <vt:i4>1</vt:i4>
      </vt:variant>
    </vt:vector>
  </HeadingPairs>
  <TitlesOfParts>
    <vt:vector size="1" baseType="lpstr">
      <vt:lpstr>Training Letter 14-01</vt:lpstr>
    </vt:vector>
  </TitlesOfParts>
  <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Letter 14-01</dc:title>
  <dc:subject>VA Examinations/Opinions</dc:subject>
  <dc:creator>Department of Veterans Affairs, Veterans Benefits Administration, Compensation Service</dc:creator>
  <cp:keywords>Training Letter TL 14-01 VA Examinations VAE C&amp;P Compensation Pension Exam Opinion</cp:keywords>
  <dc:description>This Training Letter (TL) will help regional office personnel understand the requirements that must be met before a Veteran warrants a VA examination/opinion, and offers helpful reminders regarding VA examinations.  We hope this will make regional office personnel more confident in their knowledge of the laws, regulations, and policies regarding examinations, and empower them to make decisions without over-development of claims.  </dc:description>
  <cp:lastModifiedBy>michael.vangaalen@va.gov</cp:lastModifiedBy>
  <cp:revision>9</cp:revision>
  <dcterms:created xsi:type="dcterms:W3CDTF">2014-04-23T14:46:00Z</dcterms:created>
  <dcterms:modified xsi:type="dcterms:W3CDTF">2014-06-13T19:30:00Z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filetime>2014-06-13T04:00:00Z</vt:filetime>
  </property>
  <property fmtid="{D5CDD505-2E9C-101B-9397-08002B2CF9AE}" pid="3" name="DateReviewed">
    <vt:filetime>2014-06-13T04:00:00Z</vt:filetime>
  </property>
  <property fmtid="{D5CDD505-2E9C-101B-9397-08002B2CF9AE}" pid="4" name="Language">
    <vt:lpwstr>en</vt:lpwstr>
  </property>
  <property fmtid="{D5CDD505-2E9C-101B-9397-08002B2CF9AE}" pid="5" name="Type">
    <vt:lpwstr>Guide</vt:lpwstr>
  </property>
  <property fmtid="{D5CDD505-2E9C-101B-9397-08002B2CF9AE}" pid="6" name="Creator">
    <vt:lpwstr>Department of Veterans Affairs, Veterans Benefits Administration, Compensation Service</vt:lpwstr>
  </property>
</Properties>
</file>