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70" w:type="dxa"/>
        <w:tblLayout w:type="fixed"/>
        <w:tblCellMar>
          <w:left w:w="0" w:type="dxa"/>
          <w:right w:w="0" w:type="dxa"/>
        </w:tblCellMar>
        <w:tblLook w:val="0000" w:firstRow="0" w:lastRow="0" w:firstColumn="0" w:lastColumn="0" w:noHBand="0" w:noVBand="0"/>
      </w:tblPr>
      <w:tblGrid>
        <w:gridCol w:w="2967"/>
        <w:gridCol w:w="6851"/>
      </w:tblGrid>
      <w:tr w:rsidR="00B965B5" w:rsidRPr="00ED1B44" w14:paraId="24318C46" w14:textId="77777777">
        <w:trPr>
          <w:trHeight w:val="2160"/>
        </w:trPr>
        <w:tc>
          <w:tcPr>
            <w:tcW w:w="2967" w:type="dxa"/>
          </w:tcPr>
          <w:p w14:paraId="6DB68E63" w14:textId="77777777" w:rsidR="00B965B5" w:rsidRPr="00ED1B44" w:rsidRDefault="0072762A">
            <w:pPr>
              <w:spacing w:after="0" w:line="240" w:lineRule="auto"/>
              <w:jc w:val="center"/>
              <w:rPr>
                <w:rFonts w:ascii="CG Times (WN)" w:hAnsi="CG Times (WN)"/>
                <w:vanish/>
                <w:specVanish/>
              </w:rPr>
            </w:pPr>
            <w:bookmarkStart w:id="0" w:name="_GoBack"/>
            <w:bookmarkEnd w:id="0"/>
            <w:r w:rsidRPr="00ED1B44">
              <w:rPr>
                <w:rFonts w:ascii="CG Times (WN)" w:hAnsi="CG Times (WN)"/>
                <w:noProof/>
                <w:sz w:val="20"/>
                <w:lang w:bidi="ar-SA"/>
              </w:rPr>
              <w:drawing>
                <wp:inline distT="0" distB="0" distL="0" distR="0" wp14:anchorId="4A308F3F" wp14:editId="43F445F8">
                  <wp:extent cx="98107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p w14:paraId="0F815B9C" w14:textId="77777777" w:rsidR="00B965B5" w:rsidRPr="00ED1B44" w:rsidRDefault="0047389E">
            <w:pPr>
              <w:spacing w:after="0" w:line="240" w:lineRule="auto"/>
              <w:jc w:val="center"/>
              <w:rPr>
                <w:rFonts w:ascii="CG Times (WN)" w:hAnsi="CG Times (WN)"/>
              </w:rPr>
            </w:pPr>
            <w:r w:rsidRPr="00ED1B44">
              <w:rPr>
                <w:rFonts w:ascii="CG Times (WN)" w:hAnsi="CG Times (WN)"/>
              </w:rPr>
              <w:t xml:space="preserve"> </w:t>
            </w:r>
          </w:p>
          <w:p w14:paraId="70A43C05" w14:textId="77777777" w:rsidR="00B965B5" w:rsidRPr="00ED1B44" w:rsidRDefault="00B965B5">
            <w:pPr>
              <w:spacing w:after="0" w:line="240" w:lineRule="auto"/>
              <w:ind w:left="-288"/>
            </w:pPr>
          </w:p>
        </w:tc>
        <w:tc>
          <w:tcPr>
            <w:tcW w:w="6851" w:type="dxa"/>
          </w:tcPr>
          <w:p w14:paraId="679F8F8A" w14:textId="77777777" w:rsidR="00B965B5" w:rsidRPr="00ED1B44" w:rsidRDefault="00B965B5">
            <w:pPr>
              <w:spacing w:after="0" w:line="240" w:lineRule="auto"/>
              <w:ind w:left="-288"/>
              <w:jc w:val="center"/>
              <w:rPr>
                <w:rFonts w:ascii="Arial" w:hAnsi="Arial"/>
                <w:b/>
                <w:color w:val="000080"/>
              </w:rPr>
            </w:pPr>
          </w:p>
          <w:p w14:paraId="6F52878F" w14:textId="77777777" w:rsidR="00B965B5" w:rsidRPr="00ED1B44" w:rsidRDefault="00B965B5">
            <w:pPr>
              <w:spacing w:after="0" w:line="240" w:lineRule="auto"/>
              <w:ind w:left="-288"/>
              <w:jc w:val="center"/>
              <w:rPr>
                <w:rFonts w:ascii="Arial" w:hAnsi="Arial"/>
                <w:b/>
                <w:color w:val="000080"/>
              </w:rPr>
            </w:pPr>
            <w:r w:rsidRPr="00ED1B44">
              <w:rPr>
                <w:rFonts w:ascii="Arial" w:hAnsi="Arial"/>
                <w:b/>
                <w:color w:val="000080"/>
              </w:rPr>
              <w:t>DEPARTMENT OF VETERANS AFFAIRS</w:t>
            </w:r>
          </w:p>
          <w:p w14:paraId="4C275E67" w14:textId="77777777" w:rsidR="00B965B5" w:rsidRPr="00ED1B44" w:rsidRDefault="00B965B5">
            <w:pPr>
              <w:spacing w:after="0" w:line="240" w:lineRule="auto"/>
              <w:ind w:left="-288"/>
              <w:jc w:val="center"/>
              <w:rPr>
                <w:rFonts w:ascii="Arial" w:hAnsi="Arial"/>
                <w:b/>
                <w:color w:val="000080"/>
              </w:rPr>
            </w:pPr>
            <w:r w:rsidRPr="00ED1B44">
              <w:rPr>
                <w:rFonts w:ascii="Arial" w:hAnsi="Arial"/>
                <w:b/>
                <w:color w:val="000080"/>
              </w:rPr>
              <w:t>Veterans Benefits Administration</w:t>
            </w:r>
          </w:p>
          <w:p w14:paraId="1D5D6D29" w14:textId="77777777" w:rsidR="00B965B5" w:rsidRPr="00ED1B44" w:rsidRDefault="00B965B5">
            <w:pPr>
              <w:keepNext/>
              <w:spacing w:after="0" w:line="240" w:lineRule="auto"/>
              <w:ind w:left="-288"/>
              <w:jc w:val="center"/>
              <w:outlineLvl w:val="6"/>
              <w:rPr>
                <w:rFonts w:ascii="Arial" w:hAnsi="Arial"/>
                <w:b/>
                <w:color w:val="000080"/>
              </w:rPr>
            </w:pPr>
            <w:r w:rsidRPr="00ED1B44">
              <w:rPr>
                <w:rFonts w:ascii="Arial" w:hAnsi="Arial"/>
                <w:b/>
                <w:color w:val="000080"/>
              </w:rPr>
              <w:t>Washington, D.C.  20420</w:t>
            </w:r>
          </w:p>
        </w:tc>
      </w:tr>
    </w:tbl>
    <w:p w14:paraId="1BDF0CC2" w14:textId="77777777" w:rsidR="00B11C02" w:rsidRDefault="00BA0772">
      <w:pPr>
        <w:keepNext/>
        <w:overflowPunct w:val="0"/>
        <w:autoSpaceDE w:val="0"/>
        <w:autoSpaceDN w:val="0"/>
        <w:adjustRightInd w:val="0"/>
        <w:spacing w:after="0" w:line="240" w:lineRule="auto"/>
        <w:outlineLvl w:val="0"/>
        <w:rPr>
          <w:rFonts w:eastAsia="Arial Unicode MS"/>
          <w:color w:val="000000"/>
        </w:rPr>
      </w:pPr>
      <w:r>
        <w:rPr>
          <w:rFonts w:eastAsia="Arial Unicode MS"/>
          <w:color w:val="000000"/>
        </w:rPr>
        <w:t>October 16, 2015</w:t>
      </w:r>
    </w:p>
    <w:p w14:paraId="56F93236" w14:textId="77777777" w:rsidR="0095046B" w:rsidRPr="00ED1B44" w:rsidRDefault="0095046B">
      <w:pPr>
        <w:keepNext/>
        <w:overflowPunct w:val="0"/>
        <w:autoSpaceDE w:val="0"/>
        <w:autoSpaceDN w:val="0"/>
        <w:adjustRightInd w:val="0"/>
        <w:spacing w:after="0" w:line="240" w:lineRule="auto"/>
        <w:outlineLvl w:val="0"/>
        <w:rPr>
          <w:rFonts w:eastAsia="Arial Unicode MS"/>
          <w:color w:val="000000"/>
        </w:rPr>
      </w:pPr>
    </w:p>
    <w:p w14:paraId="31082340" w14:textId="77777777" w:rsidR="0095046B" w:rsidRPr="00ED1B44" w:rsidRDefault="0095046B" w:rsidP="0095046B">
      <w:pPr>
        <w:keepNext/>
        <w:overflowPunct w:val="0"/>
        <w:autoSpaceDE w:val="0"/>
        <w:autoSpaceDN w:val="0"/>
        <w:adjustRightInd w:val="0"/>
        <w:spacing w:after="0" w:line="240" w:lineRule="auto"/>
        <w:outlineLvl w:val="0"/>
        <w:rPr>
          <w:rFonts w:eastAsia="Arial Unicode MS"/>
          <w:color w:val="000000"/>
        </w:rPr>
      </w:pPr>
      <w:r w:rsidRPr="00ED1B44">
        <w:rPr>
          <w:rFonts w:eastAsia="Arial Unicode MS"/>
          <w:color w:val="000000"/>
        </w:rPr>
        <w:t xml:space="preserve">VBA Letter </w:t>
      </w:r>
      <w:r w:rsidR="00B11C02">
        <w:rPr>
          <w:rFonts w:eastAsia="Arial Unicode MS"/>
          <w:color w:val="000000"/>
        </w:rPr>
        <w:t>20-15-</w:t>
      </w:r>
      <w:r w:rsidR="00BA0772">
        <w:rPr>
          <w:rFonts w:eastAsia="Arial Unicode MS"/>
          <w:color w:val="000000"/>
        </w:rPr>
        <w:t>16</w:t>
      </w:r>
    </w:p>
    <w:p w14:paraId="203D1BBA" w14:textId="77777777" w:rsidR="00B965B5" w:rsidRPr="00ED1B44" w:rsidRDefault="00B965B5">
      <w:pPr>
        <w:keepNext/>
        <w:overflowPunct w:val="0"/>
        <w:autoSpaceDE w:val="0"/>
        <w:autoSpaceDN w:val="0"/>
        <w:adjustRightInd w:val="0"/>
        <w:spacing w:after="0" w:line="240" w:lineRule="auto"/>
        <w:outlineLvl w:val="0"/>
        <w:rPr>
          <w:rFonts w:eastAsia="Arial Unicode MS"/>
          <w:color w:val="000000"/>
        </w:rPr>
      </w:pPr>
    </w:p>
    <w:p w14:paraId="635D815D" w14:textId="77777777" w:rsidR="00B965B5" w:rsidRPr="00ED1B44" w:rsidRDefault="00B965B5">
      <w:pPr>
        <w:keepNext/>
        <w:overflowPunct w:val="0"/>
        <w:autoSpaceDE w:val="0"/>
        <w:autoSpaceDN w:val="0"/>
        <w:adjustRightInd w:val="0"/>
        <w:spacing w:after="0" w:line="240" w:lineRule="auto"/>
        <w:outlineLvl w:val="0"/>
        <w:rPr>
          <w:rFonts w:eastAsia="Arial Unicode MS"/>
          <w:color w:val="000000"/>
        </w:rPr>
      </w:pPr>
      <w:r w:rsidRPr="00ED1B44">
        <w:rPr>
          <w:rFonts w:eastAsia="Arial Unicode MS"/>
          <w:color w:val="000000"/>
        </w:rPr>
        <w:t xml:space="preserve">Director (00/21)  </w:t>
      </w:r>
      <w:r w:rsidRPr="00ED1B44">
        <w:rPr>
          <w:rFonts w:eastAsia="Arial Unicode MS"/>
          <w:color w:val="000000"/>
        </w:rPr>
        <w:tab/>
      </w:r>
      <w:r w:rsidRPr="00ED1B44">
        <w:rPr>
          <w:rFonts w:eastAsia="Arial Unicode MS"/>
          <w:color w:val="000000"/>
        </w:rPr>
        <w:tab/>
      </w:r>
      <w:r w:rsidRPr="00ED1B44">
        <w:rPr>
          <w:rFonts w:eastAsia="Arial Unicode MS"/>
          <w:color w:val="000000"/>
        </w:rPr>
        <w:tab/>
      </w:r>
      <w:r w:rsidRPr="00ED1B44">
        <w:rPr>
          <w:rFonts w:eastAsia="Arial Unicode MS"/>
          <w:color w:val="000000"/>
        </w:rPr>
        <w:tab/>
      </w:r>
      <w:r w:rsidRPr="00ED1B44">
        <w:rPr>
          <w:rFonts w:eastAsia="Arial Unicode MS"/>
          <w:color w:val="000000"/>
        </w:rPr>
        <w:tab/>
        <w:t xml:space="preserve">   </w:t>
      </w:r>
      <w:r w:rsidR="00D5227F" w:rsidRPr="00ED1B44">
        <w:rPr>
          <w:rFonts w:eastAsia="Arial Unicode MS"/>
          <w:color w:val="000000"/>
        </w:rPr>
        <w:t xml:space="preserve">            </w:t>
      </w:r>
      <w:r w:rsidR="004D17A2" w:rsidRPr="00ED1B44">
        <w:rPr>
          <w:rFonts w:eastAsia="Arial Unicode MS"/>
          <w:color w:val="000000"/>
        </w:rPr>
        <w:tab/>
      </w:r>
    </w:p>
    <w:p w14:paraId="1538C1FA" w14:textId="77777777" w:rsidR="00B965B5" w:rsidRPr="00ED1B44" w:rsidRDefault="00B965B5">
      <w:pPr>
        <w:keepNext/>
        <w:overflowPunct w:val="0"/>
        <w:autoSpaceDE w:val="0"/>
        <w:autoSpaceDN w:val="0"/>
        <w:adjustRightInd w:val="0"/>
        <w:spacing w:after="0" w:line="240" w:lineRule="auto"/>
        <w:outlineLvl w:val="0"/>
        <w:rPr>
          <w:rFonts w:eastAsia="Arial Unicode MS"/>
          <w:color w:val="000000"/>
        </w:rPr>
      </w:pPr>
      <w:r w:rsidRPr="00ED1B44">
        <w:rPr>
          <w:rFonts w:eastAsia="Arial Unicode MS"/>
        </w:rPr>
        <w:t xml:space="preserve">All VBA </w:t>
      </w:r>
      <w:r w:rsidR="0095046B" w:rsidRPr="00ED1B44">
        <w:rPr>
          <w:rFonts w:eastAsia="Arial Unicode MS"/>
        </w:rPr>
        <w:t>Regional Offices and Centers</w:t>
      </w:r>
      <w:r w:rsidR="00B11356" w:rsidRPr="00ED1B44">
        <w:rPr>
          <w:rFonts w:eastAsia="Arial Unicode MS"/>
        </w:rPr>
        <w:tab/>
      </w:r>
      <w:r w:rsidRPr="00ED1B44">
        <w:rPr>
          <w:rFonts w:eastAsia="Arial Unicode MS"/>
        </w:rPr>
        <w:tab/>
      </w:r>
      <w:r w:rsidRPr="00ED1B44">
        <w:rPr>
          <w:rFonts w:eastAsia="Arial Unicode MS"/>
        </w:rPr>
        <w:tab/>
      </w:r>
      <w:r w:rsidR="00D5227F" w:rsidRPr="00ED1B44">
        <w:rPr>
          <w:rFonts w:eastAsia="Arial Unicode MS"/>
          <w:color w:val="000000"/>
        </w:rPr>
        <w:tab/>
      </w:r>
      <w:r w:rsidR="00D5227F" w:rsidRPr="00ED1B44">
        <w:rPr>
          <w:rFonts w:eastAsia="Arial Unicode MS"/>
          <w:color w:val="000000"/>
        </w:rPr>
        <w:tab/>
      </w:r>
    </w:p>
    <w:p w14:paraId="3D764A98" w14:textId="77777777" w:rsidR="00B965B5" w:rsidRPr="00ED1B44" w:rsidRDefault="00B965B5">
      <w:pPr>
        <w:keepNext/>
        <w:overflowPunct w:val="0"/>
        <w:autoSpaceDE w:val="0"/>
        <w:autoSpaceDN w:val="0"/>
        <w:adjustRightInd w:val="0"/>
        <w:spacing w:after="0" w:line="240" w:lineRule="auto"/>
        <w:outlineLvl w:val="0"/>
        <w:rPr>
          <w:rFonts w:eastAsia="Arial Unicode MS"/>
          <w:color w:val="000000"/>
        </w:rPr>
      </w:pPr>
    </w:p>
    <w:p w14:paraId="7E187A96" w14:textId="77777777" w:rsidR="00B965B5" w:rsidRPr="00ED1B44" w:rsidRDefault="00B965B5">
      <w:pPr>
        <w:spacing w:after="0" w:line="240" w:lineRule="auto"/>
      </w:pPr>
      <w:r w:rsidRPr="00ED1B44">
        <w:t xml:space="preserve">SUBJ:  </w:t>
      </w:r>
      <w:r w:rsidR="00292E6F" w:rsidRPr="00ED1B44">
        <w:t>Administration of Same-</w:t>
      </w:r>
      <w:r w:rsidR="00FC7FA0" w:rsidRPr="00ED1B44">
        <w:t>Sex Spousal Benefits</w:t>
      </w:r>
    </w:p>
    <w:p w14:paraId="0C23D6BD" w14:textId="77777777" w:rsidR="004D17A2" w:rsidRPr="00ED1B44" w:rsidRDefault="004D17A2">
      <w:pPr>
        <w:tabs>
          <w:tab w:val="center" w:pos="4406"/>
        </w:tabs>
        <w:spacing w:after="0" w:line="240" w:lineRule="auto"/>
        <w:rPr>
          <w:rFonts w:ascii="Arial" w:hAnsi="Arial" w:cs="Arial"/>
          <w:b/>
          <w:bCs/>
          <w:sz w:val="28"/>
          <w:szCs w:val="28"/>
        </w:rPr>
      </w:pPr>
    </w:p>
    <w:p w14:paraId="55F1C915" w14:textId="77777777" w:rsidR="00B965B5" w:rsidRPr="00ED1B44" w:rsidRDefault="00B965B5">
      <w:pPr>
        <w:tabs>
          <w:tab w:val="center" w:pos="4406"/>
        </w:tabs>
        <w:spacing w:after="0" w:line="240" w:lineRule="auto"/>
        <w:rPr>
          <w:rFonts w:ascii="Arial" w:hAnsi="Arial" w:cs="Arial"/>
          <w:b/>
          <w:bCs/>
          <w:sz w:val="28"/>
          <w:szCs w:val="28"/>
        </w:rPr>
      </w:pPr>
      <w:r w:rsidRPr="00ED1B44">
        <w:rPr>
          <w:rFonts w:ascii="Arial" w:hAnsi="Arial" w:cs="Arial"/>
          <w:b/>
          <w:bCs/>
          <w:sz w:val="28"/>
          <w:szCs w:val="28"/>
        </w:rPr>
        <w:t>Purpose</w:t>
      </w:r>
    </w:p>
    <w:p w14:paraId="37BBFBDA" w14:textId="77777777" w:rsidR="00B965B5" w:rsidRPr="00ED1B44" w:rsidRDefault="00B965B5">
      <w:pPr>
        <w:tabs>
          <w:tab w:val="center" w:pos="4406"/>
        </w:tabs>
        <w:spacing w:after="0" w:line="240" w:lineRule="auto"/>
        <w:rPr>
          <w:rFonts w:ascii="Arial" w:hAnsi="Arial" w:cs="Arial"/>
          <w:b/>
          <w:bCs/>
          <w:sz w:val="28"/>
          <w:szCs w:val="28"/>
        </w:rPr>
      </w:pPr>
      <w:r w:rsidRPr="00ED1B44">
        <w:rPr>
          <w:rFonts w:ascii="Arial" w:hAnsi="Arial" w:cs="Arial"/>
          <w:b/>
          <w:bCs/>
          <w:sz w:val="28"/>
          <w:szCs w:val="28"/>
        </w:rPr>
        <w:tab/>
      </w:r>
    </w:p>
    <w:p w14:paraId="41B9B023" w14:textId="77777777" w:rsidR="00B965B5" w:rsidRPr="00ED1B44" w:rsidRDefault="00053804">
      <w:pPr>
        <w:spacing w:after="0" w:line="240" w:lineRule="auto"/>
      </w:pPr>
      <w:r w:rsidRPr="00ED1B44">
        <w:t>As of the date of this notification, t</w:t>
      </w:r>
      <w:r w:rsidR="00C6541E" w:rsidRPr="00ED1B44">
        <w:t>he</w:t>
      </w:r>
      <w:r w:rsidR="00D53F1F" w:rsidRPr="00ED1B44">
        <w:t xml:space="preserve"> Veterans Benefits Administration (VBA) is processing same-sex spousal benefit claims that were held or submitted following the </w:t>
      </w:r>
      <w:r w:rsidR="00B11C02" w:rsidRPr="00ED1B44">
        <w:t>June 26, 2015</w:t>
      </w:r>
      <w:r w:rsidR="00B11C02">
        <w:t xml:space="preserve">, </w:t>
      </w:r>
      <w:r w:rsidR="00D53F1F" w:rsidRPr="00ED1B44">
        <w:t xml:space="preserve">Supreme Court decision in </w:t>
      </w:r>
      <w:proofErr w:type="spellStart"/>
      <w:r w:rsidR="00D53F1F" w:rsidRPr="00ED1B44">
        <w:rPr>
          <w:i/>
        </w:rPr>
        <w:t>Obergefell</w:t>
      </w:r>
      <w:proofErr w:type="spellEnd"/>
      <w:r w:rsidR="00D53F1F" w:rsidRPr="00ED1B44">
        <w:rPr>
          <w:i/>
        </w:rPr>
        <w:t xml:space="preserve"> v. Hodges</w:t>
      </w:r>
      <w:r w:rsidR="00C6541E" w:rsidRPr="00ED1B44">
        <w:t xml:space="preserve">.  This </w:t>
      </w:r>
      <w:r w:rsidR="008C5D57" w:rsidRPr="00ED1B44">
        <w:t>letter</w:t>
      </w:r>
      <w:r w:rsidR="006356D5" w:rsidRPr="00ED1B44">
        <w:t xml:space="preserve"> </w:t>
      </w:r>
      <w:r w:rsidR="009B1FAB" w:rsidRPr="00ED1B44">
        <w:t xml:space="preserve">rescinds </w:t>
      </w:r>
      <w:r w:rsidR="006356D5" w:rsidRPr="00ED1B44">
        <w:t>VBA Letter 20-14-08</w:t>
      </w:r>
      <w:r w:rsidR="009B1FAB" w:rsidRPr="00ED1B44">
        <w:t xml:space="preserve"> and</w:t>
      </w:r>
      <w:r w:rsidR="00DE09EE" w:rsidRPr="00ED1B44">
        <w:t xml:space="preserve"> provides instructions and procedures for processing compensation</w:t>
      </w:r>
      <w:r w:rsidR="00C15E85" w:rsidRPr="00ED1B44">
        <w:t xml:space="preserve">, </w:t>
      </w:r>
      <w:r w:rsidR="00DE09EE" w:rsidRPr="00ED1B44">
        <w:t>pen</w:t>
      </w:r>
      <w:r w:rsidR="00CD5921" w:rsidRPr="00ED1B44">
        <w:t>s</w:t>
      </w:r>
      <w:r w:rsidR="00DE09EE" w:rsidRPr="00ED1B44">
        <w:t>ion</w:t>
      </w:r>
      <w:r w:rsidR="00C15E85" w:rsidRPr="00ED1B44">
        <w:t xml:space="preserve">, </w:t>
      </w:r>
      <w:r w:rsidR="0065464E" w:rsidRPr="00ED1B44">
        <w:t>d</w:t>
      </w:r>
      <w:r w:rsidR="00E436A0" w:rsidRPr="00ED1B44">
        <w:t>ependency and</w:t>
      </w:r>
      <w:r w:rsidR="002E3179" w:rsidRPr="00ED1B44">
        <w:t xml:space="preserve"> </w:t>
      </w:r>
      <w:r w:rsidR="0065464E" w:rsidRPr="00ED1B44">
        <w:t>i</w:t>
      </w:r>
      <w:r w:rsidR="00E436A0" w:rsidRPr="00ED1B44">
        <w:t xml:space="preserve">ndemnity </w:t>
      </w:r>
      <w:r w:rsidR="0065464E" w:rsidRPr="00ED1B44">
        <w:t>c</w:t>
      </w:r>
      <w:r w:rsidR="00E436A0" w:rsidRPr="00ED1B44">
        <w:t xml:space="preserve">ompensation (DIC), </w:t>
      </w:r>
      <w:r w:rsidR="00C15E85" w:rsidRPr="00ED1B44">
        <w:t xml:space="preserve">and vocational rehabilitation </w:t>
      </w:r>
      <w:r w:rsidR="00B11C02">
        <w:t>and</w:t>
      </w:r>
      <w:r w:rsidR="00B11C02" w:rsidRPr="00ED1B44">
        <w:t xml:space="preserve"> </w:t>
      </w:r>
      <w:r w:rsidR="00C15E85" w:rsidRPr="00ED1B44">
        <w:t>employment</w:t>
      </w:r>
      <w:r w:rsidR="00DE09EE" w:rsidRPr="00ED1B44">
        <w:t xml:space="preserve"> </w:t>
      </w:r>
      <w:r w:rsidR="009E0060">
        <w:t xml:space="preserve">(VR&amp;E) </w:t>
      </w:r>
      <w:r w:rsidR="00DE09EE" w:rsidRPr="00ED1B44">
        <w:t>claims involving same-sex marriage</w:t>
      </w:r>
      <w:r w:rsidR="00D53F1F" w:rsidRPr="00ED1B44">
        <w:t xml:space="preserve"> in light of the </w:t>
      </w:r>
      <w:proofErr w:type="spellStart"/>
      <w:r w:rsidR="00D53F1F" w:rsidRPr="00ED1B44">
        <w:rPr>
          <w:i/>
        </w:rPr>
        <w:t>Obergefell</w:t>
      </w:r>
      <w:proofErr w:type="spellEnd"/>
      <w:r w:rsidR="00D53F1F" w:rsidRPr="00ED1B44">
        <w:t xml:space="preserve"> decision</w:t>
      </w:r>
      <w:r w:rsidR="00DE09EE" w:rsidRPr="00ED1B44">
        <w:t xml:space="preserve">.  </w:t>
      </w:r>
      <w:r w:rsidR="0012054E" w:rsidRPr="00ED1B44">
        <w:t xml:space="preserve"> </w:t>
      </w:r>
    </w:p>
    <w:p w14:paraId="0BA715AB" w14:textId="77777777" w:rsidR="00C6541E" w:rsidRPr="00ED1B44" w:rsidRDefault="00C6541E">
      <w:pPr>
        <w:spacing w:after="0" w:line="240" w:lineRule="auto"/>
      </w:pPr>
    </w:p>
    <w:p w14:paraId="23F70AA1" w14:textId="77777777" w:rsidR="00B965B5" w:rsidRPr="00ED1B44" w:rsidRDefault="00B965B5">
      <w:pPr>
        <w:pStyle w:val="Heading2"/>
        <w:spacing w:before="0" w:line="240" w:lineRule="auto"/>
        <w:rPr>
          <w:rFonts w:ascii="Arial" w:hAnsi="Arial" w:cs="Arial"/>
          <w:iCs/>
          <w:sz w:val="28"/>
          <w:szCs w:val="28"/>
        </w:rPr>
      </w:pPr>
      <w:r w:rsidRPr="00ED1B44">
        <w:rPr>
          <w:rFonts w:ascii="Arial" w:hAnsi="Arial" w:cs="Arial"/>
          <w:iCs/>
          <w:sz w:val="28"/>
          <w:szCs w:val="28"/>
        </w:rPr>
        <w:t xml:space="preserve">Background </w:t>
      </w:r>
    </w:p>
    <w:p w14:paraId="575F7D3B" w14:textId="77777777" w:rsidR="00B965B5" w:rsidRPr="00ED1B44" w:rsidRDefault="00B965B5">
      <w:pPr>
        <w:spacing w:after="0" w:line="240" w:lineRule="auto"/>
      </w:pPr>
    </w:p>
    <w:p w14:paraId="055429DD" w14:textId="77777777" w:rsidR="00FC7FA0" w:rsidRPr="00ED1B44" w:rsidRDefault="003B351D" w:rsidP="00FC7FA0">
      <w:pPr>
        <w:pStyle w:val="NoSpacing"/>
      </w:pPr>
      <w:r>
        <w:t>Section 3 of t</w:t>
      </w:r>
      <w:r w:rsidRPr="00ED1B44">
        <w:t xml:space="preserve">he </w:t>
      </w:r>
      <w:r w:rsidR="00FC7FA0" w:rsidRPr="00ED1B44">
        <w:t>Defense of Marriage Act (DOMA)</w:t>
      </w:r>
      <w:r w:rsidR="00F759BE">
        <w:t xml:space="preserve"> </w:t>
      </w:r>
      <w:r w:rsidR="0001151D" w:rsidRPr="00ED1B44">
        <w:t>defined “marriage” and “spouse” for purposes of federal law to preclude recognition of</w:t>
      </w:r>
      <w:r w:rsidR="00044C01" w:rsidRPr="00ED1B44">
        <w:t xml:space="preserve"> marriages of</w:t>
      </w:r>
      <w:r w:rsidR="0001151D" w:rsidRPr="00ED1B44">
        <w:t xml:space="preserve"> same-sex couples</w:t>
      </w:r>
      <w:r w:rsidR="00FC7FA0" w:rsidRPr="00ED1B44">
        <w:t xml:space="preserve">.  On June 26, 2013, the Supreme Court held, in </w:t>
      </w:r>
      <w:r w:rsidR="00FC7FA0" w:rsidRPr="00ED1B44">
        <w:rPr>
          <w:i/>
        </w:rPr>
        <w:t>United States v. Windsor</w:t>
      </w:r>
      <w:r w:rsidR="00FC7FA0" w:rsidRPr="00ED1B44">
        <w:t xml:space="preserve">, that </w:t>
      </w:r>
      <w:r w:rsidR="0029459E" w:rsidRPr="00ED1B44">
        <w:t>S</w:t>
      </w:r>
      <w:r w:rsidR="00FC7FA0" w:rsidRPr="00ED1B44">
        <w:t>ection 3 of DOMA violates the Fifth Amendment</w:t>
      </w:r>
      <w:r w:rsidR="0029459E" w:rsidRPr="00ED1B44">
        <w:t xml:space="preserve"> of the U.S. Constitution</w:t>
      </w:r>
      <w:r w:rsidR="00FC7FA0" w:rsidRPr="00ED1B44">
        <w:t xml:space="preserve"> by discriminating against same-sex couples who are lawfully married under state law.  </w:t>
      </w:r>
    </w:p>
    <w:p w14:paraId="08D6A635" w14:textId="77777777" w:rsidR="00FC7FA0" w:rsidRPr="00ED1B44" w:rsidRDefault="00FC7FA0" w:rsidP="00FC7FA0">
      <w:pPr>
        <w:pStyle w:val="NoSpacing"/>
      </w:pPr>
    </w:p>
    <w:p w14:paraId="2DB2E518" w14:textId="77777777" w:rsidR="002D7E56" w:rsidRPr="00ED1B44" w:rsidRDefault="00FC7FA0" w:rsidP="002D7E56">
      <w:pPr>
        <w:spacing w:after="0" w:line="240" w:lineRule="auto"/>
      </w:pPr>
      <w:r w:rsidRPr="00ED1B44">
        <w:t>V</w:t>
      </w:r>
      <w:r w:rsidR="00156691" w:rsidRPr="00ED1B44">
        <w:t>B</w:t>
      </w:r>
      <w:r w:rsidRPr="00ED1B44">
        <w:t xml:space="preserve">A administers benefits and programs that depend on </w:t>
      </w:r>
      <w:r w:rsidR="00044C01" w:rsidRPr="00ED1B44">
        <w:t xml:space="preserve">the definition of the terms </w:t>
      </w:r>
      <w:r w:rsidRPr="00ED1B44">
        <w:t>“spouse” and “surviving spouse</w:t>
      </w:r>
      <w:r w:rsidR="00A94F6B" w:rsidRPr="00ED1B44">
        <w:t>.</w:t>
      </w:r>
      <w:r w:rsidRPr="00ED1B44">
        <w:t>”</w:t>
      </w:r>
      <w:r w:rsidR="0001151D" w:rsidRPr="00ED1B44">
        <w:t xml:space="preserve">  For purposes of VA benefits, </w:t>
      </w:r>
      <w:hyperlink r:id="rId13" w:history="1">
        <w:r w:rsidR="0038783A" w:rsidRPr="00ED1B44">
          <w:rPr>
            <w:rStyle w:val="Hyperlink"/>
            <w:color w:val="000000" w:themeColor="text1"/>
            <w:u w:val="none"/>
          </w:rPr>
          <w:t>38 U.S.C. § 101(3)</w:t>
        </w:r>
      </w:hyperlink>
      <w:r w:rsidR="0038783A" w:rsidRPr="00ED1B44">
        <w:rPr>
          <w:color w:val="000000" w:themeColor="text1"/>
        </w:rPr>
        <w:t xml:space="preserve"> and § </w:t>
      </w:r>
      <w:r w:rsidR="00053804" w:rsidRPr="00ED1B44">
        <w:rPr>
          <w:color w:val="000000" w:themeColor="text1"/>
        </w:rPr>
        <w:t>101(31)</w:t>
      </w:r>
      <w:r w:rsidR="00E410E4" w:rsidRPr="00ED1B44">
        <w:rPr>
          <w:color w:val="000000" w:themeColor="text1"/>
        </w:rPr>
        <w:t xml:space="preserve"> </w:t>
      </w:r>
      <w:r w:rsidR="0001151D" w:rsidRPr="00ED1B44">
        <w:t>define “surviving spouse” and “spouse” as persons “of the opposite sex.”</w:t>
      </w:r>
      <w:r w:rsidRPr="00ED1B44">
        <w:t xml:space="preserve">  </w:t>
      </w:r>
      <w:r w:rsidR="0001151D" w:rsidRPr="00ED1B44">
        <w:t>These definitions</w:t>
      </w:r>
      <w:r w:rsidR="00166029" w:rsidRPr="00ED1B44">
        <w:t xml:space="preserve"> </w:t>
      </w:r>
      <w:r w:rsidR="00B97603" w:rsidRPr="00ED1B44">
        <w:t xml:space="preserve">(codified </w:t>
      </w:r>
      <w:r w:rsidR="0038783A" w:rsidRPr="00ED1B44">
        <w:t>separate</w:t>
      </w:r>
      <w:r w:rsidR="00B97603" w:rsidRPr="00ED1B44">
        <w:t>ly</w:t>
      </w:r>
      <w:r w:rsidR="0038783A" w:rsidRPr="00ED1B44">
        <w:t xml:space="preserve"> from</w:t>
      </w:r>
      <w:r w:rsidRPr="00ED1B44">
        <w:t xml:space="preserve"> DOMA</w:t>
      </w:r>
      <w:r w:rsidR="00B97603" w:rsidRPr="00ED1B44">
        <w:t>)</w:t>
      </w:r>
      <w:r w:rsidR="0038783A" w:rsidRPr="00ED1B44">
        <w:t xml:space="preserve"> were </w:t>
      </w:r>
      <w:r w:rsidRPr="00ED1B44">
        <w:t xml:space="preserve">not </w:t>
      </w:r>
      <w:r w:rsidR="00E7230F" w:rsidRPr="00ED1B44">
        <w:t xml:space="preserve">specifically </w:t>
      </w:r>
      <w:r w:rsidR="0038783A" w:rsidRPr="00ED1B44">
        <w:t>addressed in the Supreme Court’s</w:t>
      </w:r>
      <w:r w:rsidR="00941B35" w:rsidRPr="00ED1B44">
        <w:t xml:space="preserve"> </w:t>
      </w:r>
      <w:r w:rsidR="00941B35" w:rsidRPr="00ED1B44">
        <w:rPr>
          <w:i/>
        </w:rPr>
        <w:t>Windsor</w:t>
      </w:r>
      <w:r w:rsidR="0038783A" w:rsidRPr="00ED1B44">
        <w:t xml:space="preserve"> decision.  On September 4, 2013</w:t>
      </w:r>
      <w:r w:rsidRPr="00ED1B44">
        <w:t>, the United States Attorney General announced</w:t>
      </w:r>
      <w:r w:rsidR="0038783A" w:rsidRPr="00ED1B44">
        <w:t xml:space="preserve"> that</w:t>
      </w:r>
      <w:r w:rsidRPr="00ED1B44">
        <w:t xml:space="preserve"> the President</w:t>
      </w:r>
      <w:r w:rsidR="0038783A" w:rsidRPr="00ED1B44">
        <w:t xml:space="preserve"> had</w:t>
      </w:r>
      <w:r w:rsidRPr="00ED1B44">
        <w:t xml:space="preserve"> directed the Executive Branch to cease enforcement of </w:t>
      </w:r>
      <w:hyperlink r:id="rId14" w:history="1">
        <w:r w:rsidRPr="00ED1B44">
          <w:rPr>
            <w:rStyle w:val="Hyperlink"/>
            <w:color w:val="000000" w:themeColor="text1"/>
            <w:u w:val="none"/>
          </w:rPr>
          <w:t>38 U.S.C. §</w:t>
        </w:r>
        <w:r w:rsidR="00662F28" w:rsidRPr="00ED1B44">
          <w:rPr>
            <w:rStyle w:val="Hyperlink"/>
            <w:color w:val="000000" w:themeColor="text1"/>
            <w:u w:val="none"/>
          </w:rPr>
          <w:t>§</w:t>
        </w:r>
        <w:r w:rsidRPr="00ED1B44">
          <w:rPr>
            <w:rStyle w:val="Hyperlink"/>
            <w:color w:val="000000" w:themeColor="text1"/>
            <w:u w:val="none"/>
          </w:rPr>
          <w:t xml:space="preserve"> 101(3)</w:t>
        </w:r>
      </w:hyperlink>
      <w:r w:rsidRPr="00ED1B44">
        <w:rPr>
          <w:color w:val="000000" w:themeColor="text1"/>
        </w:rPr>
        <w:t xml:space="preserve"> </w:t>
      </w:r>
      <w:r w:rsidR="00662F28" w:rsidRPr="00ED1B44">
        <w:rPr>
          <w:color w:val="000000" w:themeColor="text1"/>
        </w:rPr>
        <w:t>and</w:t>
      </w:r>
      <w:r w:rsidRPr="00ED1B44">
        <w:rPr>
          <w:color w:val="000000" w:themeColor="text1"/>
        </w:rPr>
        <w:t xml:space="preserve"> 101(31), </w:t>
      </w:r>
      <w:r w:rsidRPr="00ED1B44">
        <w:t xml:space="preserve">to the extent they </w:t>
      </w:r>
      <w:r w:rsidR="00B97603" w:rsidRPr="00ED1B44">
        <w:t xml:space="preserve">preclude </w:t>
      </w:r>
      <w:r w:rsidR="00053804" w:rsidRPr="00ED1B44">
        <w:t xml:space="preserve">provision of </w:t>
      </w:r>
      <w:r w:rsidRPr="00ED1B44">
        <w:t xml:space="preserve">Veterans’ benefits to </w:t>
      </w:r>
      <w:r w:rsidR="00B97603" w:rsidRPr="00ED1B44">
        <w:t>same</w:t>
      </w:r>
      <w:r w:rsidRPr="00ED1B44">
        <w:t xml:space="preserve">-sex </w:t>
      </w:r>
      <w:r w:rsidR="00053804" w:rsidRPr="00ED1B44">
        <w:t xml:space="preserve">married </w:t>
      </w:r>
      <w:r w:rsidRPr="00ED1B44">
        <w:t xml:space="preserve">couples.  </w:t>
      </w:r>
      <w:r w:rsidR="00053804" w:rsidRPr="00ED1B44">
        <w:t xml:space="preserve">Accordingly, VA </w:t>
      </w:r>
      <w:r w:rsidR="002D7E56" w:rsidRPr="00ED1B44">
        <w:t>ceased to</w:t>
      </w:r>
      <w:r w:rsidR="00053804" w:rsidRPr="00ED1B44">
        <w:t xml:space="preserve"> enforce the above-mentioned statutory provisions </w:t>
      </w:r>
      <w:r w:rsidR="00B11C02">
        <w:t>and</w:t>
      </w:r>
      <w:r w:rsidR="00B11C02" w:rsidRPr="00ED1B44">
        <w:t xml:space="preserve"> </w:t>
      </w:r>
      <w:r w:rsidR="00053804" w:rsidRPr="00ED1B44">
        <w:t>VBA’s implementing regulati</w:t>
      </w:r>
      <w:r w:rsidR="00053804" w:rsidRPr="00ED1B44">
        <w:rPr>
          <w:color w:val="000000" w:themeColor="text1"/>
        </w:rPr>
        <w:t>on (</w:t>
      </w:r>
      <w:hyperlink r:id="rId15" w:history="1">
        <w:r w:rsidR="00053804" w:rsidRPr="00ED1B44">
          <w:rPr>
            <w:rStyle w:val="Hyperlink"/>
            <w:color w:val="000000" w:themeColor="text1"/>
            <w:u w:val="none"/>
          </w:rPr>
          <w:t>38 C.F.R. § 3.50</w:t>
        </w:r>
      </w:hyperlink>
      <w:r w:rsidR="00053804" w:rsidRPr="00ED1B44">
        <w:rPr>
          <w:color w:val="000000" w:themeColor="text1"/>
        </w:rPr>
        <w:t>), to</w:t>
      </w:r>
      <w:r w:rsidR="00053804" w:rsidRPr="00ED1B44">
        <w:t xml:space="preserve"> the extent that they </w:t>
      </w:r>
      <w:r w:rsidR="00B97603" w:rsidRPr="00ED1B44">
        <w:t xml:space="preserve">preclude </w:t>
      </w:r>
      <w:r w:rsidR="00053804" w:rsidRPr="00ED1B44">
        <w:t xml:space="preserve">provision of Veterans’ benefits to </w:t>
      </w:r>
      <w:r w:rsidR="00B97603" w:rsidRPr="00ED1B44">
        <w:t>same</w:t>
      </w:r>
      <w:r w:rsidR="00053804" w:rsidRPr="00ED1B44">
        <w:t>-sex married couples</w:t>
      </w:r>
      <w:r w:rsidR="00E410E4" w:rsidRPr="00ED1B44">
        <w:t>.</w:t>
      </w:r>
      <w:r w:rsidR="00053804" w:rsidRPr="00ED1B44">
        <w:t xml:space="preserve"> </w:t>
      </w:r>
      <w:r w:rsidR="00E410E4" w:rsidRPr="00ED1B44">
        <w:t xml:space="preserve"> </w:t>
      </w:r>
      <w:r w:rsidR="00266352" w:rsidRPr="00ED1B44">
        <w:t xml:space="preserve">This </w:t>
      </w:r>
      <w:r w:rsidR="00772DCC" w:rsidRPr="00ED1B44">
        <w:t xml:space="preserve">announcement </w:t>
      </w:r>
      <w:r w:rsidRPr="00ED1B44">
        <w:t>allow</w:t>
      </w:r>
      <w:r w:rsidR="002D7E56" w:rsidRPr="00ED1B44">
        <w:t>ed</w:t>
      </w:r>
      <w:r w:rsidRPr="00ED1B44">
        <w:t xml:space="preserve"> VA to administer spousal </w:t>
      </w:r>
      <w:r w:rsidR="00266352" w:rsidRPr="00ED1B44">
        <w:t xml:space="preserve">and survivors’ </w:t>
      </w:r>
      <w:r w:rsidRPr="00ED1B44">
        <w:t>benefits to same-sex married couples, provided their marriages</w:t>
      </w:r>
      <w:r w:rsidR="006356D5" w:rsidRPr="00ED1B44">
        <w:t xml:space="preserve"> met</w:t>
      </w:r>
      <w:r w:rsidRPr="00ED1B44">
        <w:t xml:space="preserve"> the requirements of </w:t>
      </w:r>
      <w:hyperlink r:id="rId16" w:history="1">
        <w:r w:rsidRPr="00ED1B44">
          <w:rPr>
            <w:rStyle w:val="Hyperlink"/>
            <w:color w:val="000000" w:themeColor="text1"/>
            <w:u w:val="none"/>
          </w:rPr>
          <w:t>38 U.S.C. §</w:t>
        </w:r>
        <w:r w:rsidR="00C54091" w:rsidRPr="00ED1B44">
          <w:rPr>
            <w:rStyle w:val="Hyperlink"/>
            <w:color w:val="000000" w:themeColor="text1"/>
            <w:u w:val="none"/>
          </w:rPr>
          <w:t> </w:t>
        </w:r>
        <w:r w:rsidRPr="00ED1B44">
          <w:rPr>
            <w:rStyle w:val="Hyperlink"/>
            <w:color w:val="000000" w:themeColor="text1"/>
            <w:u w:val="none"/>
          </w:rPr>
          <w:t>103(c)</w:t>
        </w:r>
      </w:hyperlink>
      <w:r w:rsidR="007318DE" w:rsidRPr="00ED1B44">
        <w:rPr>
          <w:color w:val="000000" w:themeColor="text1"/>
        </w:rPr>
        <w:t xml:space="preserve">.  </w:t>
      </w:r>
      <w:r w:rsidR="007318DE" w:rsidRPr="00541849">
        <w:rPr>
          <w:color w:val="000000" w:themeColor="text1"/>
          <w:highlight w:val="yellow"/>
        </w:rPr>
        <w:t>T</w:t>
      </w:r>
      <w:r w:rsidR="007318DE" w:rsidRPr="00541849">
        <w:rPr>
          <w:highlight w:val="yellow"/>
        </w:rPr>
        <w:t>hat provision states</w:t>
      </w:r>
      <w:r w:rsidR="00A00AF3" w:rsidRPr="00541849">
        <w:rPr>
          <w:highlight w:val="yellow"/>
        </w:rPr>
        <w:t>, “[i]n determining whether or not a person i</w:t>
      </w:r>
      <w:r w:rsidR="000B16F3" w:rsidRPr="00541849">
        <w:rPr>
          <w:highlight w:val="yellow"/>
        </w:rPr>
        <w:t>s</w:t>
      </w:r>
      <w:r w:rsidR="00A00AF3" w:rsidRPr="00541849">
        <w:rPr>
          <w:highlight w:val="yellow"/>
        </w:rPr>
        <w:t xml:space="preserve"> or was the spouse of a </w:t>
      </w:r>
      <w:r w:rsidR="00266352" w:rsidRPr="00541849">
        <w:rPr>
          <w:highlight w:val="yellow"/>
        </w:rPr>
        <w:t>V</w:t>
      </w:r>
      <w:r w:rsidR="00A00AF3" w:rsidRPr="00541849">
        <w:rPr>
          <w:highlight w:val="yellow"/>
        </w:rPr>
        <w:t>eteran,</w:t>
      </w:r>
      <w:r w:rsidRPr="00541849">
        <w:rPr>
          <w:highlight w:val="yellow"/>
        </w:rPr>
        <w:t xml:space="preserve"> </w:t>
      </w:r>
      <w:r w:rsidR="0038783A" w:rsidRPr="00541849">
        <w:rPr>
          <w:highlight w:val="yellow"/>
        </w:rPr>
        <w:t>the</w:t>
      </w:r>
      <w:r w:rsidR="00A00AF3" w:rsidRPr="00541849">
        <w:rPr>
          <w:highlight w:val="yellow"/>
        </w:rPr>
        <w:t>ir</w:t>
      </w:r>
      <w:r w:rsidR="0038783A" w:rsidRPr="00541849">
        <w:rPr>
          <w:highlight w:val="yellow"/>
        </w:rPr>
        <w:t xml:space="preserve"> </w:t>
      </w:r>
      <w:r w:rsidR="00044C01" w:rsidRPr="00541849">
        <w:rPr>
          <w:highlight w:val="yellow"/>
        </w:rPr>
        <w:t xml:space="preserve">marriage </w:t>
      </w:r>
      <w:r w:rsidR="00A00AF3" w:rsidRPr="00541849">
        <w:rPr>
          <w:highlight w:val="yellow"/>
        </w:rPr>
        <w:t>shall</w:t>
      </w:r>
      <w:r w:rsidR="0038783A" w:rsidRPr="00541849">
        <w:rPr>
          <w:highlight w:val="yellow"/>
        </w:rPr>
        <w:t xml:space="preserve"> be proven</w:t>
      </w:r>
      <w:r w:rsidRPr="00541849">
        <w:rPr>
          <w:highlight w:val="yellow"/>
        </w:rPr>
        <w:t xml:space="preserve"> </w:t>
      </w:r>
      <w:r w:rsidR="00A00AF3" w:rsidRPr="00541849">
        <w:rPr>
          <w:highlight w:val="yellow"/>
        </w:rPr>
        <w:t xml:space="preserve">as valid for the purposes of all laws administered by the Secretary </w:t>
      </w:r>
      <w:r w:rsidRPr="00541849">
        <w:rPr>
          <w:highlight w:val="yellow"/>
        </w:rPr>
        <w:t xml:space="preserve">according to the law of the place where the parties resided at </w:t>
      </w:r>
      <w:r w:rsidRPr="00541849">
        <w:rPr>
          <w:highlight w:val="yellow"/>
        </w:rPr>
        <w:lastRenderedPageBreak/>
        <w:t>the time of the marriage or the law of the place where the parties resided when the right to benefits accrued.”</w:t>
      </w:r>
      <w:r w:rsidR="00C967F4" w:rsidRPr="00ED1B44">
        <w:t xml:space="preserve">  </w:t>
      </w:r>
      <w:r w:rsidR="00931A0C" w:rsidRPr="00ED1B44">
        <w:t xml:space="preserve">As such, prior to </w:t>
      </w:r>
      <w:proofErr w:type="spellStart"/>
      <w:r w:rsidR="00931A0C" w:rsidRPr="00ED1B44">
        <w:rPr>
          <w:i/>
        </w:rPr>
        <w:t>Obergefell</w:t>
      </w:r>
      <w:proofErr w:type="spellEnd"/>
      <w:r w:rsidR="00931A0C" w:rsidRPr="00ED1B44">
        <w:t>, this provision</w:t>
      </w:r>
      <w:r w:rsidR="002D7E56" w:rsidRPr="00ED1B44">
        <w:t xml:space="preserve"> precluded </w:t>
      </w:r>
      <w:r w:rsidR="00931A0C" w:rsidRPr="00ED1B44">
        <w:t xml:space="preserve">VA </w:t>
      </w:r>
      <w:r w:rsidR="002D7E56" w:rsidRPr="00ED1B44">
        <w:t xml:space="preserve">from recognizing a Veteran’s same-sex marriage where </w:t>
      </w:r>
      <w:r w:rsidR="001D4E12" w:rsidRPr="00ED1B44">
        <w:t xml:space="preserve">both </w:t>
      </w:r>
      <w:r w:rsidR="002D7E56" w:rsidRPr="00ED1B44">
        <w:t>the Veteran and the Veteran’s spouse resided in a state that did not</w:t>
      </w:r>
      <w:r w:rsidR="00720DAB" w:rsidRPr="00ED1B44">
        <w:t xml:space="preserve"> recognize same-sex marriage at </w:t>
      </w:r>
      <w:r w:rsidR="002D7E56" w:rsidRPr="00ED1B44">
        <w:t>the time of the marriage</w:t>
      </w:r>
      <w:r w:rsidR="00D73AC2" w:rsidRPr="00ED1B44">
        <w:t>,</w:t>
      </w:r>
      <w:r w:rsidR="00BC6229" w:rsidRPr="00ED1B44">
        <w:t xml:space="preserve"> </w:t>
      </w:r>
      <w:r w:rsidR="00720DAB" w:rsidRPr="00ED1B44">
        <w:t>and</w:t>
      </w:r>
      <w:r w:rsidR="00BC6229" w:rsidRPr="00ED1B44">
        <w:t xml:space="preserve"> </w:t>
      </w:r>
      <w:r w:rsidR="00D73AC2" w:rsidRPr="00ED1B44">
        <w:t>at the time when the claimant</w:t>
      </w:r>
      <w:r w:rsidR="00622F27" w:rsidRPr="00ED1B44">
        <w:t>’s right to benefits accrued, i.e., when the claimant</w:t>
      </w:r>
      <w:r w:rsidR="00D73AC2" w:rsidRPr="00ED1B44">
        <w:t xml:space="preserve"> became eligible for benefits</w:t>
      </w:r>
      <w:r w:rsidR="002E3179" w:rsidRPr="00ED1B44">
        <w:t xml:space="preserve"> or the date of claim</w:t>
      </w:r>
      <w:r w:rsidR="007575B8" w:rsidRPr="00ED1B44">
        <w:t xml:space="preserve">, consistent with GC Precedent Opinion </w:t>
      </w:r>
      <w:r w:rsidR="0010642A" w:rsidRPr="00ED1B44">
        <w:t>4-2014</w:t>
      </w:r>
      <w:r w:rsidR="00D73AC2" w:rsidRPr="00ED1B44">
        <w:t xml:space="preserve">. </w:t>
      </w:r>
      <w:r w:rsidR="002D7E56" w:rsidRPr="00ED1B44">
        <w:t xml:space="preserve">  </w:t>
      </w:r>
    </w:p>
    <w:p w14:paraId="430B9925" w14:textId="77777777" w:rsidR="002D7E56" w:rsidRPr="00ED1B44" w:rsidRDefault="002D7E56" w:rsidP="002D7E56">
      <w:pPr>
        <w:spacing w:after="0" w:line="240" w:lineRule="auto"/>
      </w:pPr>
    </w:p>
    <w:p w14:paraId="2EFEE899" w14:textId="77777777" w:rsidR="002D7E56" w:rsidRPr="00ED1B44" w:rsidRDefault="002D7E56" w:rsidP="002D7E56">
      <w:pPr>
        <w:spacing w:after="0" w:line="240" w:lineRule="auto"/>
      </w:pPr>
      <w:r w:rsidRPr="00541849">
        <w:rPr>
          <w:highlight w:val="yellow"/>
        </w:rPr>
        <w:t>On June 26, 201</w:t>
      </w:r>
      <w:r w:rsidR="00A3641B" w:rsidRPr="00541849">
        <w:rPr>
          <w:highlight w:val="yellow"/>
        </w:rPr>
        <w:t>5</w:t>
      </w:r>
      <w:r w:rsidRPr="00ED1B44">
        <w:t xml:space="preserve">, the Supreme Court held in </w:t>
      </w:r>
      <w:proofErr w:type="spellStart"/>
      <w:r w:rsidRPr="00ED1B44">
        <w:rPr>
          <w:i/>
        </w:rPr>
        <w:t>Obergefell</w:t>
      </w:r>
      <w:proofErr w:type="spellEnd"/>
      <w:r w:rsidRPr="00ED1B44">
        <w:rPr>
          <w:i/>
        </w:rPr>
        <w:t xml:space="preserve"> v. Hodges</w:t>
      </w:r>
      <w:r w:rsidRPr="00ED1B44">
        <w:t xml:space="preserve"> that the Fourteenth Amendmen</w:t>
      </w:r>
      <w:r w:rsidR="00C9650A">
        <w:t>t</w:t>
      </w:r>
      <w:r w:rsidRPr="00ED1B44">
        <w:t xml:space="preserve"> of the U.S. Constitution requires a state to license a marriage between two people of the same sex and to recognize a marriage between two people of the same sex when their marriage was lawfully licensed and performed out-of-state.  Accordingly, VA may</w:t>
      </w:r>
      <w:r w:rsidR="006356D5" w:rsidRPr="00ED1B44">
        <w:t xml:space="preserve"> now</w:t>
      </w:r>
      <w:r w:rsidRPr="00ED1B44">
        <w:t xml:space="preserve"> recognize </w:t>
      </w:r>
      <w:r w:rsidR="008273E3">
        <w:t>all same-sex marriages without regard to a Veteran’s state of residence</w:t>
      </w:r>
      <w:r w:rsidR="0037481C" w:rsidRPr="00ED1B44">
        <w:t xml:space="preserve">.  </w:t>
      </w:r>
    </w:p>
    <w:p w14:paraId="042E0C5A" w14:textId="77777777" w:rsidR="0095046B" w:rsidRPr="00ED1B44" w:rsidRDefault="0095046B">
      <w:pPr>
        <w:spacing w:after="0" w:line="240" w:lineRule="auto"/>
        <w:rPr>
          <w:rFonts w:ascii="Arial" w:hAnsi="Arial" w:cs="Arial"/>
          <w:b/>
          <w:sz w:val="28"/>
          <w:szCs w:val="28"/>
        </w:rPr>
      </w:pPr>
    </w:p>
    <w:p w14:paraId="759C9935" w14:textId="77777777" w:rsidR="008E0F4A" w:rsidRPr="00ED1B44" w:rsidRDefault="00EA01F6">
      <w:pPr>
        <w:spacing w:after="0" w:line="240" w:lineRule="auto"/>
        <w:rPr>
          <w:rFonts w:ascii="Arial" w:hAnsi="Arial" w:cs="Arial"/>
          <w:b/>
          <w:sz w:val="32"/>
          <w:szCs w:val="32"/>
        </w:rPr>
      </w:pPr>
      <w:r w:rsidRPr="00ED1B44">
        <w:rPr>
          <w:rFonts w:ascii="Arial" w:hAnsi="Arial" w:cs="Arial"/>
          <w:b/>
          <w:sz w:val="32"/>
          <w:szCs w:val="32"/>
        </w:rPr>
        <w:t xml:space="preserve">Determining </w:t>
      </w:r>
      <w:r w:rsidR="00640AC1" w:rsidRPr="00ED1B44">
        <w:rPr>
          <w:rFonts w:ascii="Arial" w:hAnsi="Arial" w:cs="Arial"/>
          <w:b/>
          <w:sz w:val="32"/>
          <w:szCs w:val="32"/>
        </w:rPr>
        <w:t>W</w:t>
      </w:r>
      <w:r w:rsidR="004C1DE4" w:rsidRPr="00ED1B44">
        <w:rPr>
          <w:rFonts w:ascii="Arial" w:hAnsi="Arial" w:cs="Arial"/>
          <w:b/>
          <w:sz w:val="32"/>
          <w:szCs w:val="32"/>
        </w:rPr>
        <w:t>hether VA W</w:t>
      </w:r>
      <w:r w:rsidR="00640AC1" w:rsidRPr="00ED1B44">
        <w:rPr>
          <w:rFonts w:ascii="Arial" w:hAnsi="Arial" w:cs="Arial"/>
          <w:b/>
          <w:sz w:val="32"/>
          <w:szCs w:val="32"/>
        </w:rPr>
        <w:t xml:space="preserve">ill Recognize </w:t>
      </w:r>
      <w:proofErr w:type="gramStart"/>
      <w:r w:rsidR="00640AC1" w:rsidRPr="00ED1B44">
        <w:rPr>
          <w:rFonts w:ascii="Arial" w:hAnsi="Arial" w:cs="Arial"/>
          <w:b/>
          <w:sz w:val="32"/>
          <w:szCs w:val="32"/>
        </w:rPr>
        <w:t>A</w:t>
      </w:r>
      <w:proofErr w:type="gramEnd"/>
      <w:r w:rsidRPr="00ED1B44">
        <w:rPr>
          <w:rFonts w:ascii="Arial" w:hAnsi="Arial" w:cs="Arial"/>
          <w:b/>
          <w:sz w:val="32"/>
          <w:szCs w:val="32"/>
        </w:rPr>
        <w:t xml:space="preserve"> Marriage: Dependency Claims</w:t>
      </w:r>
      <w:r w:rsidR="00EA78D5" w:rsidRPr="00ED1B44">
        <w:rPr>
          <w:rFonts w:ascii="Arial" w:hAnsi="Arial" w:cs="Arial"/>
          <w:b/>
          <w:sz w:val="32"/>
          <w:szCs w:val="32"/>
        </w:rPr>
        <w:t xml:space="preserve"> (Compensation and Pension),</w:t>
      </w:r>
      <w:r w:rsidRPr="00ED1B44">
        <w:rPr>
          <w:rFonts w:ascii="Arial" w:hAnsi="Arial" w:cs="Arial"/>
          <w:b/>
          <w:sz w:val="32"/>
          <w:szCs w:val="32"/>
        </w:rPr>
        <w:t xml:space="preserve"> </w:t>
      </w:r>
      <w:r w:rsidR="00EA78D5" w:rsidRPr="00ED1B44">
        <w:rPr>
          <w:rFonts w:ascii="Arial" w:hAnsi="Arial" w:cs="Arial"/>
          <w:b/>
          <w:sz w:val="32"/>
          <w:szCs w:val="32"/>
        </w:rPr>
        <w:t>Survivors Pension, Dependency and Indemnity Compensation (DIC), Accrued Benefits</w:t>
      </w:r>
      <w:r w:rsidR="00A66369" w:rsidRPr="00ED1B44">
        <w:rPr>
          <w:rFonts w:ascii="Arial" w:hAnsi="Arial" w:cs="Arial"/>
          <w:b/>
          <w:sz w:val="32"/>
          <w:szCs w:val="32"/>
        </w:rPr>
        <w:t xml:space="preserve">, and Vocational Rehabilitation </w:t>
      </w:r>
      <w:r w:rsidR="00B11C02">
        <w:rPr>
          <w:rFonts w:ascii="Arial" w:hAnsi="Arial" w:cs="Arial"/>
          <w:b/>
          <w:sz w:val="32"/>
          <w:szCs w:val="32"/>
        </w:rPr>
        <w:t>and</w:t>
      </w:r>
      <w:r w:rsidR="00A66369" w:rsidRPr="00ED1B44">
        <w:rPr>
          <w:rFonts w:ascii="Arial" w:hAnsi="Arial" w:cs="Arial"/>
          <w:b/>
          <w:sz w:val="32"/>
          <w:szCs w:val="32"/>
        </w:rPr>
        <w:t xml:space="preserve"> Employment</w:t>
      </w:r>
      <w:r w:rsidR="00B11C02">
        <w:rPr>
          <w:rFonts w:ascii="Arial" w:hAnsi="Arial" w:cs="Arial"/>
          <w:b/>
          <w:sz w:val="32"/>
          <w:szCs w:val="32"/>
        </w:rPr>
        <w:t xml:space="preserve"> (VR&amp;E)</w:t>
      </w:r>
      <w:r w:rsidR="00EA78D5" w:rsidRPr="00ED1B44">
        <w:rPr>
          <w:rFonts w:ascii="Arial" w:hAnsi="Arial" w:cs="Arial"/>
          <w:b/>
          <w:sz w:val="32"/>
          <w:szCs w:val="32"/>
        </w:rPr>
        <w:t xml:space="preserve"> </w:t>
      </w:r>
    </w:p>
    <w:p w14:paraId="13AE6F28" w14:textId="77777777" w:rsidR="00EA78D5" w:rsidRPr="00ED1B44" w:rsidRDefault="00EA78D5">
      <w:pPr>
        <w:spacing w:after="0" w:line="240" w:lineRule="auto"/>
        <w:rPr>
          <w:b/>
          <w:i/>
        </w:rPr>
      </w:pPr>
    </w:p>
    <w:p w14:paraId="25EB1066" w14:textId="77777777" w:rsidR="00D53F1F" w:rsidRPr="00ED1B44" w:rsidRDefault="00C93FC6">
      <w:pPr>
        <w:spacing w:after="0" w:line="240" w:lineRule="auto"/>
        <w:rPr>
          <w:b/>
        </w:rPr>
      </w:pPr>
      <w:r w:rsidRPr="00ED1B44">
        <w:rPr>
          <w:b/>
        </w:rPr>
        <w:t xml:space="preserve">NOTE:  </w:t>
      </w:r>
      <w:r w:rsidR="009645AA" w:rsidRPr="00ED1B44">
        <w:rPr>
          <w:b/>
        </w:rPr>
        <w:t xml:space="preserve">The following procedures apply to adjudication of compensation, pension, </w:t>
      </w:r>
      <w:r w:rsidR="00935640" w:rsidRPr="00ED1B44">
        <w:rPr>
          <w:b/>
        </w:rPr>
        <w:t>DIC</w:t>
      </w:r>
      <w:r w:rsidR="00683E79" w:rsidRPr="00ED1B44">
        <w:rPr>
          <w:b/>
        </w:rPr>
        <w:t xml:space="preserve">, </w:t>
      </w:r>
      <w:r w:rsidR="009645AA" w:rsidRPr="00ED1B44">
        <w:rPr>
          <w:b/>
        </w:rPr>
        <w:t xml:space="preserve">and </w:t>
      </w:r>
      <w:r w:rsidR="003165EF">
        <w:rPr>
          <w:b/>
        </w:rPr>
        <w:t>VR&amp;E</w:t>
      </w:r>
      <w:r w:rsidR="009645AA" w:rsidRPr="00ED1B44">
        <w:rPr>
          <w:b/>
        </w:rPr>
        <w:t xml:space="preserve"> claims.  E</w:t>
      </w:r>
      <w:r w:rsidR="00085881" w:rsidRPr="00ED1B44">
        <w:rPr>
          <w:b/>
        </w:rPr>
        <w:t xml:space="preserve">ducation and insurance </w:t>
      </w:r>
      <w:r w:rsidR="00676900" w:rsidRPr="00ED1B44">
        <w:rPr>
          <w:b/>
        </w:rPr>
        <w:t>follow benefit-specific guidance, which is provided later in this letter</w:t>
      </w:r>
      <w:r w:rsidR="00085881" w:rsidRPr="00ED1B44">
        <w:rPr>
          <w:b/>
        </w:rPr>
        <w:t xml:space="preserve">.  Loan </w:t>
      </w:r>
      <w:r w:rsidR="0029459E" w:rsidRPr="00ED1B44">
        <w:rPr>
          <w:b/>
        </w:rPr>
        <w:t>g</w:t>
      </w:r>
      <w:r w:rsidR="00085881" w:rsidRPr="00ED1B44">
        <w:rPr>
          <w:b/>
        </w:rPr>
        <w:t xml:space="preserve">uaranty </w:t>
      </w:r>
      <w:r w:rsidR="00402DB5" w:rsidRPr="00ED1B44">
        <w:rPr>
          <w:b/>
        </w:rPr>
        <w:t>guidance will be provided separately</w:t>
      </w:r>
      <w:r w:rsidR="00085881" w:rsidRPr="00ED1B44">
        <w:rPr>
          <w:b/>
        </w:rPr>
        <w:t xml:space="preserve">.  </w:t>
      </w:r>
    </w:p>
    <w:p w14:paraId="45E0DBBE" w14:textId="77777777" w:rsidR="00837455" w:rsidRPr="00ED1B44" w:rsidRDefault="008E0F4A">
      <w:pPr>
        <w:spacing w:after="0" w:line="240" w:lineRule="auto"/>
        <w:rPr>
          <w:b/>
        </w:rPr>
      </w:pPr>
      <w:r w:rsidRPr="00ED1B44">
        <w:rPr>
          <w:b/>
        </w:rPr>
        <w:t xml:space="preserve">  </w:t>
      </w:r>
    </w:p>
    <w:p w14:paraId="5E5AD4D3" w14:textId="77777777" w:rsidR="00837455" w:rsidRPr="00ED1B44" w:rsidRDefault="00837455">
      <w:pPr>
        <w:spacing w:after="0" w:line="240" w:lineRule="auto"/>
      </w:pPr>
      <w:r w:rsidRPr="00ED1B44">
        <w:rPr>
          <w:b/>
        </w:rPr>
        <w:t xml:space="preserve">Important: </w:t>
      </w:r>
      <w:r w:rsidRPr="00ED1B44">
        <w:t xml:space="preserve">Any claims related to same-sex marriage currently held at regional offices or centers must be processed expeditiously according to the guidance set forth in this notification. </w:t>
      </w:r>
    </w:p>
    <w:p w14:paraId="5DA38375" w14:textId="77777777" w:rsidR="0095046B" w:rsidRPr="00ED1B44" w:rsidRDefault="0095046B">
      <w:pPr>
        <w:spacing w:after="0" w:line="240" w:lineRule="auto"/>
        <w:rPr>
          <w:rFonts w:ascii="Arial" w:hAnsi="Arial" w:cs="Arial"/>
          <w:b/>
        </w:rPr>
      </w:pPr>
    </w:p>
    <w:p w14:paraId="64F7136B" w14:textId="77777777" w:rsidR="00B965B5" w:rsidRPr="00ED1B44" w:rsidRDefault="00B965B5">
      <w:pPr>
        <w:spacing w:after="0" w:line="240" w:lineRule="auto"/>
        <w:rPr>
          <w:rFonts w:ascii="Arial" w:hAnsi="Arial" w:cs="Arial"/>
          <w:b/>
          <w:sz w:val="28"/>
          <w:szCs w:val="28"/>
        </w:rPr>
      </w:pPr>
      <w:r w:rsidRPr="00ED1B44">
        <w:rPr>
          <w:rFonts w:ascii="Arial" w:hAnsi="Arial" w:cs="Arial"/>
          <w:b/>
          <w:sz w:val="28"/>
          <w:szCs w:val="28"/>
        </w:rPr>
        <w:t>Procedures</w:t>
      </w:r>
    </w:p>
    <w:p w14:paraId="75B0C9A2" w14:textId="77777777" w:rsidR="002C2E87" w:rsidRPr="00ED1B44" w:rsidRDefault="002C2E87">
      <w:pPr>
        <w:spacing w:after="0" w:line="240" w:lineRule="auto"/>
        <w:rPr>
          <w:rFonts w:ascii="Arial" w:hAnsi="Arial" w:cs="Arial"/>
          <w:b/>
        </w:rPr>
      </w:pPr>
    </w:p>
    <w:p w14:paraId="1A343CEC" w14:textId="77777777" w:rsidR="002C2E87" w:rsidRPr="00ED1B44" w:rsidRDefault="002C2E87">
      <w:pPr>
        <w:spacing w:after="0" w:line="240" w:lineRule="auto"/>
        <w:rPr>
          <w:rFonts w:ascii="Arial" w:hAnsi="Arial" w:cs="Arial"/>
          <w:b/>
        </w:rPr>
      </w:pPr>
      <w:r w:rsidRPr="00ED1B44">
        <w:rPr>
          <w:rFonts w:ascii="Arial" w:hAnsi="Arial" w:cs="Arial"/>
          <w:b/>
        </w:rPr>
        <w:t>General</w:t>
      </w:r>
    </w:p>
    <w:p w14:paraId="6111E0F4" w14:textId="77777777" w:rsidR="006E21A4" w:rsidRPr="00ED1B44" w:rsidRDefault="006E21A4">
      <w:pPr>
        <w:spacing w:after="0" w:line="240" w:lineRule="auto"/>
        <w:rPr>
          <w:b/>
        </w:rPr>
      </w:pPr>
    </w:p>
    <w:p w14:paraId="05EFEBD4" w14:textId="77777777" w:rsidR="000372EC" w:rsidRPr="00ED1B44" w:rsidRDefault="00114D93" w:rsidP="003E14F1">
      <w:pPr>
        <w:spacing w:after="0" w:line="240" w:lineRule="auto"/>
        <w:rPr>
          <w:color w:val="000000" w:themeColor="text1"/>
        </w:rPr>
      </w:pPr>
      <w:r w:rsidRPr="00ED1B44">
        <w:rPr>
          <w:color w:val="000000" w:themeColor="text1"/>
        </w:rPr>
        <w:t>U</w:t>
      </w:r>
      <w:r w:rsidR="008422D7" w:rsidRPr="00ED1B44">
        <w:rPr>
          <w:color w:val="000000" w:themeColor="text1"/>
        </w:rPr>
        <w:t xml:space="preserve">nder </w:t>
      </w:r>
      <w:hyperlink r:id="rId17" w:history="1">
        <w:r w:rsidR="000372EC" w:rsidRPr="00ED1B44">
          <w:rPr>
            <w:rStyle w:val="Hyperlink"/>
            <w:color w:val="000000" w:themeColor="text1"/>
            <w:u w:val="none"/>
          </w:rPr>
          <w:t>38 U.S.C. § 5124(a)</w:t>
        </w:r>
      </w:hyperlink>
      <w:r w:rsidR="008422D7" w:rsidRPr="00ED1B44">
        <w:rPr>
          <w:rStyle w:val="Hyperlink"/>
          <w:color w:val="000000" w:themeColor="text1"/>
          <w:u w:val="none"/>
        </w:rPr>
        <w:t>,</w:t>
      </w:r>
      <w:r w:rsidR="000372EC" w:rsidRPr="00ED1B44">
        <w:rPr>
          <w:color w:val="000000" w:themeColor="text1"/>
        </w:rPr>
        <w:t xml:space="preserve"> </w:t>
      </w:r>
      <w:r w:rsidR="000372EC" w:rsidRPr="00541849">
        <w:rPr>
          <w:color w:val="000000" w:themeColor="text1"/>
          <w:highlight w:val="yellow"/>
        </w:rPr>
        <w:t xml:space="preserve">VA </w:t>
      </w:r>
      <w:r w:rsidR="008422D7" w:rsidRPr="00541849">
        <w:rPr>
          <w:color w:val="000000" w:themeColor="text1"/>
          <w:highlight w:val="yellow"/>
        </w:rPr>
        <w:t>may</w:t>
      </w:r>
      <w:r w:rsidR="000372EC" w:rsidRPr="00541849">
        <w:rPr>
          <w:color w:val="000000" w:themeColor="text1"/>
          <w:highlight w:val="yellow"/>
        </w:rPr>
        <w:t xml:space="preserve"> accept the written statement of a claimant</w:t>
      </w:r>
      <w:r w:rsidR="001B40F6" w:rsidRPr="00541849">
        <w:rPr>
          <w:color w:val="000000" w:themeColor="text1"/>
          <w:highlight w:val="yellow"/>
        </w:rPr>
        <w:t>’s marriage to another individual</w:t>
      </w:r>
      <w:r w:rsidR="000372EC" w:rsidRPr="00541849">
        <w:rPr>
          <w:color w:val="000000" w:themeColor="text1"/>
          <w:highlight w:val="yellow"/>
        </w:rPr>
        <w:t xml:space="preserve"> as proof of the existence of </w:t>
      </w:r>
      <w:r w:rsidR="001B40F6" w:rsidRPr="00541849">
        <w:rPr>
          <w:color w:val="000000" w:themeColor="text1"/>
          <w:highlight w:val="yellow"/>
        </w:rPr>
        <w:t xml:space="preserve">the </w:t>
      </w:r>
      <w:r w:rsidR="000372EC" w:rsidRPr="00541849">
        <w:rPr>
          <w:color w:val="000000" w:themeColor="text1"/>
          <w:highlight w:val="yellow"/>
        </w:rPr>
        <w:t>relationship</w:t>
      </w:r>
      <w:r w:rsidR="000372EC" w:rsidRPr="00ED1B44">
        <w:rPr>
          <w:color w:val="000000" w:themeColor="text1"/>
        </w:rPr>
        <w:t xml:space="preserve">.  This statute is </w:t>
      </w:r>
      <w:r w:rsidR="007318DE" w:rsidRPr="00ED1B44">
        <w:rPr>
          <w:color w:val="000000" w:themeColor="text1"/>
        </w:rPr>
        <w:t xml:space="preserve">implemented </w:t>
      </w:r>
      <w:r w:rsidR="000372EC" w:rsidRPr="00ED1B44">
        <w:rPr>
          <w:color w:val="000000" w:themeColor="text1"/>
        </w:rPr>
        <w:t xml:space="preserve">under </w:t>
      </w:r>
      <w:hyperlink r:id="rId18" w:history="1">
        <w:r w:rsidR="000372EC" w:rsidRPr="00ED1B44">
          <w:rPr>
            <w:rStyle w:val="Hyperlink"/>
            <w:color w:val="000000" w:themeColor="text1"/>
            <w:u w:val="none"/>
          </w:rPr>
          <w:t>38 C.F.R. §</w:t>
        </w:r>
        <w:r w:rsidR="00C54091" w:rsidRPr="00ED1B44">
          <w:rPr>
            <w:rStyle w:val="Hyperlink"/>
            <w:color w:val="000000" w:themeColor="text1"/>
            <w:u w:val="none"/>
          </w:rPr>
          <w:t> </w:t>
        </w:r>
        <w:r w:rsidR="0038783A" w:rsidRPr="00ED1B44">
          <w:rPr>
            <w:rStyle w:val="Hyperlink"/>
            <w:color w:val="000000" w:themeColor="text1"/>
            <w:u w:val="none"/>
          </w:rPr>
          <w:t>3.</w:t>
        </w:r>
        <w:r w:rsidR="000372EC" w:rsidRPr="00ED1B44">
          <w:rPr>
            <w:rStyle w:val="Hyperlink"/>
            <w:color w:val="000000" w:themeColor="text1"/>
            <w:u w:val="none"/>
          </w:rPr>
          <w:t>204(a)</w:t>
        </w:r>
      </w:hyperlink>
      <w:r w:rsidR="000372EC" w:rsidRPr="00ED1B44">
        <w:rPr>
          <w:color w:val="000000" w:themeColor="text1"/>
        </w:rPr>
        <w:t xml:space="preserve">. </w:t>
      </w:r>
      <w:r w:rsidR="00C04BED" w:rsidRPr="00ED1B44">
        <w:rPr>
          <w:color w:val="000000" w:themeColor="text1"/>
        </w:rPr>
        <w:t xml:space="preserve"> </w:t>
      </w:r>
      <w:r w:rsidR="000372EC" w:rsidRPr="00ED1B44">
        <w:rPr>
          <w:color w:val="000000" w:themeColor="text1"/>
        </w:rPr>
        <w:t>To establish marriage under</w:t>
      </w:r>
      <w:r w:rsidR="00C54091" w:rsidRPr="00ED1B44">
        <w:rPr>
          <w:color w:val="000000" w:themeColor="text1"/>
        </w:rPr>
        <w:t xml:space="preserve"> section </w:t>
      </w:r>
      <w:r w:rsidR="0038783A" w:rsidRPr="00ED1B44">
        <w:rPr>
          <w:color w:val="000000" w:themeColor="text1"/>
        </w:rPr>
        <w:t>3.</w:t>
      </w:r>
      <w:r w:rsidR="000372EC" w:rsidRPr="00ED1B44">
        <w:rPr>
          <w:color w:val="000000" w:themeColor="text1"/>
        </w:rPr>
        <w:t>204(a), V</w:t>
      </w:r>
      <w:r w:rsidR="00026414" w:rsidRPr="00ED1B44">
        <w:rPr>
          <w:color w:val="000000" w:themeColor="text1"/>
        </w:rPr>
        <w:t>B</w:t>
      </w:r>
      <w:r w:rsidR="000372EC" w:rsidRPr="00ED1B44">
        <w:rPr>
          <w:color w:val="000000" w:themeColor="text1"/>
        </w:rPr>
        <w:t xml:space="preserve">A requires only a statement by the </w:t>
      </w:r>
      <w:r w:rsidR="00CC1713" w:rsidRPr="00ED1B44">
        <w:rPr>
          <w:color w:val="000000" w:themeColor="text1"/>
        </w:rPr>
        <w:t>claimant that includes the date and place of marriage and the</w:t>
      </w:r>
      <w:r w:rsidR="000372EC" w:rsidRPr="00ED1B44">
        <w:rPr>
          <w:color w:val="000000" w:themeColor="text1"/>
        </w:rPr>
        <w:t xml:space="preserve"> name and social security number of </w:t>
      </w:r>
      <w:r w:rsidR="005E4313" w:rsidRPr="00ED1B44">
        <w:rPr>
          <w:color w:val="000000" w:themeColor="text1"/>
        </w:rPr>
        <w:t>the person the claimant has identified as his or her</w:t>
      </w:r>
      <w:r w:rsidR="000372EC" w:rsidRPr="00ED1B44">
        <w:rPr>
          <w:color w:val="000000" w:themeColor="text1"/>
        </w:rPr>
        <w:t xml:space="preserve"> spouse.  </w:t>
      </w:r>
    </w:p>
    <w:p w14:paraId="6036C8CE" w14:textId="77777777" w:rsidR="008422D7" w:rsidRPr="00ED1B44" w:rsidRDefault="008422D7" w:rsidP="003E14F1">
      <w:pPr>
        <w:spacing w:after="0" w:line="240" w:lineRule="auto"/>
        <w:rPr>
          <w:color w:val="000000" w:themeColor="text1"/>
        </w:rPr>
      </w:pPr>
    </w:p>
    <w:p w14:paraId="30C267CB" w14:textId="77777777" w:rsidR="003C411C" w:rsidRPr="00ED1B44" w:rsidRDefault="00BE61BC" w:rsidP="003E14F1">
      <w:pPr>
        <w:spacing w:after="0" w:line="240" w:lineRule="auto"/>
      </w:pPr>
      <w:r w:rsidRPr="00ED1B44">
        <w:rPr>
          <w:color w:val="000000" w:themeColor="text1"/>
        </w:rPr>
        <w:t xml:space="preserve">Under </w:t>
      </w:r>
      <w:hyperlink r:id="rId19" w:history="1">
        <w:r w:rsidR="008422D7" w:rsidRPr="00ED1B44">
          <w:rPr>
            <w:rStyle w:val="Hyperlink"/>
            <w:color w:val="000000" w:themeColor="text1"/>
            <w:u w:val="none"/>
          </w:rPr>
          <w:t>38 U.S.C. § 103(c)</w:t>
        </w:r>
      </w:hyperlink>
      <w:r w:rsidRPr="00ED1B44">
        <w:rPr>
          <w:rStyle w:val="Hyperlink"/>
          <w:color w:val="000000" w:themeColor="text1"/>
          <w:u w:val="none"/>
        </w:rPr>
        <w:t>,</w:t>
      </w:r>
      <w:r w:rsidR="008D57BD" w:rsidRPr="00ED1B44">
        <w:rPr>
          <w:rStyle w:val="Hyperlink"/>
          <w:color w:val="000000" w:themeColor="text1"/>
          <w:u w:val="none"/>
        </w:rPr>
        <w:t xml:space="preserve"> </w:t>
      </w:r>
      <w:r w:rsidR="008D57BD" w:rsidRPr="00541849">
        <w:rPr>
          <w:color w:val="000000" w:themeColor="text1"/>
          <w:highlight w:val="yellow"/>
        </w:rPr>
        <w:t>which is currently administered under 38 C</w:t>
      </w:r>
      <w:r w:rsidR="00026414" w:rsidRPr="00541849">
        <w:rPr>
          <w:color w:val="000000" w:themeColor="text1"/>
          <w:highlight w:val="yellow"/>
        </w:rPr>
        <w:t>.</w:t>
      </w:r>
      <w:r w:rsidR="008D57BD" w:rsidRPr="00541849">
        <w:rPr>
          <w:color w:val="000000" w:themeColor="text1"/>
          <w:highlight w:val="yellow"/>
        </w:rPr>
        <w:t>F</w:t>
      </w:r>
      <w:r w:rsidR="00026414" w:rsidRPr="00541849">
        <w:rPr>
          <w:color w:val="000000" w:themeColor="text1"/>
          <w:highlight w:val="yellow"/>
        </w:rPr>
        <w:t>.</w:t>
      </w:r>
      <w:r w:rsidR="008D57BD" w:rsidRPr="00541849">
        <w:rPr>
          <w:color w:val="000000" w:themeColor="text1"/>
          <w:highlight w:val="yellow"/>
        </w:rPr>
        <w:t>R</w:t>
      </w:r>
      <w:r w:rsidR="00026414" w:rsidRPr="00541849">
        <w:rPr>
          <w:color w:val="000000" w:themeColor="text1"/>
          <w:highlight w:val="yellow"/>
        </w:rPr>
        <w:t>.</w:t>
      </w:r>
      <w:r w:rsidR="008D57BD" w:rsidRPr="00541849">
        <w:rPr>
          <w:color w:val="000000" w:themeColor="text1"/>
          <w:highlight w:val="yellow"/>
        </w:rPr>
        <w:t xml:space="preserve"> </w:t>
      </w:r>
      <w:r w:rsidR="00026414" w:rsidRPr="00541849">
        <w:rPr>
          <w:color w:val="000000" w:themeColor="text1"/>
          <w:highlight w:val="yellow"/>
        </w:rPr>
        <w:t>§ </w:t>
      </w:r>
      <w:r w:rsidR="008D57BD" w:rsidRPr="00541849">
        <w:rPr>
          <w:color w:val="000000" w:themeColor="text1"/>
          <w:highlight w:val="yellow"/>
        </w:rPr>
        <w:t>3.1(j)</w:t>
      </w:r>
      <w:r w:rsidR="00026414" w:rsidRPr="00541849">
        <w:rPr>
          <w:color w:val="000000" w:themeColor="text1"/>
          <w:highlight w:val="yellow"/>
        </w:rPr>
        <w:t>,</w:t>
      </w:r>
      <w:r w:rsidR="00662F28" w:rsidRPr="00541849">
        <w:rPr>
          <w:color w:val="000000" w:themeColor="text1"/>
          <w:highlight w:val="yellow"/>
        </w:rPr>
        <w:t xml:space="preserve"> V</w:t>
      </w:r>
      <w:r w:rsidR="00026414" w:rsidRPr="00541849">
        <w:rPr>
          <w:color w:val="000000" w:themeColor="text1"/>
          <w:highlight w:val="yellow"/>
        </w:rPr>
        <w:t>B</w:t>
      </w:r>
      <w:r w:rsidR="00662F28" w:rsidRPr="00541849">
        <w:rPr>
          <w:color w:val="000000" w:themeColor="text1"/>
          <w:highlight w:val="yellow"/>
        </w:rPr>
        <w:t>A</w:t>
      </w:r>
      <w:r w:rsidRPr="00541849">
        <w:rPr>
          <w:color w:val="000000" w:themeColor="text1"/>
          <w:highlight w:val="yellow"/>
        </w:rPr>
        <w:t xml:space="preserve"> </w:t>
      </w:r>
      <w:r w:rsidR="00AB6DAD" w:rsidRPr="00541849">
        <w:rPr>
          <w:color w:val="000000" w:themeColor="text1"/>
          <w:highlight w:val="yellow"/>
        </w:rPr>
        <w:t>will</w:t>
      </w:r>
      <w:r w:rsidRPr="00541849">
        <w:rPr>
          <w:color w:val="000000" w:themeColor="text1"/>
          <w:highlight w:val="yellow"/>
        </w:rPr>
        <w:t xml:space="preserve"> </w:t>
      </w:r>
      <w:r w:rsidR="008422D7" w:rsidRPr="00541849">
        <w:rPr>
          <w:color w:val="000000" w:themeColor="text1"/>
          <w:highlight w:val="yellow"/>
        </w:rPr>
        <w:t>recogniz</w:t>
      </w:r>
      <w:r w:rsidRPr="00541849">
        <w:rPr>
          <w:color w:val="000000" w:themeColor="text1"/>
          <w:highlight w:val="yellow"/>
        </w:rPr>
        <w:t>e</w:t>
      </w:r>
      <w:r w:rsidR="008422D7" w:rsidRPr="00541849">
        <w:rPr>
          <w:color w:val="000000" w:themeColor="text1"/>
          <w:highlight w:val="yellow"/>
        </w:rPr>
        <w:t xml:space="preserve"> a Veteran’s marriage for </w:t>
      </w:r>
      <w:r w:rsidR="005E4313" w:rsidRPr="00541849">
        <w:rPr>
          <w:color w:val="000000" w:themeColor="text1"/>
          <w:highlight w:val="yellow"/>
        </w:rPr>
        <w:t xml:space="preserve">the </w:t>
      </w:r>
      <w:r w:rsidR="008422D7" w:rsidRPr="00541849">
        <w:rPr>
          <w:color w:val="000000" w:themeColor="text1"/>
          <w:highlight w:val="yellow"/>
        </w:rPr>
        <w:t xml:space="preserve">purposes of paying benefits if the marriage was recognized under the law of the place </w:t>
      </w:r>
      <w:r w:rsidR="005E4313" w:rsidRPr="00541849">
        <w:rPr>
          <w:color w:val="000000" w:themeColor="text1"/>
          <w:highlight w:val="yellow"/>
        </w:rPr>
        <w:t xml:space="preserve">where </w:t>
      </w:r>
      <w:r w:rsidR="00DC024F" w:rsidRPr="00541849">
        <w:rPr>
          <w:color w:val="000000" w:themeColor="text1"/>
          <w:highlight w:val="yellow"/>
        </w:rPr>
        <w:t xml:space="preserve">at least </w:t>
      </w:r>
      <w:r w:rsidR="00E410E4" w:rsidRPr="00541849">
        <w:rPr>
          <w:color w:val="000000" w:themeColor="text1"/>
          <w:highlight w:val="yellow"/>
        </w:rPr>
        <w:t xml:space="preserve">one of </w:t>
      </w:r>
      <w:r w:rsidR="008422D7" w:rsidRPr="00541849">
        <w:rPr>
          <w:color w:val="000000" w:themeColor="text1"/>
          <w:highlight w:val="yellow"/>
        </w:rPr>
        <w:t>the parties resided when they were married</w:t>
      </w:r>
      <w:r w:rsidR="007A3EF4" w:rsidRPr="00541849">
        <w:rPr>
          <w:color w:val="000000" w:themeColor="text1"/>
          <w:highlight w:val="yellow"/>
        </w:rPr>
        <w:t>,</w:t>
      </w:r>
      <w:r w:rsidR="008422D7" w:rsidRPr="00541849">
        <w:rPr>
          <w:color w:val="000000" w:themeColor="text1"/>
          <w:highlight w:val="yellow"/>
        </w:rPr>
        <w:t xml:space="preserve"> </w:t>
      </w:r>
      <w:r w:rsidR="001A4A9C" w:rsidRPr="00541849">
        <w:rPr>
          <w:color w:val="000000" w:themeColor="text1"/>
          <w:highlight w:val="yellow"/>
        </w:rPr>
        <w:t xml:space="preserve">or </w:t>
      </w:r>
      <w:r w:rsidR="008422D7" w:rsidRPr="00541849">
        <w:rPr>
          <w:color w:val="000000" w:themeColor="text1"/>
          <w:highlight w:val="yellow"/>
        </w:rPr>
        <w:t xml:space="preserve">at the time </w:t>
      </w:r>
      <w:r w:rsidR="005E4313" w:rsidRPr="00541849">
        <w:rPr>
          <w:color w:val="000000" w:themeColor="text1"/>
          <w:highlight w:val="yellow"/>
        </w:rPr>
        <w:t>when the claimant became eligible for benefits.</w:t>
      </w:r>
      <w:r w:rsidR="005E4313" w:rsidRPr="00ED1B44">
        <w:rPr>
          <w:color w:val="000000" w:themeColor="text1"/>
        </w:rPr>
        <w:t xml:space="preserve"> </w:t>
      </w:r>
      <w:r w:rsidR="008422D7" w:rsidRPr="00ED1B44">
        <w:rPr>
          <w:color w:val="000000" w:themeColor="text1"/>
        </w:rPr>
        <w:t xml:space="preserve"> </w:t>
      </w:r>
      <w:r w:rsidR="00026414" w:rsidRPr="00ED1B44">
        <w:rPr>
          <w:color w:val="000000" w:themeColor="text1"/>
        </w:rPr>
        <w:t>To apply th</w:t>
      </w:r>
      <w:r w:rsidR="0006787E" w:rsidRPr="00ED1B44">
        <w:rPr>
          <w:color w:val="000000" w:themeColor="text1"/>
        </w:rPr>
        <w:t>e section 103(c) standard</w:t>
      </w:r>
      <w:r w:rsidR="00B05E62" w:rsidRPr="00ED1B44">
        <w:rPr>
          <w:color w:val="000000" w:themeColor="text1"/>
        </w:rPr>
        <w:t xml:space="preserve">, </w:t>
      </w:r>
      <w:r w:rsidR="00AB6DAD" w:rsidRPr="00ED1B44">
        <w:rPr>
          <w:color w:val="000000" w:themeColor="text1"/>
        </w:rPr>
        <w:t>consistent</w:t>
      </w:r>
      <w:r w:rsidR="007A3EF4" w:rsidRPr="00ED1B44">
        <w:rPr>
          <w:color w:val="000000" w:themeColor="text1"/>
        </w:rPr>
        <w:t xml:space="preserve"> with</w:t>
      </w:r>
      <w:r w:rsidR="00AB6DAD" w:rsidRPr="00ED1B44">
        <w:rPr>
          <w:color w:val="000000" w:themeColor="text1"/>
        </w:rPr>
        <w:t xml:space="preserve"> </w:t>
      </w:r>
      <w:hyperlink r:id="rId20" w:history="1">
        <w:r w:rsidR="00AB6DAD" w:rsidRPr="00ED1B44">
          <w:rPr>
            <w:rStyle w:val="Hyperlink"/>
            <w:color w:val="000000" w:themeColor="text1"/>
            <w:u w:val="none"/>
          </w:rPr>
          <w:t>38 U.S.C. §</w:t>
        </w:r>
        <w:r w:rsidR="009645AA" w:rsidRPr="00ED1B44">
          <w:rPr>
            <w:rStyle w:val="Hyperlink"/>
            <w:color w:val="000000" w:themeColor="text1"/>
            <w:u w:val="none"/>
          </w:rPr>
          <w:t> </w:t>
        </w:r>
        <w:r w:rsidR="00AB6DAD" w:rsidRPr="00ED1B44">
          <w:rPr>
            <w:rStyle w:val="Hyperlink"/>
            <w:color w:val="000000" w:themeColor="text1"/>
            <w:u w:val="none"/>
          </w:rPr>
          <w:t>5124(a)</w:t>
        </w:r>
      </w:hyperlink>
      <w:r w:rsidR="00AB6DAD" w:rsidRPr="00ED1B44">
        <w:rPr>
          <w:rStyle w:val="Hyperlink"/>
          <w:color w:val="000000" w:themeColor="text1"/>
          <w:u w:val="none"/>
        </w:rPr>
        <w:t xml:space="preserve"> and </w:t>
      </w:r>
      <w:hyperlink r:id="rId21" w:history="1">
        <w:r w:rsidR="00AB6DAD" w:rsidRPr="00ED1B44">
          <w:rPr>
            <w:rStyle w:val="Hyperlink"/>
            <w:color w:val="000000" w:themeColor="text1"/>
            <w:u w:val="none"/>
          </w:rPr>
          <w:t>38 C.F.R. § 3.204(a)</w:t>
        </w:r>
      </w:hyperlink>
      <w:r w:rsidR="00AB6DAD" w:rsidRPr="00ED1B44">
        <w:rPr>
          <w:rStyle w:val="Hyperlink"/>
          <w:color w:val="000000" w:themeColor="text1"/>
          <w:u w:val="none"/>
        </w:rPr>
        <w:t>,</w:t>
      </w:r>
      <w:r w:rsidR="003C411C" w:rsidRPr="00ED1B44">
        <w:rPr>
          <w:rStyle w:val="Hyperlink"/>
          <w:color w:val="000000" w:themeColor="text1"/>
          <w:u w:val="none"/>
        </w:rPr>
        <w:t xml:space="preserve"> </w:t>
      </w:r>
      <w:r w:rsidR="008D57BD" w:rsidRPr="00ED1B44">
        <w:rPr>
          <w:color w:val="000000" w:themeColor="text1"/>
        </w:rPr>
        <w:t>V</w:t>
      </w:r>
      <w:r w:rsidR="00026414" w:rsidRPr="00ED1B44">
        <w:rPr>
          <w:color w:val="000000" w:themeColor="text1"/>
        </w:rPr>
        <w:t>B</w:t>
      </w:r>
      <w:r w:rsidR="008D57BD" w:rsidRPr="00ED1B44">
        <w:rPr>
          <w:color w:val="000000" w:themeColor="text1"/>
        </w:rPr>
        <w:t xml:space="preserve">A </w:t>
      </w:r>
      <w:r w:rsidR="008D57BD" w:rsidRPr="00ED1B44">
        <w:t>w</w:t>
      </w:r>
      <w:r w:rsidR="00B05E62" w:rsidRPr="00ED1B44">
        <w:t>ill generally</w:t>
      </w:r>
      <w:r w:rsidR="008422D7" w:rsidRPr="00ED1B44">
        <w:t xml:space="preserve"> accept </w:t>
      </w:r>
      <w:r w:rsidR="00A607D3" w:rsidRPr="00ED1B44">
        <w:t xml:space="preserve">a </w:t>
      </w:r>
      <w:r w:rsidR="00384470" w:rsidRPr="00ED1B44">
        <w:t>claimant</w:t>
      </w:r>
      <w:r w:rsidR="008422D7" w:rsidRPr="00ED1B44">
        <w:t>’s statement that he or she is married</w:t>
      </w:r>
      <w:r w:rsidR="008D57BD" w:rsidRPr="00ED1B44">
        <w:t>.  This same procedure applies no matter if the claimant is asserting that he/she is in an opposite-sex marriage or a same-sex marriage</w:t>
      </w:r>
      <w:r w:rsidR="003C411C" w:rsidRPr="00ED1B44">
        <w:t>.</w:t>
      </w:r>
      <w:r w:rsidR="008D57BD" w:rsidRPr="00ED1B44">
        <w:t xml:space="preserve">  </w:t>
      </w:r>
      <w:r w:rsidR="003C411C" w:rsidRPr="00ED1B44">
        <w:t xml:space="preserve">  </w:t>
      </w:r>
    </w:p>
    <w:p w14:paraId="2D14B23C" w14:textId="77777777" w:rsidR="003C411C" w:rsidRPr="00ED1B44" w:rsidRDefault="003C411C" w:rsidP="003E14F1">
      <w:pPr>
        <w:spacing w:after="0" w:line="240" w:lineRule="auto"/>
      </w:pPr>
    </w:p>
    <w:p w14:paraId="0E067952" w14:textId="77777777" w:rsidR="0037481C" w:rsidRPr="00ED1B44" w:rsidRDefault="008D57BD" w:rsidP="00024E33">
      <w:pPr>
        <w:pStyle w:val="NoSpacing"/>
        <w:rPr>
          <w:color w:val="000000" w:themeColor="text1"/>
        </w:rPr>
      </w:pPr>
      <w:r w:rsidRPr="00ED1B44">
        <w:t xml:space="preserve">The only time when VA will not accept a claimant’s statement that he/she is married as being </w:t>
      </w:r>
      <w:r w:rsidR="006B6794" w:rsidRPr="00ED1B44">
        <w:t>sufficient</w:t>
      </w:r>
      <w:r w:rsidRPr="00ED1B44">
        <w:t xml:space="preserve"> evidence to establish the </w:t>
      </w:r>
      <w:r w:rsidR="00C927D6" w:rsidRPr="00ED1B44">
        <w:t xml:space="preserve">claimant’s </w:t>
      </w:r>
      <w:r w:rsidRPr="00ED1B44">
        <w:t>marriage is</w:t>
      </w:r>
      <w:r w:rsidR="00B05E62" w:rsidRPr="00ED1B44">
        <w:rPr>
          <w:rStyle w:val="Hyperlink"/>
          <w:u w:val="none"/>
        </w:rPr>
        <w:t xml:space="preserve"> </w:t>
      </w:r>
      <w:r w:rsidR="003C411C" w:rsidRPr="00ED1B44">
        <w:t>when</w:t>
      </w:r>
      <w:r w:rsidR="00AB6DAD" w:rsidRPr="00ED1B44">
        <w:t xml:space="preserve"> </w:t>
      </w:r>
      <w:r w:rsidR="003C411C" w:rsidRPr="00ED1B44">
        <w:t xml:space="preserve">the claimant’s statement on its face raises a question of validity, the claimant’s statement conflicts with other evidence in the record, or there is </w:t>
      </w:r>
      <w:r w:rsidR="00B05E62" w:rsidRPr="00ED1B44">
        <w:t>a reas</w:t>
      </w:r>
      <w:r w:rsidR="00B05E62" w:rsidRPr="00ED1B44">
        <w:rPr>
          <w:color w:val="000000" w:themeColor="text1"/>
        </w:rPr>
        <w:t>onable indication</w:t>
      </w:r>
      <w:r w:rsidR="003C411C" w:rsidRPr="00ED1B44">
        <w:rPr>
          <w:color w:val="000000" w:themeColor="text1"/>
        </w:rPr>
        <w:t xml:space="preserve"> of fraud or misrepresentation</w:t>
      </w:r>
      <w:r w:rsidRPr="00ED1B44">
        <w:rPr>
          <w:color w:val="000000" w:themeColor="text1"/>
        </w:rPr>
        <w:t>.  In these instances</w:t>
      </w:r>
      <w:r w:rsidR="007A3EF4" w:rsidRPr="00ED1B44">
        <w:rPr>
          <w:color w:val="000000" w:themeColor="text1"/>
        </w:rPr>
        <w:t>,</w:t>
      </w:r>
      <w:r w:rsidR="003C411C" w:rsidRPr="00ED1B44">
        <w:rPr>
          <w:color w:val="000000" w:themeColor="text1"/>
        </w:rPr>
        <w:t xml:space="preserve"> V</w:t>
      </w:r>
      <w:r w:rsidRPr="00ED1B44">
        <w:rPr>
          <w:color w:val="000000" w:themeColor="text1"/>
        </w:rPr>
        <w:t>B</w:t>
      </w:r>
      <w:r w:rsidR="003C411C" w:rsidRPr="00ED1B44">
        <w:rPr>
          <w:color w:val="000000" w:themeColor="text1"/>
        </w:rPr>
        <w:t>A</w:t>
      </w:r>
      <w:r w:rsidRPr="00ED1B44">
        <w:rPr>
          <w:color w:val="000000" w:themeColor="text1"/>
        </w:rPr>
        <w:t xml:space="preserve"> shall</w:t>
      </w:r>
      <w:r w:rsidR="003C411C" w:rsidRPr="00ED1B44">
        <w:rPr>
          <w:color w:val="000000" w:themeColor="text1"/>
        </w:rPr>
        <w:t xml:space="preserve"> require more information</w:t>
      </w:r>
      <w:r w:rsidR="00C927D6" w:rsidRPr="00ED1B44">
        <w:rPr>
          <w:color w:val="000000" w:themeColor="text1"/>
        </w:rPr>
        <w:t>,</w:t>
      </w:r>
      <w:r w:rsidR="00026414" w:rsidRPr="00ED1B44">
        <w:rPr>
          <w:color w:val="000000" w:themeColor="text1"/>
        </w:rPr>
        <w:t xml:space="preserve"> per </w:t>
      </w:r>
      <w:hyperlink r:id="rId22" w:history="1">
        <w:r w:rsidR="00026414" w:rsidRPr="00ED1B44">
          <w:rPr>
            <w:rStyle w:val="Hyperlink"/>
            <w:color w:val="000000" w:themeColor="text1"/>
            <w:u w:val="none"/>
          </w:rPr>
          <w:t>38 C.F.R. § 3.204(a</w:t>
        </w:r>
        <w:proofErr w:type="gramStart"/>
        <w:r w:rsidR="00026414" w:rsidRPr="00ED1B44">
          <w:rPr>
            <w:rStyle w:val="Hyperlink"/>
            <w:color w:val="000000" w:themeColor="text1"/>
            <w:u w:val="none"/>
          </w:rPr>
          <w:t>)</w:t>
        </w:r>
        <w:proofErr w:type="gramEnd"/>
      </w:hyperlink>
      <w:r w:rsidR="00C927D6" w:rsidRPr="00ED1B44">
        <w:rPr>
          <w:rStyle w:val="Hyperlink"/>
          <w:color w:val="000000" w:themeColor="text1"/>
          <w:u w:val="none"/>
        </w:rPr>
        <w:t>(2)</w:t>
      </w:r>
      <w:r w:rsidR="003C411C" w:rsidRPr="00ED1B44">
        <w:rPr>
          <w:color w:val="000000" w:themeColor="text1"/>
        </w:rPr>
        <w:t>.</w:t>
      </w:r>
      <w:r w:rsidR="00B05E62" w:rsidRPr="00ED1B44">
        <w:rPr>
          <w:color w:val="000000" w:themeColor="text1"/>
        </w:rPr>
        <w:t xml:space="preserve">  </w:t>
      </w:r>
    </w:p>
    <w:p w14:paraId="29690A3E" w14:textId="77777777" w:rsidR="00D53F1F" w:rsidRPr="00ED1B44" w:rsidRDefault="00D53F1F" w:rsidP="00024E33">
      <w:pPr>
        <w:pStyle w:val="NoSpacing"/>
        <w:rPr>
          <w:b/>
          <w:i/>
        </w:rPr>
      </w:pPr>
    </w:p>
    <w:p w14:paraId="3DBAC2FE" w14:textId="77777777" w:rsidR="00CC642C" w:rsidRPr="00ED1B44" w:rsidRDefault="002B0755" w:rsidP="00837455">
      <w:pPr>
        <w:spacing w:after="0" w:line="240" w:lineRule="auto"/>
      </w:pPr>
      <w:r w:rsidRPr="00ED1B44">
        <w:rPr>
          <w:b/>
          <w:i/>
        </w:rPr>
        <w:t>Important</w:t>
      </w:r>
      <w:r w:rsidRPr="00ED1B44">
        <w:t xml:space="preserve">: </w:t>
      </w:r>
      <w:r w:rsidR="00EB6609" w:rsidRPr="00541849">
        <w:rPr>
          <w:highlight w:val="yellow"/>
        </w:rPr>
        <w:t xml:space="preserve">For claims involving a </w:t>
      </w:r>
      <w:r w:rsidR="009E4A02" w:rsidRPr="00541849">
        <w:rPr>
          <w:highlight w:val="yellow"/>
        </w:rPr>
        <w:t xml:space="preserve">biological </w:t>
      </w:r>
      <w:r w:rsidR="00EB6609" w:rsidRPr="00541849">
        <w:rPr>
          <w:highlight w:val="yellow"/>
        </w:rPr>
        <w:t xml:space="preserve">child of </w:t>
      </w:r>
      <w:r w:rsidR="000B31C5" w:rsidRPr="00541849">
        <w:rPr>
          <w:highlight w:val="yellow"/>
        </w:rPr>
        <w:t>the Veteran</w:t>
      </w:r>
      <w:r w:rsidR="009E4A02" w:rsidRPr="00541849">
        <w:rPr>
          <w:highlight w:val="yellow"/>
        </w:rPr>
        <w:t>, the Veteran’s written statement is sufficient to establish the</w:t>
      </w:r>
      <w:r w:rsidR="000B31C5" w:rsidRPr="00541849">
        <w:rPr>
          <w:highlight w:val="yellow"/>
        </w:rPr>
        <w:t xml:space="preserve"> relationship to the child, per 38 C.F.R. § 3.2</w:t>
      </w:r>
      <w:r w:rsidR="009E4A02" w:rsidRPr="00541849">
        <w:rPr>
          <w:highlight w:val="yellow"/>
        </w:rPr>
        <w:t>04(a)</w:t>
      </w:r>
      <w:r w:rsidR="000B31C5" w:rsidRPr="00541849">
        <w:rPr>
          <w:highlight w:val="yellow"/>
        </w:rPr>
        <w:t>.</w:t>
      </w:r>
      <w:r w:rsidR="000B31C5" w:rsidRPr="00ED1B44">
        <w:t xml:space="preserve">  For claims involving </w:t>
      </w:r>
      <w:r w:rsidR="009E4A02" w:rsidRPr="00ED1B44">
        <w:t xml:space="preserve">an adopted child, the parent/child relationship should be recognized per 38 C.F.R. § 3.210(c).  For claims involving </w:t>
      </w:r>
      <w:r w:rsidR="000B31C5" w:rsidRPr="00ED1B44">
        <w:t>a stepchild of a same-sex marriage,</w:t>
      </w:r>
      <w:r w:rsidR="009E4A02" w:rsidRPr="00ED1B44">
        <w:t xml:space="preserve"> the parent/child relationship should be recognized</w:t>
      </w:r>
      <w:r w:rsidR="000B31C5" w:rsidRPr="00ED1B44">
        <w:t xml:space="preserve"> per section 3.210(d)</w:t>
      </w:r>
      <w:r w:rsidR="009E4A02" w:rsidRPr="00ED1B44">
        <w:t>.</w:t>
      </w:r>
      <w:r w:rsidR="000B31C5" w:rsidRPr="00ED1B44">
        <w:t xml:space="preserve">  In instances when the relationship between the Veteran and child is neither biological nor adoptive, but there is indication that the relationship may be something more than a stepchild relationship, then</w:t>
      </w:r>
      <w:r w:rsidR="00EB6609" w:rsidRPr="00ED1B44">
        <w:t xml:space="preserve"> refer the claim to regional counsel for a determination as to whether the child </w:t>
      </w:r>
      <w:r w:rsidR="000B31C5" w:rsidRPr="00ED1B44">
        <w:t>may be considered a</w:t>
      </w:r>
      <w:r w:rsidR="00EB6609" w:rsidRPr="00ED1B44">
        <w:t xml:space="preserve"> legitimate </w:t>
      </w:r>
      <w:r w:rsidR="000B31C5" w:rsidRPr="00ED1B44">
        <w:t>child for the purpose of VA benefits</w:t>
      </w:r>
      <w:r w:rsidR="00841FB8" w:rsidRPr="00ED1B44">
        <w:t xml:space="preserve"> u</w:t>
      </w:r>
      <w:r w:rsidR="00EB6609" w:rsidRPr="00ED1B44">
        <w:t>nder 38 C.F.R. § 3.210(a</w:t>
      </w:r>
      <w:r w:rsidR="005A7455" w:rsidRPr="00ED1B44">
        <w:t>).</w:t>
      </w:r>
      <w:r w:rsidRPr="00ED1B44">
        <w:t xml:space="preserve"> </w:t>
      </w:r>
    </w:p>
    <w:p w14:paraId="40D75547" w14:textId="77777777" w:rsidR="002B0755" w:rsidRPr="00ED1B44" w:rsidRDefault="002B0755" w:rsidP="00CC642C">
      <w:pPr>
        <w:spacing w:after="0"/>
      </w:pPr>
      <w:r w:rsidRPr="00ED1B44">
        <w:t xml:space="preserve">  </w:t>
      </w:r>
    </w:p>
    <w:p w14:paraId="1FEF57D1" w14:textId="77777777" w:rsidR="002C2E87" w:rsidRPr="00ED1B44" w:rsidRDefault="002C2E87" w:rsidP="002C2E87">
      <w:pPr>
        <w:pStyle w:val="NoSpacing"/>
        <w:rPr>
          <w:rFonts w:ascii="Arial" w:hAnsi="Arial" w:cs="Arial"/>
          <w:b/>
        </w:rPr>
      </w:pPr>
      <w:r w:rsidRPr="00ED1B44">
        <w:rPr>
          <w:rFonts w:ascii="Arial" w:hAnsi="Arial" w:cs="Arial"/>
          <w:b/>
        </w:rPr>
        <w:t>Survivors Claims</w:t>
      </w:r>
    </w:p>
    <w:p w14:paraId="3C08AA4B" w14:textId="77777777" w:rsidR="002C2E87" w:rsidRPr="00ED1B44" w:rsidRDefault="002C2E87" w:rsidP="002C2E87">
      <w:pPr>
        <w:pStyle w:val="NoSpacing"/>
        <w:rPr>
          <w:b/>
        </w:rPr>
      </w:pPr>
    </w:p>
    <w:p w14:paraId="3379D005" w14:textId="77777777" w:rsidR="007D10D8" w:rsidRPr="00ED1B44" w:rsidRDefault="002C2E87" w:rsidP="007D10D8">
      <w:pPr>
        <w:spacing w:after="0" w:line="240" w:lineRule="auto"/>
      </w:pPr>
      <w:r w:rsidRPr="00ED1B44">
        <w:t>When determining whether</w:t>
      </w:r>
      <w:r w:rsidR="00D275AD" w:rsidRPr="00ED1B44">
        <w:t xml:space="preserve"> VA will recognize</w:t>
      </w:r>
      <w:r w:rsidRPr="00ED1B44">
        <w:t xml:space="preserve"> a same-sex marriage in survivors claims, claims processors should </w:t>
      </w:r>
      <w:r w:rsidR="00317937" w:rsidRPr="00ED1B44">
        <w:t xml:space="preserve">accept the </w:t>
      </w:r>
      <w:r w:rsidR="00972309" w:rsidRPr="00ED1B44">
        <w:t>statement</w:t>
      </w:r>
      <w:r w:rsidR="00317937" w:rsidRPr="00ED1B44">
        <w:t xml:space="preserve"> of the claimant that </w:t>
      </w:r>
      <w:r w:rsidR="00972309" w:rsidRPr="00ED1B44">
        <w:t xml:space="preserve">he/she was </w:t>
      </w:r>
      <w:r w:rsidR="00317937" w:rsidRPr="00ED1B44">
        <w:t>marri</w:t>
      </w:r>
      <w:r w:rsidR="00972309" w:rsidRPr="00ED1B44">
        <w:t>ed</w:t>
      </w:r>
      <w:r w:rsidR="001F1294" w:rsidRPr="00ED1B44">
        <w:t xml:space="preserve">, </w:t>
      </w:r>
      <w:r w:rsidR="002F37B2" w:rsidRPr="00ED1B44">
        <w:t>as they would do for</w:t>
      </w:r>
      <w:r w:rsidR="001F1294" w:rsidRPr="00ED1B44">
        <w:t xml:space="preserve"> claimants </w:t>
      </w:r>
      <w:r w:rsidR="00921ED4" w:rsidRPr="00ED1B44">
        <w:t>asserting a marital relationship by way of</w:t>
      </w:r>
      <w:r w:rsidR="001F1294" w:rsidRPr="00ED1B44">
        <w:t xml:space="preserve"> opposite-sex marriages</w:t>
      </w:r>
      <w:r w:rsidR="00666C54" w:rsidRPr="00ED1B44">
        <w:t xml:space="preserve">.  </w:t>
      </w:r>
    </w:p>
    <w:p w14:paraId="632E2250" w14:textId="77777777" w:rsidR="005963D6" w:rsidRPr="00ED1B44" w:rsidRDefault="00CF78D7" w:rsidP="00CA2AAB">
      <w:pPr>
        <w:spacing w:after="0" w:line="240" w:lineRule="auto"/>
      </w:pPr>
      <w:r w:rsidRPr="00ED1B44">
        <w:t xml:space="preserve">  </w:t>
      </w:r>
    </w:p>
    <w:p w14:paraId="7BE73060" w14:textId="77777777" w:rsidR="00666C54" w:rsidRPr="00ED1B44" w:rsidRDefault="00666C54" w:rsidP="00F519F1">
      <w:pPr>
        <w:pStyle w:val="NoSpacing"/>
      </w:pPr>
      <w:r w:rsidRPr="00ED1B44">
        <w:rPr>
          <w:b/>
          <w:i/>
        </w:rPr>
        <w:t>Note</w:t>
      </w:r>
      <w:r w:rsidRPr="00ED1B44">
        <w:t>:</w:t>
      </w:r>
      <w:r w:rsidR="00F519F1" w:rsidRPr="00ED1B44">
        <w:rPr>
          <w:b/>
          <w:i/>
        </w:rPr>
        <w:t xml:space="preserve">  </w:t>
      </w:r>
      <w:r w:rsidRPr="00ED1B44">
        <w:t xml:space="preserve">For survivors claims, </w:t>
      </w:r>
      <w:r w:rsidR="00AE07C8" w:rsidRPr="00ED1B44">
        <w:t xml:space="preserve">VA may accept a written statement asserting the marital relationship, but  should </w:t>
      </w:r>
      <w:r w:rsidRPr="00ED1B44">
        <w:t>determine if the same-sex marriage satisfies the requirements of 38 C.F.R. §§ 3.50(b)</w:t>
      </w:r>
      <w:r w:rsidR="00AE07C8" w:rsidRPr="00ED1B44">
        <w:t>(1)&amp;(2)</w:t>
      </w:r>
      <w:r w:rsidRPr="00ED1B44">
        <w:t xml:space="preserve">  and 3.54 (marriage dates).  When calculating years of marriage pursuant to section 3.54, use the date the marriage was performed, not the </w:t>
      </w:r>
      <w:r w:rsidR="00924AEB" w:rsidRPr="00ED1B44">
        <w:t xml:space="preserve">date the </w:t>
      </w:r>
      <w:r w:rsidRPr="00ED1B44">
        <w:t>marriage</w:t>
      </w:r>
      <w:r w:rsidR="00924AEB" w:rsidRPr="00ED1B44">
        <w:t xml:space="preserve"> could</w:t>
      </w:r>
      <w:r w:rsidRPr="00ED1B44">
        <w:t xml:space="preserve"> first </w:t>
      </w:r>
      <w:r w:rsidR="00924AEB" w:rsidRPr="00ED1B44">
        <w:t>be recognized for the purpose of VA benefits</w:t>
      </w:r>
      <w:r w:rsidRPr="00ED1B44">
        <w:t>.</w:t>
      </w:r>
    </w:p>
    <w:p w14:paraId="6F37C07E" w14:textId="77777777" w:rsidR="00F519F1" w:rsidRPr="00ED1B44" w:rsidRDefault="00F519F1" w:rsidP="00684177">
      <w:pPr>
        <w:pStyle w:val="CommentText"/>
        <w:spacing w:after="0" w:line="240" w:lineRule="auto"/>
        <w:rPr>
          <w:b/>
          <w:bCs/>
          <w:i/>
          <w:sz w:val="24"/>
          <w:szCs w:val="24"/>
        </w:rPr>
      </w:pPr>
    </w:p>
    <w:p w14:paraId="48E09816" w14:textId="77777777" w:rsidR="00FE373E" w:rsidRPr="00ED1B44" w:rsidRDefault="00F519F1" w:rsidP="00837455">
      <w:pPr>
        <w:spacing w:after="0" w:line="240" w:lineRule="auto"/>
      </w:pPr>
      <w:r w:rsidRPr="00ED1B44">
        <w:rPr>
          <w:b/>
          <w:bCs/>
          <w:i/>
        </w:rPr>
        <w:t>Important</w:t>
      </w:r>
      <w:r w:rsidRPr="00ED1B44">
        <w:rPr>
          <w:bCs/>
        </w:rPr>
        <w:t>:</w:t>
      </w:r>
      <w:r w:rsidR="003572AF" w:rsidRPr="00ED1B44">
        <w:rPr>
          <w:bCs/>
        </w:rPr>
        <w:t xml:space="preserve"> </w:t>
      </w:r>
      <w:r w:rsidRPr="00ED1B44">
        <w:rPr>
          <w:bCs/>
        </w:rPr>
        <w:t xml:space="preserve"> </w:t>
      </w:r>
      <w:r w:rsidR="00637DD5" w:rsidRPr="00ED1B44">
        <w:rPr>
          <w:bCs/>
        </w:rPr>
        <w:t>In some cases</w:t>
      </w:r>
      <w:r w:rsidR="00402DB5" w:rsidRPr="00ED1B44">
        <w:rPr>
          <w:bCs/>
        </w:rPr>
        <w:t>, such as those involving domestic partnerships or civil unions</w:t>
      </w:r>
      <w:r w:rsidR="00637DD5" w:rsidRPr="00ED1B44">
        <w:rPr>
          <w:bCs/>
        </w:rPr>
        <w:t xml:space="preserve">, </w:t>
      </w:r>
      <w:r w:rsidR="00C6156C" w:rsidRPr="00ED1B44">
        <w:rPr>
          <w:bCs/>
        </w:rPr>
        <w:t>VA cannot recognize</w:t>
      </w:r>
      <w:r w:rsidR="00406A2B" w:rsidRPr="00ED1B44">
        <w:rPr>
          <w:bCs/>
        </w:rPr>
        <w:t xml:space="preserve"> a marriage in a survivor’s claim under section 103(c), but the case </w:t>
      </w:r>
      <w:r w:rsidR="00637DD5" w:rsidRPr="00ED1B44">
        <w:rPr>
          <w:bCs/>
        </w:rPr>
        <w:t xml:space="preserve">may </w:t>
      </w:r>
      <w:r w:rsidR="00406A2B" w:rsidRPr="00ED1B44">
        <w:rPr>
          <w:bCs/>
        </w:rPr>
        <w:t xml:space="preserve">raise </w:t>
      </w:r>
      <w:r w:rsidR="00637DD5" w:rsidRPr="00ED1B44">
        <w:rPr>
          <w:bCs/>
        </w:rPr>
        <w:t>the question</w:t>
      </w:r>
      <w:r w:rsidR="00406A2B" w:rsidRPr="00ED1B44">
        <w:rPr>
          <w:bCs/>
        </w:rPr>
        <w:t xml:space="preserve"> of whether the marriage may be </w:t>
      </w:r>
      <w:r w:rsidR="00637DD5" w:rsidRPr="00ED1B44">
        <w:rPr>
          <w:bCs/>
        </w:rPr>
        <w:t>considered a “</w:t>
      </w:r>
      <w:r w:rsidR="00406A2B" w:rsidRPr="00ED1B44">
        <w:rPr>
          <w:bCs/>
        </w:rPr>
        <w:t>deemed valid</w:t>
      </w:r>
      <w:r w:rsidR="00637DD5" w:rsidRPr="00ED1B44">
        <w:rPr>
          <w:bCs/>
        </w:rPr>
        <w:t>” marriage</w:t>
      </w:r>
      <w:r w:rsidR="00406A2B" w:rsidRPr="00ED1B44">
        <w:rPr>
          <w:bCs/>
        </w:rPr>
        <w:t xml:space="preserve"> under 38 U.S.C. § 103(a)</w:t>
      </w:r>
      <w:r w:rsidR="00637DD5" w:rsidRPr="00ED1B44">
        <w:rPr>
          <w:bCs/>
        </w:rPr>
        <w:t>.</w:t>
      </w:r>
      <w:r w:rsidR="00406A2B" w:rsidRPr="00ED1B44">
        <w:rPr>
          <w:bCs/>
        </w:rPr>
        <w:t xml:space="preserve"> </w:t>
      </w:r>
      <w:r w:rsidR="00637DD5" w:rsidRPr="00ED1B44">
        <w:rPr>
          <w:bCs/>
        </w:rPr>
        <w:t xml:space="preserve"> Claims </w:t>
      </w:r>
      <w:r w:rsidR="006B6794" w:rsidRPr="00ED1B44">
        <w:rPr>
          <w:bCs/>
        </w:rPr>
        <w:t>identified</w:t>
      </w:r>
      <w:r w:rsidR="0038279E" w:rsidRPr="00ED1B44">
        <w:rPr>
          <w:bCs/>
        </w:rPr>
        <w:t xml:space="preserve"> as possibly implicati</w:t>
      </w:r>
      <w:r w:rsidR="00637DD5" w:rsidRPr="00ED1B44">
        <w:rPr>
          <w:bCs/>
        </w:rPr>
        <w:t>n</w:t>
      </w:r>
      <w:r w:rsidR="0038279E" w:rsidRPr="00ED1B44">
        <w:rPr>
          <w:bCs/>
        </w:rPr>
        <w:t>g</w:t>
      </w:r>
      <w:r w:rsidR="00637DD5" w:rsidRPr="00ED1B44">
        <w:rPr>
          <w:bCs/>
        </w:rPr>
        <w:t xml:space="preserve"> section 103(a) will be processed with the assistance of regional counsel.  </w:t>
      </w:r>
      <w:r w:rsidR="006B6794" w:rsidRPr="00ED1B44">
        <w:rPr>
          <w:bCs/>
        </w:rPr>
        <w:t>Refer all</w:t>
      </w:r>
      <w:r w:rsidR="00637DD5" w:rsidRPr="00ED1B44">
        <w:rPr>
          <w:bCs/>
        </w:rPr>
        <w:t xml:space="preserve"> such </w:t>
      </w:r>
      <w:r w:rsidR="00FE373E" w:rsidRPr="00ED1B44">
        <w:rPr>
          <w:bCs/>
        </w:rPr>
        <w:t>claim</w:t>
      </w:r>
      <w:r w:rsidR="00637DD5" w:rsidRPr="00ED1B44">
        <w:rPr>
          <w:bCs/>
        </w:rPr>
        <w:t>s based on a same-sex marriage</w:t>
      </w:r>
      <w:r w:rsidR="00FE373E" w:rsidRPr="00ED1B44">
        <w:rPr>
          <w:bCs/>
        </w:rPr>
        <w:t xml:space="preserve"> to regional counsel</w:t>
      </w:r>
      <w:r w:rsidR="00406A2B" w:rsidRPr="00ED1B44">
        <w:rPr>
          <w:bCs/>
        </w:rPr>
        <w:t xml:space="preserve"> until further notice.  </w:t>
      </w:r>
      <w:r w:rsidR="00637DD5" w:rsidRPr="00ED1B44">
        <w:rPr>
          <w:bCs/>
        </w:rPr>
        <w:t xml:space="preserve">The limited exception provided in section 103(a) and implementing regulation 38 C.F.R. § 3.52 permits VA, for the purpose of </w:t>
      </w:r>
      <w:r w:rsidR="006B6794" w:rsidRPr="00ED1B44">
        <w:rPr>
          <w:bCs/>
        </w:rPr>
        <w:t>gratuitous</w:t>
      </w:r>
      <w:r w:rsidR="00637DD5" w:rsidRPr="00ED1B44">
        <w:rPr>
          <w:bCs/>
        </w:rPr>
        <w:t xml:space="preserve"> death benefits, to recognize certain marriages as </w:t>
      </w:r>
      <w:r w:rsidR="00637DD5" w:rsidRPr="00ED1B44">
        <w:rPr>
          <w:bCs/>
          <w:i/>
        </w:rPr>
        <w:t xml:space="preserve">deemed valid marriages </w:t>
      </w:r>
      <w:r w:rsidR="00637DD5" w:rsidRPr="00ED1B44">
        <w:rPr>
          <w:bCs/>
        </w:rPr>
        <w:t xml:space="preserve">that are not recognized under state law.  </w:t>
      </w:r>
      <w:r w:rsidR="006B6794" w:rsidRPr="00ED1B44">
        <w:rPr>
          <w:bCs/>
        </w:rPr>
        <w:t xml:space="preserve">In order for this provision to be applied, the surviving spouse claiming benefits must have been, among other requirements, without knowledge of the legal impediment to the marriage when entering into the marriage, which must have occurred one year or more before the Veteran’s death or for any period of time if a child was born of the marriage.  </w:t>
      </w:r>
    </w:p>
    <w:p w14:paraId="6B3756A3" w14:textId="77777777" w:rsidR="00666C54" w:rsidRPr="00ED1B44" w:rsidRDefault="00666C54" w:rsidP="00024E33">
      <w:pPr>
        <w:pStyle w:val="NoSpacing"/>
        <w:rPr>
          <w:b/>
        </w:rPr>
      </w:pPr>
    </w:p>
    <w:p w14:paraId="45039277" w14:textId="77777777" w:rsidR="0095046B" w:rsidRPr="00ED1B44" w:rsidRDefault="0095046B" w:rsidP="00394201">
      <w:pPr>
        <w:spacing w:after="0" w:line="240" w:lineRule="auto"/>
        <w:rPr>
          <w:rFonts w:ascii="Arial" w:hAnsi="Arial" w:cs="Arial"/>
          <w:b/>
          <w:sz w:val="28"/>
          <w:szCs w:val="28"/>
        </w:rPr>
      </w:pPr>
      <w:r w:rsidRPr="00ED1B44">
        <w:rPr>
          <w:rFonts w:ascii="Arial" w:hAnsi="Arial" w:cs="Arial"/>
          <w:b/>
          <w:sz w:val="28"/>
          <w:szCs w:val="28"/>
        </w:rPr>
        <w:t>Effective Date</w:t>
      </w:r>
    </w:p>
    <w:p w14:paraId="3516C4C2" w14:textId="77777777" w:rsidR="0095046B" w:rsidRPr="00ED1B44" w:rsidRDefault="0095046B" w:rsidP="00394201">
      <w:pPr>
        <w:spacing w:after="0" w:line="240" w:lineRule="auto"/>
      </w:pPr>
    </w:p>
    <w:p w14:paraId="45872509" w14:textId="77777777" w:rsidR="002D7E56" w:rsidRPr="00ED1B44" w:rsidRDefault="009B1FAB" w:rsidP="00394201">
      <w:pPr>
        <w:spacing w:after="0" w:line="240" w:lineRule="auto"/>
      </w:pPr>
      <w:r w:rsidRPr="00ED1B44">
        <w:t xml:space="preserve">Although the </w:t>
      </w:r>
      <w:r w:rsidR="00E37374" w:rsidRPr="00ED1B44">
        <w:t xml:space="preserve">effective dates of awards of compensation or pension based solely upon judicial precedents, i.e., the </w:t>
      </w:r>
      <w:r w:rsidR="00E37374" w:rsidRPr="00541849">
        <w:rPr>
          <w:highlight w:val="yellow"/>
        </w:rPr>
        <w:t xml:space="preserve">Supreme Court’s decision in </w:t>
      </w:r>
      <w:proofErr w:type="spellStart"/>
      <w:r w:rsidR="00E37374" w:rsidRPr="00541849">
        <w:rPr>
          <w:i/>
          <w:highlight w:val="yellow"/>
        </w:rPr>
        <w:t>Obergefell</w:t>
      </w:r>
      <w:proofErr w:type="spellEnd"/>
      <w:r w:rsidR="00E37374" w:rsidRPr="00ED1B44">
        <w:t xml:space="preserve">, are governed by </w:t>
      </w:r>
      <w:r w:rsidR="00E37374" w:rsidRPr="00541849">
        <w:rPr>
          <w:highlight w:val="yellow"/>
        </w:rPr>
        <w:t>38 U.S.C. § 5110(a)</w:t>
      </w:r>
      <w:r w:rsidRPr="00541849">
        <w:rPr>
          <w:highlight w:val="yellow"/>
        </w:rPr>
        <w:t>,</w:t>
      </w:r>
      <w:r w:rsidRPr="00ED1B44">
        <w:t xml:space="preserve"> </w:t>
      </w:r>
      <w:r w:rsidR="00E37374" w:rsidRPr="00ED1B44">
        <w:t>the Attorney General’s September 4, 2013, announcement of the President’s direction to cease enforcement of</w:t>
      </w:r>
      <w:r w:rsidR="005A7455" w:rsidRPr="00ED1B44">
        <w:t xml:space="preserve"> 38 U.S.C. § 101(3) and § 101(31)</w:t>
      </w:r>
      <w:r w:rsidRPr="00ED1B44">
        <w:t xml:space="preserve"> </w:t>
      </w:r>
      <w:r w:rsidR="00460D4C" w:rsidRPr="00ED1B44">
        <w:t>may be</w:t>
      </w:r>
      <w:r w:rsidRPr="00ED1B44">
        <w:t xml:space="preserve"> </w:t>
      </w:r>
      <w:r w:rsidR="00E37374" w:rsidRPr="00ED1B44">
        <w:t>characterized as a liberalizing change in law</w:t>
      </w:r>
      <w:r w:rsidR="0029459E" w:rsidRPr="00ED1B44">
        <w:t xml:space="preserve"> based on an administrative issue</w:t>
      </w:r>
      <w:r w:rsidR="00E37374" w:rsidRPr="00ED1B44">
        <w:t xml:space="preserve"> and governed instead by 38 U.S.C. § 5110(g).  </w:t>
      </w:r>
      <w:r w:rsidR="00F5727C" w:rsidRPr="00ED1B44">
        <w:t xml:space="preserve">Therefore, the effective date should be assigned as follows: </w:t>
      </w:r>
      <w:r w:rsidRPr="00ED1B44">
        <w:t xml:space="preserve"> </w:t>
      </w:r>
    </w:p>
    <w:p w14:paraId="6CA4ACF3" w14:textId="77777777" w:rsidR="002B59E4" w:rsidRPr="00ED1B44" w:rsidRDefault="002B59E4" w:rsidP="00394201">
      <w:pPr>
        <w:spacing w:after="0" w:line="240" w:lineRule="auto"/>
      </w:pPr>
    </w:p>
    <w:p w14:paraId="048BC896" w14:textId="77777777" w:rsidR="001749B8" w:rsidRPr="00ED1B44" w:rsidRDefault="00F5727C" w:rsidP="00D53F1F">
      <w:pPr>
        <w:pStyle w:val="ListParagraph"/>
        <w:numPr>
          <w:ilvl w:val="0"/>
          <w:numId w:val="42"/>
        </w:numPr>
        <w:spacing w:after="0" w:line="240" w:lineRule="auto"/>
      </w:pPr>
      <w:r w:rsidRPr="00541849">
        <w:rPr>
          <w:b/>
          <w:u w:val="single"/>
        </w:rPr>
        <w:t>If the claim was pending or open upon direct review as of September 4, 2013</w:t>
      </w:r>
      <w:r w:rsidRPr="00ED1B44">
        <w:t xml:space="preserve">, the </w:t>
      </w:r>
      <w:r w:rsidR="001749B8" w:rsidRPr="00ED1B44">
        <w:t>effective date should be assigned under 38 U.S.C. § 5110</w:t>
      </w:r>
      <w:r w:rsidR="00AC4B5D" w:rsidRPr="00ED1B44">
        <w:t xml:space="preserve"> and 38 C.F.R. § 3.400,</w:t>
      </w:r>
      <w:r w:rsidR="001749B8" w:rsidRPr="00ED1B44">
        <w:t xml:space="preserve"> as if the </w:t>
      </w:r>
      <w:r w:rsidR="00AC4B5D" w:rsidRPr="00ED1B44">
        <w:t>laws</w:t>
      </w:r>
      <w:r w:rsidR="001749B8" w:rsidRPr="00ED1B44">
        <w:t xml:space="preserve"> barring VA’s recognition of same-sex marriage had never been in effect.</w:t>
      </w:r>
      <w:r w:rsidR="000149D3" w:rsidRPr="00ED1B44">
        <w:t xml:space="preserve">  </w:t>
      </w:r>
    </w:p>
    <w:p w14:paraId="019AE1F6" w14:textId="77777777" w:rsidR="00F5727C" w:rsidRPr="00ED1B44" w:rsidRDefault="00F5727C" w:rsidP="00EA01F6">
      <w:pPr>
        <w:pStyle w:val="ListParagraph"/>
        <w:numPr>
          <w:ilvl w:val="0"/>
          <w:numId w:val="42"/>
        </w:numPr>
        <w:spacing w:after="0" w:line="240" w:lineRule="auto"/>
      </w:pPr>
      <w:r w:rsidRPr="00541849">
        <w:rPr>
          <w:b/>
          <w:highlight w:val="yellow"/>
          <w:u w:val="single"/>
        </w:rPr>
        <w:t>If the claim was received after September 4, 2013</w:t>
      </w:r>
      <w:r w:rsidRPr="00ED1B44">
        <w:t>, VA should apply U.S.C. § 5110(g) and 38 C.F.R. § 3.114</w:t>
      </w:r>
      <w:r w:rsidR="0051440B" w:rsidRPr="00ED1B44">
        <w:t>, if applicable,</w:t>
      </w:r>
      <w:r w:rsidRPr="00ED1B44">
        <w:t xml:space="preserve"> to assign an effective date as early as September 4, 2013, if to do so would be to the claimant’s benefit.  However, </w:t>
      </w:r>
      <w:r w:rsidR="00D17EA9" w:rsidRPr="00ED1B44">
        <w:t xml:space="preserve">the </w:t>
      </w:r>
      <w:r w:rsidR="00D17EA9" w:rsidRPr="00541849">
        <w:rPr>
          <w:highlight w:val="yellow"/>
        </w:rPr>
        <w:t>effective date may not be retroactive for more than one year from the date of receipt of the claim.</w:t>
      </w:r>
      <w:r w:rsidR="0051440B" w:rsidRPr="00541849">
        <w:rPr>
          <w:highlight w:val="yellow"/>
        </w:rPr>
        <w:t xml:space="preserve">  To be entitled to benefits for up to one year prior to the date of the claim under 38 C.F.R. § 3.114, the claimant must have met all eligibility criteria on the date of the liberalizing change in law.  For these purposes, the date of the liberalizing change in law is September 4, 2013, and a claimant may be considered to have met the marriage eligibility criteria on that date if they were actually married as of that date, </w:t>
      </w:r>
      <w:r w:rsidR="0051440B" w:rsidRPr="00541849">
        <w:rPr>
          <w:b/>
          <w:highlight w:val="yellow"/>
          <w:u w:val="single"/>
        </w:rPr>
        <w:t>even if their state of residence did not then recognize the marriage</w:t>
      </w:r>
      <w:r w:rsidR="0051440B" w:rsidRPr="00541849">
        <w:rPr>
          <w:b/>
          <w:u w:val="single"/>
        </w:rPr>
        <w:t>.</w:t>
      </w:r>
      <w:r w:rsidR="00D17EA9" w:rsidRPr="00ED1B44">
        <w:t xml:space="preserve">  </w:t>
      </w:r>
    </w:p>
    <w:p w14:paraId="2DDB4813" w14:textId="77777777" w:rsidR="004E0255" w:rsidRPr="00ED1B44" w:rsidRDefault="00096301" w:rsidP="00D17EA9">
      <w:pPr>
        <w:pStyle w:val="ListParagraph"/>
        <w:numPr>
          <w:ilvl w:val="0"/>
          <w:numId w:val="42"/>
        </w:numPr>
        <w:spacing w:after="0" w:line="240" w:lineRule="auto"/>
      </w:pPr>
      <w:r w:rsidRPr="00ED1B44">
        <w:t xml:space="preserve">If the claimant is entitled to an effective date earlier than </w:t>
      </w:r>
      <w:r w:rsidR="00EE4B3F" w:rsidRPr="00ED1B44">
        <w:t>the date of receipt of the claim</w:t>
      </w:r>
      <w:r w:rsidRPr="00ED1B44">
        <w:t xml:space="preserve">, </w:t>
      </w:r>
      <w:r w:rsidR="007E4CA2" w:rsidRPr="00ED1B44">
        <w:t xml:space="preserve">based on </w:t>
      </w:r>
      <w:r w:rsidRPr="00ED1B44">
        <w:t>some other provision</w:t>
      </w:r>
      <w:r w:rsidR="00E633EF" w:rsidRPr="00ED1B44">
        <w:t>s</w:t>
      </w:r>
      <w:r w:rsidRPr="00ED1B44">
        <w:t xml:space="preserve"> of 38 U.S.C. § 5110</w:t>
      </w:r>
      <w:r w:rsidR="00AC4B5D" w:rsidRPr="00ED1B44">
        <w:t xml:space="preserve"> and 38 C.F.R. § 3.</w:t>
      </w:r>
      <w:r w:rsidR="00E633EF" w:rsidRPr="00ED1B44">
        <w:t>400</w:t>
      </w:r>
      <w:r w:rsidRPr="00ED1B44">
        <w:t>, then assign the effective date in accordance with th</w:t>
      </w:r>
      <w:r w:rsidR="00E633EF" w:rsidRPr="00ED1B44">
        <w:t>ose</w:t>
      </w:r>
      <w:r w:rsidRPr="00ED1B44">
        <w:rPr>
          <w:color w:val="000000" w:themeColor="text1"/>
        </w:rPr>
        <w:t xml:space="preserve"> other provision</w:t>
      </w:r>
      <w:r w:rsidR="00CE4FC4" w:rsidRPr="00ED1B44">
        <w:rPr>
          <w:color w:val="000000" w:themeColor="text1"/>
        </w:rPr>
        <w:t>s</w:t>
      </w:r>
      <w:r w:rsidRPr="00ED1B44">
        <w:rPr>
          <w:color w:val="000000" w:themeColor="text1"/>
        </w:rPr>
        <w:t>.  For example</w:t>
      </w:r>
      <w:r w:rsidR="00D53F1F" w:rsidRPr="00ED1B44">
        <w:rPr>
          <w:color w:val="000000" w:themeColor="text1"/>
        </w:rPr>
        <w:t>,</w:t>
      </w:r>
      <w:r w:rsidRPr="00ED1B44">
        <w:rPr>
          <w:color w:val="000000" w:themeColor="text1"/>
        </w:rPr>
        <w:t xml:space="preserve"> if VA receives a claim for </w:t>
      </w:r>
      <w:r w:rsidR="0035320F" w:rsidRPr="00ED1B44">
        <w:rPr>
          <w:color w:val="000000" w:themeColor="text1"/>
        </w:rPr>
        <w:t xml:space="preserve">DIC or </w:t>
      </w:r>
      <w:r w:rsidR="00D7187D" w:rsidRPr="00ED1B44">
        <w:rPr>
          <w:color w:val="000000" w:themeColor="text1"/>
        </w:rPr>
        <w:t xml:space="preserve">survivors’ </w:t>
      </w:r>
      <w:r w:rsidR="0035320F" w:rsidRPr="00ED1B44">
        <w:rPr>
          <w:color w:val="000000" w:themeColor="text1"/>
        </w:rPr>
        <w:t xml:space="preserve">pension </w:t>
      </w:r>
      <w:r w:rsidRPr="00ED1B44">
        <w:rPr>
          <w:color w:val="000000" w:themeColor="text1"/>
        </w:rPr>
        <w:t>within one year of the date the death occurred, then the effective date of the award may be the first day of the month in which the death occurred, pursuant to 38 U.S.C. § 5110(d)</w:t>
      </w:r>
      <w:r w:rsidR="00AC4B5D" w:rsidRPr="00ED1B44">
        <w:rPr>
          <w:color w:val="000000" w:themeColor="text1"/>
        </w:rPr>
        <w:t xml:space="preserve"> and 38 C.F.R. § 3.400(c</w:t>
      </w:r>
      <w:proofErr w:type="gramStart"/>
      <w:r w:rsidR="00AC4B5D" w:rsidRPr="00ED1B44">
        <w:rPr>
          <w:color w:val="000000" w:themeColor="text1"/>
        </w:rPr>
        <w:t>)(</w:t>
      </w:r>
      <w:proofErr w:type="gramEnd"/>
      <w:r w:rsidR="00AC4B5D" w:rsidRPr="00ED1B44">
        <w:rPr>
          <w:color w:val="000000" w:themeColor="text1"/>
        </w:rPr>
        <w:t>2)</w:t>
      </w:r>
      <w:r w:rsidR="00D17EA9" w:rsidRPr="00ED1B44">
        <w:rPr>
          <w:color w:val="000000" w:themeColor="text1"/>
        </w:rPr>
        <w:t xml:space="preserve">, </w:t>
      </w:r>
      <w:r w:rsidR="00D17EA9" w:rsidRPr="00ED1B44">
        <w:rPr>
          <w:color w:val="252525"/>
        </w:rPr>
        <w:t>regardless of whether that date is prior to September 4, 2013.  However, if death occurred more than one year prior to receipt of the claim, and section 5110(d) and section 3.400(c</w:t>
      </w:r>
      <w:proofErr w:type="gramStart"/>
      <w:r w:rsidR="00D17EA9" w:rsidRPr="00ED1B44">
        <w:rPr>
          <w:color w:val="252525"/>
        </w:rPr>
        <w:t>)(</w:t>
      </w:r>
      <w:proofErr w:type="gramEnd"/>
      <w:r w:rsidR="00D17EA9" w:rsidRPr="00ED1B44">
        <w:rPr>
          <w:color w:val="252525"/>
        </w:rPr>
        <w:t xml:space="preserve">2) are therefore inapplicable, then VA may nonetheless assign an effective date as early as September 4, 2013, </w:t>
      </w:r>
      <w:r w:rsidR="00861A96" w:rsidRPr="00ED1B44">
        <w:rPr>
          <w:color w:val="252525"/>
        </w:rPr>
        <w:t xml:space="preserve">or </w:t>
      </w:r>
      <w:r w:rsidR="00340F7A" w:rsidRPr="00ED1B44">
        <w:rPr>
          <w:color w:val="252525"/>
        </w:rPr>
        <w:t xml:space="preserve">up to </w:t>
      </w:r>
      <w:r w:rsidR="00861A96" w:rsidRPr="00ED1B44">
        <w:rPr>
          <w:color w:val="252525"/>
        </w:rPr>
        <w:t xml:space="preserve">one year prior to the date of receipt of the claim, whichever is later, </w:t>
      </w:r>
      <w:r w:rsidR="00D17EA9" w:rsidRPr="00ED1B44">
        <w:rPr>
          <w:color w:val="252525"/>
        </w:rPr>
        <w:t>pursuant to 38 U.S.C. § 5110(g) and 38 C.F.R. § 3.114</w:t>
      </w:r>
      <w:r w:rsidR="00861A96" w:rsidRPr="00ED1B44">
        <w:rPr>
          <w:color w:val="252525"/>
        </w:rPr>
        <w:t xml:space="preserve">.  </w:t>
      </w:r>
    </w:p>
    <w:p w14:paraId="5068D319" w14:textId="77777777" w:rsidR="00D61CBC" w:rsidRPr="00ED1B44" w:rsidRDefault="00D61CBC" w:rsidP="00394201">
      <w:pPr>
        <w:spacing w:after="0" w:line="240" w:lineRule="auto"/>
      </w:pPr>
    </w:p>
    <w:p w14:paraId="60775563" w14:textId="77777777" w:rsidR="008E0F4A" w:rsidRPr="00ED1B44" w:rsidRDefault="008E0F4A" w:rsidP="008E0F4A">
      <w:pPr>
        <w:pStyle w:val="NoSpacing"/>
        <w:rPr>
          <w:rFonts w:ascii="Arial" w:hAnsi="Arial" w:cs="Arial"/>
          <w:b/>
          <w:sz w:val="28"/>
          <w:szCs w:val="28"/>
        </w:rPr>
      </w:pPr>
      <w:r w:rsidRPr="00ED1B44">
        <w:rPr>
          <w:rFonts w:ascii="Arial" w:hAnsi="Arial" w:cs="Arial"/>
          <w:b/>
          <w:sz w:val="28"/>
          <w:szCs w:val="28"/>
        </w:rPr>
        <w:t>Same-Sex Relationships and Common-Law Marriage</w:t>
      </w:r>
    </w:p>
    <w:p w14:paraId="5D139D51" w14:textId="77777777" w:rsidR="008E0F4A" w:rsidRPr="00ED1B44" w:rsidRDefault="008E0F4A" w:rsidP="008E0F4A">
      <w:pPr>
        <w:pStyle w:val="NoSpacing"/>
      </w:pPr>
    </w:p>
    <w:p w14:paraId="54870AE9" w14:textId="77777777" w:rsidR="008E0F4A" w:rsidRPr="00ED1B44" w:rsidRDefault="00772DCC" w:rsidP="00837455">
      <w:pPr>
        <w:spacing w:after="0" w:line="240" w:lineRule="auto"/>
      </w:pPr>
      <w:r w:rsidRPr="00ED1B44">
        <w:t xml:space="preserve">If the Veteran indicates that his or her </w:t>
      </w:r>
      <w:r w:rsidR="00E633EF" w:rsidRPr="00ED1B44">
        <w:t xml:space="preserve">same-sex </w:t>
      </w:r>
      <w:r w:rsidRPr="00ED1B44">
        <w:t>marriage is a common-law marriage,</w:t>
      </w:r>
      <w:r w:rsidR="00E633EF" w:rsidRPr="00ED1B44">
        <w:t xml:space="preserve"> </w:t>
      </w:r>
      <w:r w:rsidR="00E13258" w:rsidRPr="00ED1B44">
        <w:t>claims processors must determine whether the same-sex relationship qualifies as a common-law marriage.  See</w:t>
      </w:r>
      <w:r w:rsidR="00E13258" w:rsidRPr="00ED1B44">
        <w:rPr>
          <w:i/>
        </w:rPr>
        <w:t xml:space="preserve"> </w:t>
      </w:r>
      <w:r w:rsidR="00E13258" w:rsidRPr="00ED1B44">
        <w:t xml:space="preserve">M21-1MR III.iii.5.C.  Claims processors may seek guidance from regional counsel as needed.     </w:t>
      </w:r>
      <w:r w:rsidR="008E0F4A" w:rsidRPr="00ED1B44">
        <w:t xml:space="preserve">  </w:t>
      </w:r>
    </w:p>
    <w:p w14:paraId="5BBA685B" w14:textId="77777777" w:rsidR="00BF1343" w:rsidRPr="00ED1B44" w:rsidRDefault="00BF1343" w:rsidP="009645AA">
      <w:pPr>
        <w:pStyle w:val="Heading2"/>
        <w:spacing w:before="0" w:line="240" w:lineRule="auto"/>
        <w:rPr>
          <w:rFonts w:ascii="Arial" w:hAnsi="Arial" w:cs="Arial"/>
          <w:iCs/>
          <w:sz w:val="28"/>
          <w:szCs w:val="28"/>
        </w:rPr>
      </w:pPr>
    </w:p>
    <w:p w14:paraId="1942517D" w14:textId="77777777" w:rsidR="00123029" w:rsidRDefault="00123029" w:rsidP="009645AA">
      <w:pPr>
        <w:pStyle w:val="Heading2"/>
        <w:spacing w:before="0" w:line="240" w:lineRule="auto"/>
        <w:rPr>
          <w:rFonts w:ascii="Arial" w:hAnsi="Arial" w:cs="Arial"/>
          <w:iCs/>
          <w:sz w:val="28"/>
          <w:szCs w:val="28"/>
        </w:rPr>
      </w:pPr>
    </w:p>
    <w:p w14:paraId="203CE781" w14:textId="77777777" w:rsidR="00123029" w:rsidRDefault="00123029" w:rsidP="009645AA">
      <w:pPr>
        <w:pStyle w:val="Heading2"/>
        <w:spacing w:before="0" w:line="240" w:lineRule="auto"/>
        <w:rPr>
          <w:rFonts w:ascii="Arial" w:hAnsi="Arial" w:cs="Arial"/>
          <w:iCs/>
          <w:sz w:val="28"/>
          <w:szCs w:val="28"/>
        </w:rPr>
      </w:pPr>
    </w:p>
    <w:p w14:paraId="5B89F117" w14:textId="77777777" w:rsidR="00123029" w:rsidRDefault="00123029" w:rsidP="009645AA">
      <w:pPr>
        <w:pStyle w:val="Heading2"/>
        <w:spacing w:before="0" w:line="240" w:lineRule="auto"/>
        <w:rPr>
          <w:rFonts w:ascii="Arial" w:hAnsi="Arial" w:cs="Arial"/>
          <w:iCs/>
          <w:sz w:val="28"/>
          <w:szCs w:val="28"/>
        </w:rPr>
      </w:pPr>
    </w:p>
    <w:p w14:paraId="55F2E628" w14:textId="77777777" w:rsidR="009645AA" w:rsidRPr="00ED1B44" w:rsidRDefault="009645AA" w:rsidP="009645AA">
      <w:pPr>
        <w:pStyle w:val="Heading2"/>
        <w:spacing w:before="0" w:line="240" w:lineRule="auto"/>
        <w:rPr>
          <w:rFonts w:ascii="Arial" w:hAnsi="Arial" w:cs="Arial"/>
          <w:iCs/>
          <w:sz w:val="28"/>
          <w:szCs w:val="28"/>
        </w:rPr>
      </w:pPr>
      <w:r w:rsidRPr="00ED1B44">
        <w:rPr>
          <w:rFonts w:ascii="Arial" w:hAnsi="Arial" w:cs="Arial"/>
          <w:iCs/>
          <w:sz w:val="28"/>
          <w:szCs w:val="28"/>
        </w:rPr>
        <w:t>Insurance</w:t>
      </w:r>
    </w:p>
    <w:p w14:paraId="62746E76" w14:textId="77777777" w:rsidR="009645AA" w:rsidRPr="00ED1B44" w:rsidRDefault="009645AA" w:rsidP="009645AA">
      <w:pPr>
        <w:pStyle w:val="Heading2"/>
        <w:spacing w:before="0" w:line="240" w:lineRule="auto"/>
        <w:rPr>
          <w:rFonts w:ascii="Times New Roman" w:hAnsi="Times New Roman"/>
          <w:iCs/>
          <w:sz w:val="28"/>
          <w:szCs w:val="28"/>
        </w:rPr>
      </w:pPr>
    </w:p>
    <w:p w14:paraId="27BE8E38" w14:textId="77777777" w:rsidR="009645AA" w:rsidRPr="00ED1B44" w:rsidRDefault="009645AA" w:rsidP="009645AA">
      <w:pPr>
        <w:pStyle w:val="Heading2"/>
        <w:spacing w:before="0" w:line="240" w:lineRule="auto"/>
        <w:rPr>
          <w:rFonts w:ascii="Times New Roman" w:hAnsi="Times New Roman"/>
          <w:b w:val="0"/>
          <w:sz w:val="24"/>
          <w:szCs w:val="24"/>
        </w:rPr>
      </w:pPr>
      <w:r w:rsidRPr="00ED1B44">
        <w:rPr>
          <w:rFonts w:ascii="Times New Roman" w:hAnsi="Times New Roman"/>
          <w:b w:val="0"/>
          <w:sz w:val="24"/>
          <w:szCs w:val="24"/>
        </w:rPr>
        <w:t xml:space="preserve">For </w:t>
      </w:r>
      <w:proofErr w:type="spellStart"/>
      <w:r w:rsidRPr="00ED1B44">
        <w:rPr>
          <w:rFonts w:ascii="Times New Roman" w:hAnsi="Times New Roman"/>
          <w:b w:val="0"/>
          <w:sz w:val="24"/>
          <w:szCs w:val="24"/>
        </w:rPr>
        <w:t>Servicemembers</w:t>
      </w:r>
      <w:proofErr w:type="spellEnd"/>
      <w:r w:rsidRPr="00ED1B44">
        <w:rPr>
          <w:rFonts w:ascii="Times New Roman" w:hAnsi="Times New Roman"/>
          <w:b w:val="0"/>
          <w:sz w:val="24"/>
          <w:szCs w:val="24"/>
        </w:rPr>
        <w:t xml:space="preserve">’ Group Life Insurance (SGLI) and Family SGLI (FSGLI), where Veteran status is not a condition of participation, section 103(c) is inapplicable, and VA recognizes marriages for these programs based on the law of the place where the marriage occurred, which is the same standard as used by the Department of Defense (DoD).  Section 103(c) also does not apply to the process of converting a spouse’s FSGLI coverage to an individual policy, because that right of conversion depends upon status as a </w:t>
      </w:r>
      <w:proofErr w:type="spellStart"/>
      <w:r w:rsidRPr="00ED1B44">
        <w:rPr>
          <w:rFonts w:ascii="Times New Roman" w:hAnsi="Times New Roman"/>
          <w:b w:val="0"/>
          <w:sz w:val="24"/>
          <w:szCs w:val="24"/>
        </w:rPr>
        <w:t>Servicemember’s</w:t>
      </w:r>
      <w:proofErr w:type="spellEnd"/>
      <w:r w:rsidRPr="00ED1B44">
        <w:rPr>
          <w:rFonts w:ascii="Times New Roman" w:hAnsi="Times New Roman"/>
          <w:b w:val="0"/>
          <w:sz w:val="24"/>
          <w:szCs w:val="24"/>
        </w:rPr>
        <w:t xml:space="preserve"> spouse, not as the spouse of a “Veteran.”   Similarly, when establishing a marriage for purposes of Veterans’ Group Life Insurance (VGLI), section 103(c) is inapplicable, because VGLI proceeds are paid based on a relationship to a “former member” rather than a “Veteran.”  </w:t>
      </w:r>
    </w:p>
    <w:p w14:paraId="5462BCA8" w14:textId="77777777" w:rsidR="009645AA" w:rsidRPr="00ED1B44" w:rsidRDefault="009645AA" w:rsidP="009645AA">
      <w:pPr>
        <w:pStyle w:val="Heading2"/>
        <w:spacing w:line="240" w:lineRule="auto"/>
        <w:rPr>
          <w:rFonts w:ascii="Times New Roman" w:hAnsi="Times New Roman"/>
          <w:b w:val="0"/>
          <w:iCs/>
          <w:sz w:val="24"/>
          <w:szCs w:val="24"/>
        </w:rPr>
      </w:pPr>
      <w:r w:rsidRPr="00ED1B44">
        <w:rPr>
          <w:rFonts w:ascii="Times New Roman" w:hAnsi="Times New Roman"/>
          <w:b w:val="0"/>
          <w:sz w:val="24"/>
          <w:szCs w:val="24"/>
        </w:rPr>
        <w:t>For spousal determinations with respect to National Service Life Insurance (NSLI) or U.S. Government Life Insurance (USGLI), applicable regulations employ the place-of-residence analysis under section 103(c) to establish whether VA will recognize a marriage.  Claims processors should follow the procedures set forth in this letter with regard to dependency claims for compensation and pension for determinations of marital status for NSLI and USGLI.</w:t>
      </w:r>
    </w:p>
    <w:p w14:paraId="6AEC495A" w14:textId="77777777" w:rsidR="009645AA" w:rsidRPr="00ED1B44" w:rsidRDefault="009645AA" w:rsidP="009645AA">
      <w:pPr>
        <w:spacing w:after="0" w:line="240" w:lineRule="auto"/>
        <w:rPr>
          <w:rFonts w:ascii="Arial" w:hAnsi="Arial" w:cs="Arial"/>
          <w:b/>
          <w:iCs/>
          <w:sz w:val="28"/>
          <w:szCs w:val="28"/>
        </w:rPr>
      </w:pPr>
    </w:p>
    <w:p w14:paraId="05C6F71D" w14:textId="77777777" w:rsidR="009645AA" w:rsidRPr="00ED1B44" w:rsidRDefault="009645AA" w:rsidP="009645AA">
      <w:pPr>
        <w:spacing w:after="0" w:line="240" w:lineRule="auto"/>
        <w:rPr>
          <w:rFonts w:ascii="Arial" w:hAnsi="Arial" w:cs="Arial"/>
          <w:b/>
          <w:iCs/>
          <w:sz w:val="28"/>
          <w:szCs w:val="28"/>
        </w:rPr>
      </w:pPr>
      <w:r w:rsidRPr="00ED1B44">
        <w:rPr>
          <w:rFonts w:ascii="Arial" w:hAnsi="Arial" w:cs="Arial"/>
          <w:b/>
          <w:iCs/>
          <w:sz w:val="28"/>
          <w:szCs w:val="28"/>
        </w:rPr>
        <w:t>Education</w:t>
      </w:r>
    </w:p>
    <w:p w14:paraId="3D02B8ED" w14:textId="77777777" w:rsidR="009645AA" w:rsidRPr="00ED1B44" w:rsidRDefault="009645AA" w:rsidP="009645AA">
      <w:pPr>
        <w:spacing w:after="0" w:line="240" w:lineRule="auto"/>
        <w:rPr>
          <w:rFonts w:ascii="Arial" w:eastAsia="Calibri" w:hAnsi="Arial" w:cs="Arial"/>
          <w:b/>
          <w:bCs/>
          <w:lang w:bidi="ar-SA"/>
        </w:rPr>
      </w:pPr>
    </w:p>
    <w:p w14:paraId="2C7D2814" w14:textId="77777777" w:rsidR="009645AA" w:rsidRPr="00ED1B44" w:rsidRDefault="009645AA" w:rsidP="009645AA">
      <w:pPr>
        <w:spacing w:after="0" w:line="240" w:lineRule="auto"/>
        <w:rPr>
          <w:rFonts w:ascii="Arial" w:eastAsia="Calibri" w:hAnsi="Arial" w:cs="Arial"/>
          <w:b/>
          <w:bCs/>
          <w:lang w:bidi="ar-SA"/>
        </w:rPr>
      </w:pPr>
      <w:r w:rsidRPr="00ED1B44">
        <w:rPr>
          <w:rFonts w:ascii="Arial" w:eastAsia="Calibri" w:hAnsi="Arial" w:cs="Arial"/>
          <w:b/>
          <w:bCs/>
          <w:lang w:bidi="ar-SA"/>
        </w:rPr>
        <w:t xml:space="preserve">Transfer of Post-9/11 GI Bill Benefits </w:t>
      </w:r>
    </w:p>
    <w:p w14:paraId="587741C9" w14:textId="77777777" w:rsidR="009645AA" w:rsidRPr="00ED1B44" w:rsidRDefault="009645AA" w:rsidP="009645AA">
      <w:pPr>
        <w:spacing w:after="0" w:line="240" w:lineRule="auto"/>
        <w:rPr>
          <w:rFonts w:eastAsia="Calibri"/>
          <w:b/>
          <w:bCs/>
          <w:sz w:val="22"/>
          <w:szCs w:val="22"/>
          <w:lang w:bidi="ar-SA"/>
        </w:rPr>
      </w:pPr>
    </w:p>
    <w:p w14:paraId="72239089" w14:textId="77777777" w:rsidR="009645AA" w:rsidRPr="00ED1B44" w:rsidRDefault="009645AA" w:rsidP="009645AA">
      <w:pPr>
        <w:spacing w:after="0" w:line="240" w:lineRule="auto"/>
        <w:rPr>
          <w:rFonts w:eastAsia="Calibri"/>
          <w:lang w:bidi="ar-SA"/>
        </w:rPr>
      </w:pPr>
      <w:r w:rsidRPr="00ED1B44">
        <w:t xml:space="preserve">Section 103(c) does not apply to transfers of Post 9/11 GI Bill Benefits, per 38 U.S.C. § 3319, because an individual’s eligibility to transfer this education benefit is based on the individual being a member of the uniformed services with a specific amount of qualifying service.  For the purpose of this benefit VA’s recognizes all DoD-approved Section 3319 transfers to dependents.  </w:t>
      </w:r>
    </w:p>
    <w:p w14:paraId="596CD3C6" w14:textId="77777777" w:rsidR="009645AA" w:rsidRPr="00ED1B44" w:rsidRDefault="009645AA" w:rsidP="009645AA">
      <w:pPr>
        <w:spacing w:after="0" w:line="240" w:lineRule="auto"/>
        <w:rPr>
          <w:rFonts w:ascii="Calibri" w:eastAsia="Calibri" w:hAnsi="Calibri"/>
          <w:b/>
          <w:bCs/>
          <w:sz w:val="22"/>
          <w:szCs w:val="22"/>
          <w:lang w:bidi="ar-SA"/>
        </w:rPr>
      </w:pPr>
    </w:p>
    <w:p w14:paraId="3F054472" w14:textId="77777777" w:rsidR="009645AA" w:rsidRPr="00ED1B44" w:rsidRDefault="009645AA" w:rsidP="009645AA">
      <w:pPr>
        <w:spacing w:after="0" w:line="240" w:lineRule="auto"/>
        <w:rPr>
          <w:rFonts w:ascii="Arial" w:eastAsia="Calibri" w:hAnsi="Arial" w:cs="Arial"/>
          <w:b/>
          <w:bCs/>
          <w:lang w:bidi="ar-SA"/>
        </w:rPr>
      </w:pPr>
      <w:r w:rsidRPr="00ED1B44">
        <w:rPr>
          <w:rFonts w:ascii="Arial" w:eastAsia="Calibri" w:hAnsi="Arial" w:cs="Arial"/>
          <w:b/>
          <w:bCs/>
          <w:lang w:bidi="ar-SA"/>
        </w:rPr>
        <w:t>Survivors' and Dependents' Educational Assistance (DEA/Chapter 35)</w:t>
      </w:r>
    </w:p>
    <w:p w14:paraId="481FAA5F" w14:textId="77777777" w:rsidR="009645AA" w:rsidRPr="00ED1B44" w:rsidRDefault="009645AA" w:rsidP="009645AA">
      <w:pPr>
        <w:spacing w:after="0" w:line="240" w:lineRule="auto"/>
        <w:rPr>
          <w:rFonts w:eastAsia="Calibri"/>
          <w:b/>
          <w:bCs/>
          <w:sz w:val="22"/>
          <w:szCs w:val="22"/>
          <w:lang w:bidi="ar-SA"/>
        </w:rPr>
      </w:pPr>
    </w:p>
    <w:p w14:paraId="01D7DA01" w14:textId="77777777" w:rsidR="009645AA" w:rsidRPr="00ED1B44" w:rsidRDefault="009645AA" w:rsidP="009645AA">
      <w:pPr>
        <w:spacing w:after="0" w:line="240" w:lineRule="auto"/>
        <w:rPr>
          <w:rFonts w:eastAsia="Calibri"/>
          <w:lang w:bidi="ar-SA"/>
        </w:rPr>
      </w:pPr>
      <w:r w:rsidRPr="00ED1B44">
        <w:rPr>
          <w:rFonts w:eastAsia="Calibri"/>
          <w:lang w:bidi="ar-SA"/>
        </w:rPr>
        <w:t xml:space="preserve">DEA/Chapter 35 claims eligibility may be established based on a relationship to either a </w:t>
      </w:r>
      <w:proofErr w:type="spellStart"/>
      <w:r w:rsidRPr="00ED1B44">
        <w:rPr>
          <w:rFonts w:eastAsia="Calibri"/>
          <w:lang w:bidi="ar-SA"/>
        </w:rPr>
        <w:t>Servicemember</w:t>
      </w:r>
      <w:proofErr w:type="spellEnd"/>
      <w:r w:rsidRPr="00ED1B44">
        <w:rPr>
          <w:rFonts w:eastAsia="Calibri"/>
          <w:lang w:bidi="ar-SA"/>
        </w:rPr>
        <w:t xml:space="preserve"> or a Veteran.  For a dependent of a </w:t>
      </w:r>
      <w:proofErr w:type="spellStart"/>
      <w:r w:rsidRPr="00ED1B44">
        <w:rPr>
          <w:rFonts w:eastAsia="Calibri"/>
          <w:lang w:bidi="ar-SA"/>
        </w:rPr>
        <w:t>Servicemember</w:t>
      </w:r>
      <w:proofErr w:type="spellEnd"/>
      <w:r w:rsidRPr="00ED1B44">
        <w:rPr>
          <w:rFonts w:eastAsia="Calibri"/>
          <w:lang w:bidi="ar-SA"/>
        </w:rPr>
        <w:t>, DEA eligibility may be established if either of the following exists:</w:t>
      </w:r>
    </w:p>
    <w:p w14:paraId="50D30385" w14:textId="77777777" w:rsidR="009645AA" w:rsidRPr="00ED1B44" w:rsidRDefault="009645AA" w:rsidP="009645AA">
      <w:pPr>
        <w:spacing w:after="0" w:line="240" w:lineRule="auto"/>
        <w:rPr>
          <w:rFonts w:eastAsia="Calibri"/>
          <w:lang w:bidi="ar-SA"/>
        </w:rPr>
      </w:pPr>
    </w:p>
    <w:p w14:paraId="4A3AF722" w14:textId="77777777" w:rsidR="009645AA" w:rsidRPr="00ED1B44" w:rsidRDefault="009645AA" w:rsidP="009645AA">
      <w:pPr>
        <w:numPr>
          <w:ilvl w:val="0"/>
          <w:numId w:val="45"/>
        </w:numPr>
        <w:spacing w:after="0" w:line="240" w:lineRule="auto"/>
        <w:rPr>
          <w:rFonts w:eastAsia="Calibri"/>
          <w:lang w:bidi="ar-SA"/>
        </w:rPr>
      </w:pPr>
      <w:r w:rsidRPr="00ED1B44">
        <w:rPr>
          <w:rFonts w:eastAsia="Calibri"/>
          <w:lang w:bidi="ar-SA"/>
        </w:rPr>
        <w:t xml:space="preserve">A permanent and total disability, incurred or aggravated in the line of duty in the active military, naval, or air service, for which the </w:t>
      </w:r>
      <w:proofErr w:type="spellStart"/>
      <w:r w:rsidRPr="00ED1B44">
        <w:rPr>
          <w:rFonts w:eastAsia="Calibri"/>
          <w:lang w:bidi="ar-SA"/>
        </w:rPr>
        <w:t>Servicemember</w:t>
      </w:r>
      <w:proofErr w:type="spellEnd"/>
      <w:r w:rsidRPr="00ED1B44">
        <w:rPr>
          <w:rFonts w:eastAsia="Calibri"/>
          <w:lang w:bidi="ar-SA"/>
        </w:rPr>
        <w:t xml:space="preserve"> is hospitalized or receiving outpatient medical care, services, or treatment and is likely to be discharged or released from such service for such disability; OR</w:t>
      </w:r>
    </w:p>
    <w:p w14:paraId="5327C0D2" w14:textId="77777777" w:rsidR="009645AA" w:rsidRPr="00ED1B44" w:rsidRDefault="009645AA" w:rsidP="009645AA">
      <w:pPr>
        <w:numPr>
          <w:ilvl w:val="0"/>
          <w:numId w:val="45"/>
        </w:numPr>
        <w:spacing w:after="0" w:line="240" w:lineRule="auto"/>
        <w:rPr>
          <w:rFonts w:eastAsia="Calibri"/>
          <w:lang w:bidi="ar-SA"/>
        </w:rPr>
      </w:pPr>
      <w:r w:rsidRPr="00ED1B44">
        <w:rPr>
          <w:rFonts w:eastAsia="Calibri"/>
          <w:lang w:bidi="ar-SA"/>
        </w:rPr>
        <w:t xml:space="preserve">A </w:t>
      </w:r>
      <w:proofErr w:type="spellStart"/>
      <w:r w:rsidRPr="00ED1B44">
        <w:rPr>
          <w:rFonts w:eastAsia="Calibri"/>
          <w:lang w:bidi="ar-SA"/>
        </w:rPr>
        <w:t>Servicemember</w:t>
      </w:r>
      <w:proofErr w:type="spellEnd"/>
      <w:r w:rsidRPr="00ED1B44">
        <w:rPr>
          <w:rFonts w:eastAsia="Calibri"/>
          <w:lang w:bidi="ar-SA"/>
        </w:rPr>
        <w:t xml:space="preserve"> dies in the line-of-duty.</w:t>
      </w:r>
    </w:p>
    <w:p w14:paraId="371D2097" w14:textId="77777777" w:rsidR="009645AA" w:rsidRPr="00ED1B44" w:rsidRDefault="009645AA" w:rsidP="009645AA">
      <w:pPr>
        <w:spacing w:after="0" w:line="240" w:lineRule="auto"/>
        <w:ind w:left="720"/>
        <w:rPr>
          <w:rFonts w:eastAsia="Calibri"/>
          <w:lang w:bidi="ar-SA"/>
        </w:rPr>
      </w:pPr>
    </w:p>
    <w:p w14:paraId="737814B3" w14:textId="77777777" w:rsidR="009645AA" w:rsidRPr="00ED1B44" w:rsidRDefault="009645AA" w:rsidP="009645AA">
      <w:pPr>
        <w:spacing w:after="0" w:line="240" w:lineRule="auto"/>
        <w:rPr>
          <w:rFonts w:eastAsia="Calibri"/>
          <w:lang w:bidi="ar-SA"/>
        </w:rPr>
      </w:pPr>
      <w:r w:rsidRPr="00ED1B44">
        <w:rPr>
          <w:rFonts w:eastAsia="Calibri"/>
          <w:lang w:bidi="ar-SA"/>
        </w:rPr>
        <w:t xml:space="preserve">Section 103(c) is inapplicable when evaluating a </w:t>
      </w:r>
      <w:proofErr w:type="spellStart"/>
      <w:r w:rsidRPr="00ED1B44">
        <w:rPr>
          <w:rFonts w:eastAsia="Calibri"/>
          <w:lang w:bidi="ar-SA"/>
        </w:rPr>
        <w:t>Servicemember’s</w:t>
      </w:r>
      <w:proofErr w:type="spellEnd"/>
      <w:r w:rsidRPr="00ED1B44">
        <w:rPr>
          <w:rFonts w:eastAsia="Calibri"/>
          <w:lang w:bidi="ar-SA"/>
        </w:rPr>
        <w:t xml:space="preserve"> dependents.  </w:t>
      </w:r>
      <w:proofErr w:type="gramStart"/>
      <w:r w:rsidRPr="00ED1B44">
        <w:rPr>
          <w:rFonts w:eastAsia="Calibri"/>
          <w:lang w:bidi="ar-SA"/>
        </w:rPr>
        <w:t>DoD</w:t>
      </w:r>
      <w:proofErr w:type="gramEnd"/>
      <w:r w:rsidRPr="00ED1B44">
        <w:rPr>
          <w:rFonts w:eastAsia="Calibri"/>
          <w:lang w:bidi="ar-SA"/>
        </w:rPr>
        <w:t xml:space="preserve"> uses a different standard from VA in determining validity of marriage.  </w:t>
      </w:r>
      <w:r w:rsidRPr="00ED1B44">
        <w:t xml:space="preserve">For the purpose of determining whether VA will recognize a marriage to a </w:t>
      </w:r>
      <w:proofErr w:type="spellStart"/>
      <w:r w:rsidRPr="00ED1B44">
        <w:t>Servicemember</w:t>
      </w:r>
      <w:proofErr w:type="spellEnd"/>
      <w:r w:rsidRPr="00ED1B44">
        <w:t xml:space="preserve"> for this benefit, VA will recognize marriages that </w:t>
      </w:r>
      <w:proofErr w:type="gramStart"/>
      <w:r w:rsidRPr="00ED1B44">
        <w:t>DoD</w:t>
      </w:r>
      <w:proofErr w:type="gramEnd"/>
      <w:r w:rsidRPr="00ED1B44">
        <w:t xml:space="preserve"> recognizes. </w:t>
      </w:r>
      <w:r w:rsidRPr="00ED1B44">
        <w:rPr>
          <w:rFonts w:eastAsia="Calibri"/>
          <w:lang w:bidi="ar-SA"/>
        </w:rPr>
        <w:t xml:space="preserve"> If eligibility is based on a relationship to a Veteran AND the relationship determination depends upon marital status (e.g. spouse/surviving spouse, child with no biological or adoptive relationship to the Veteran, or step-child), claims processors should accept the statement of the claimant that he or she is married for purposes of establishing eligibility of the child.</w:t>
      </w:r>
    </w:p>
    <w:p w14:paraId="60BEFAAE" w14:textId="77777777" w:rsidR="00BF1343" w:rsidRPr="00ED1B44" w:rsidRDefault="00BF1343" w:rsidP="000372EC">
      <w:pPr>
        <w:spacing w:after="0" w:line="240" w:lineRule="auto"/>
        <w:rPr>
          <w:rFonts w:ascii="Arial" w:hAnsi="Arial" w:cs="Arial"/>
          <w:b/>
          <w:sz w:val="32"/>
          <w:szCs w:val="32"/>
        </w:rPr>
      </w:pPr>
    </w:p>
    <w:p w14:paraId="19A3D588" w14:textId="77777777" w:rsidR="00031947" w:rsidRPr="00ED1B44" w:rsidRDefault="00613E5E" w:rsidP="000372EC">
      <w:pPr>
        <w:spacing w:after="0" w:line="240" w:lineRule="auto"/>
        <w:rPr>
          <w:rFonts w:ascii="Arial" w:hAnsi="Arial" w:cs="Arial"/>
          <w:b/>
          <w:sz w:val="32"/>
          <w:szCs w:val="32"/>
        </w:rPr>
      </w:pPr>
      <w:r w:rsidRPr="00ED1B44">
        <w:rPr>
          <w:rFonts w:ascii="Arial" w:hAnsi="Arial" w:cs="Arial"/>
          <w:b/>
          <w:sz w:val="32"/>
          <w:szCs w:val="32"/>
        </w:rPr>
        <w:t>Questions</w:t>
      </w:r>
    </w:p>
    <w:p w14:paraId="3D438099" w14:textId="77777777" w:rsidR="00613E5E" w:rsidRPr="00ED1B44" w:rsidRDefault="00613E5E" w:rsidP="000372EC">
      <w:pPr>
        <w:spacing w:after="0" w:line="240" w:lineRule="auto"/>
        <w:rPr>
          <w:b/>
        </w:rPr>
      </w:pPr>
    </w:p>
    <w:p w14:paraId="61A93E47" w14:textId="77777777" w:rsidR="005D59DF" w:rsidRPr="00E315B2" w:rsidRDefault="005D59DF" w:rsidP="00613E5E">
      <w:pPr>
        <w:spacing w:after="0" w:line="240" w:lineRule="auto"/>
        <w:rPr>
          <w:rFonts w:eastAsia="Calibri"/>
          <w:bCs/>
          <w:color w:val="000000" w:themeColor="text1"/>
          <w:lang w:bidi="ar-SA"/>
        </w:rPr>
      </w:pPr>
      <w:r w:rsidRPr="00E315B2">
        <w:rPr>
          <w:rFonts w:eastAsia="Calibri"/>
          <w:bCs/>
          <w:color w:val="000000" w:themeColor="text1"/>
          <w:lang w:bidi="ar-SA"/>
        </w:rPr>
        <w:t>For questions, please contact the following:</w:t>
      </w:r>
    </w:p>
    <w:p w14:paraId="34C71BAF" w14:textId="77777777" w:rsidR="005D59DF" w:rsidRPr="00E315B2" w:rsidRDefault="005D59DF" w:rsidP="00613E5E">
      <w:pPr>
        <w:spacing w:after="0" w:line="240" w:lineRule="auto"/>
        <w:rPr>
          <w:rFonts w:eastAsia="Calibri"/>
          <w:bCs/>
          <w:color w:val="000000" w:themeColor="text1"/>
          <w:lang w:bidi="ar-SA"/>
        </w:rPr>
      </w:pPr>
    </w:p>
    <w:p w14:paraId="557DE602" w14:textId="77777777" w:rsidR="005D59DF" w:rsidRPr="00E315B2" w:rsidRDefault="005D59DF" w:rsidP="005D59DF">
      <w:pPr>
        <w:spacing w:after="0" w:line="240" w:lineRule="auto"/>
        <w:rPr>
          <w:rFonts w:eastAsia="Calibri"/>
          <w:bCs/>
          <w:color w:val="000000" w:themeColor="text1"/>
          <w:lang w:bidi="ar-SA"/>
        </w:rPr>
      </w:pPr>
      <w:r w:rsidRPr="00E315B2">
        <w:rPr>
          <w:rFonts w:eastAsia="Calibri"/>
          <w:b/>
          <w:bCs/>
          <w:color w:val="000000" w:themeColor="text1"/>
          <w:lang w:bidi="ar-SA"/>
        </w:rPr>
        <w:t xml:space="preserve">Compensation: </w:t>
      </w:r>
      <w:hyperlink r:id="rId23" w:history="1">
        <w:r w:rsidRPr="00E315B2">
          <w:rPr>
            <w:rStyle w:val="Hyperlink"/>
            <w:rFonts w:eastAsia="Calibri"/>
            <w:bCs/>
            <w:color w:val="000000" w:themeColor="text1"/>
            <w:u w:val="none"/>
            <w:lang w:bidi="ar-SA"/>
          </w:rPr>
          <w:t>VAVBAWAS/CO/212A</w:t>
        </w:r>
      </w:hyperlink>
    </w:p>
    <w:p w14:paraId="59EDC7F9" w14:textId="77777777" w:rsidR="005D59DF" w:rsidRPr="00E315B2" w:rsidRDefault="005D59DF" w:rsidP="005D59DF">
      <w:pPr>
        <w:spacing w:after="0" w:line="240" w:lineRule="auto"/>
        <w:rPr>
          <w:rFonts w:eastAsia="Calibri"/>
          <w:bCs/>
          <w:color w:val="000000" w:themeColor="text1"/>
          <w:lang w:bidi="ar-SA"/>
        </w:rPr>
      </w:pPr>
    </w:p>
    <w:p w14:paraId="121D6EDB" w14:textId="77777777" w:rsidR="005D59DF" w:rsidRPr="00E315B2" w:rsidRDefault="005D59DF" w:rsidP="00613E5E">
      <w:pPr>
        <w:spacing w:after="0" w:line="240" w:lineRule="auto"/>
        <w:rPr>
          <w:rFonts w:eastAsia="Calibri"/>
          <w:b/>
          <w:bCs/>
          <w:color w:val="000000" w:themeColor="text1"/>
          <w:lang w:bidi="ar-SA"/>
        </w:rPr>
      </w:pPr>
      <w:r w:rsidRPr="00E315B2">
        <w:rPr>
          <w:rFonts w:eastAsia="Calibri"/>
          <w:b/>
          <w:bCs/>
          <w:color w:val="000000" w:themeColor="text1"/>
          <w:lang w:bidi="ar-SA"/>
        </w:rPr>
        <w:t xml:space="preserve">Pension: </w:t>
      </w:r>
      <w:r w:rsidRPr="00E315B2">
        <w:rPr>
          <w:rFonts w:eastAsia="Calibri"/>
          <w:bCs/>
          <w:color w:val="000000" w:themeColor="text1"/>
          <w:lang w:bidi="ar-SA"/>
        </w:rPr>
        <w:t>VAVBAWAS</w:t>
      </w:r>
      <w:r w:rsidRPr="00E315B2">
        <w:rPr>
          <w:color w:val="000000" w:themeColor="text1"/>
        </w:rPr>
        <w:t>/CO/PMC</w:t>
      </w:r>
    </w:p>
    <w:p w14:paraId="0E328168" w14:textId="77777777" w:rsidR="005D59DF" w:rsidRPr="00E315B2" w:rsidRDefault="005D59DF" w:rsidP="00613E5E">
      <w:pPr>
        <w:spacing w:after="0" w:line="240" w:lineRule="auto"/>
        <w:rPr>
          <w:rFonts w:eastAsia="Calibri"/>
          <w:b/>
          <w:bCs/>
          <w:color w:val="000000" w:themeColor="text1"/>
          <w:lang w:bidi="ar-SA"/>
        </w:rPr>
      </w:pPr>
    </w:p>
    <w:p w14:paraId="429B2EF3" w14:textId="77777777" w:rsidR="009645AA" w:rsidRPr="00E315B2" w:rsidRDefault="009645AA" w:rsidP="009645AA">
      <w:pPr>
        <w:spacing w:after="0" w:line="240" w:lineRule="auto"/>
        <w:rPr>
          <w:rFonts w:eastAsia="Calibri"/>
          <w:bCs/>
          <w:color w:val="000000" w:themeColor="text1"/>
          <w:lang w:bidi="ar-SA"/>
        </w:rPr>
      </w:pPr>
      <w:r w:rsidRPr="00E315B2">
        <w:rPr>
          <w:rFonts w:eastAsia="Calibri"/>
          <w:b/>
          <w:bCs/>
          <w:color w:val="000000" w:themeColor="text1"/>
          <w:lang w:bidi="ar-SA"/>
        </w:rPr>
        <w:t xml:space="preserve">Insurance: </w:t>
      </w:r>
      <w:r w:rsidRPr="00E315B2">
        <w:rPr>
          <w:color w:val="000000" w:themeColor="text1"/>
        </w:rPr>
        <w:t>VAVBAPHI/IC/29/29A</w:t>
      </w:r>
    </w:p>
    <w:p w14:paraId="5664F4A5" w14:textId="77777777" w:rsidR="009645AA" w:rsidRPr="00E315B2" w:rsidRDefault="009645AA" w:rsidP="009645AA">
      <w:pPr>
        <w:spacing w:after="0" w:line="240" w:lineRule="auto"/>
        <w:rPr>
          <w:rFonts w:eastAsia="Calibri"/>
          <w:b/>
          <w:bCs/>
          <w:color w:val="000000" w:themeColor="text1"/>
          <w:lang w:bidi="ar-SA"/>
        </w:rPr>
      </w:pPr>
    </w:p>
    <w:p w14:paraId="7A0A4C02" w14:textId="77777777" w:rsidR="009645AA" w:rsidRPr="00E315B2" w:rsidRDefault="009645AA" w:rsidP="009645AA">
      <w:pPr>
        <w:rPr>
          <w:color w:val="000000" w:themeColor="text1"/>
        </w:rPr>
      </w:pPr>
      <w:r w:rsidRPr="00E315B2">
        <w:rPr>
          <w:rFonts w:eastAsia="Calibri"/>
          <w:b/>
          <w:bCs/>
          <w:color w:val="000000" w:themeColor="text1"/>
          <w:lang w:bidi="ar-SA"/>
        </w:rPr>
        <w:t>Loan Guaranty:</w:t>
      </w:r>
      <w:r w:rsidRPr="00E315B2">
        <w:rPr>
          <w:rFonts w:eastAsia="Calibri"/>
          <w:bCs/>
          <w:color w:val="000000" w:themeColor="text1"/>
          <w:lang w:bidi="ar-SA"/>
        </w:rPr>
        <w:t xml:space="preserve"> </w:t>
      </w:r>
      <w:hyperlink r:id="rId24" w:history="1">
        <w:r w:rsidRPr="00E315B2">
          <w:rPr>
            <w:rStyle w:val="Hyperlink"/>
            <w:color w:val="000000" w:themeColor="text1"/>
            <w:u w:val="none"/>
          </w:rPr>
          <w:t>LGYLEGAL.VBAVACO@va.gov</w:t>
        </w:r>
      </w:hyperlink>
    </w:p>
    <w:p w14:paraId="7812E268" w14:textId="77777777" w:rsidR="009645AA" w:rsidRPr="00E315B2" w:rsidRDefault="009645AA" w:rsidP="009645AA">
      <w:pPr>
        <w:spacing w:after="0" w:line="240" w:lineRule="auto"/>
        <w:rPr>
          <w:rFonts w:eastAsia="Calibri"/>
          <w:color w:val="000000" w:themeColor="text1"/>
          <w:lang w:bidi="ar-SA"/>
        </w:rPr>
      </w:pPr>
      <w:r w:rsidRPr="00E315B2">
        <w:rPr>
          <w:rFonts w:eastAsia="Calibri"/>
          <w:b/>
          <w:bCs/>
          <w:color w:val="000000" w:themeColor="text1"/>
          <w:lang w:bidi="ar-SA"/>
        </w:rPr>
        <w:t>Education:</w:t>
      </w:r>
      <w:r w:rsidRPr="00E315B2">
        <w:rPr>
          <w:rFonts w:eastAsia="Calibri"/>
          <w:color w:val="000000" w:themeColor="text1"/>
          <w:lang w:bidi="ar-SA"/>
        </w:rPr>
        <w:t xml:space="preserve"> </w:t>
      </w:r>
      <w:hyperlink r:id="rId25" w:history="1">
        <w:r w:rsidRPr="00E315B2">
          <w:rPr>
            <w:rFonts w:eastAsia="Calibri"/>
            <w:color w:val="000000" w:themeColor="text1"/>
            <w:lang w:bidi="ar-SA"/>
          </w:rPr>
          <w:t>VABVAWAS/CO/225C</w:t>
        </w:r>
      </w:hyperlink>
    </w:p>
    <w:p w14:paraId="0784AF63" w14:textId="77777777" w:rsidR="00613E5E" w:rsidRPr="00E315B2" w:rsidRDefault="00613E5E" w:rsidP="00613E5E">
      <w:pPr>
        <w:spacing w:after="0" w:line="240" w:lineRule="auto"/>
        <w:rPr>
          <w:rFonts w:eastAsia="Calibri"/>
          <w:color w:val="000000" w:themeColor="text1"/>
          <w:lang w:bidi="ar-SA"/>
        </w:rPr>
      </w:pPr>
    </w:p>
    <w:p w14:paraId="08492955" w14:textId="77777777" w:rsidR="00613E5E" w:rsidRPr="00ED1B44" w:rsidRDefault="00613E5E" w:rsidP="00613E5E">
      <w:pPr>
        <w:spacing w:line="240" w:lineRule="auto"/>
      </w:pPr>
      <w:r w:rsidRPr="00E315B2">
        <w:rPr>
          <w:b/>
          <w:color w:val="000000" w:themeColor="text1"/>
        </w:rPr>
        <w:t>VR&amp;E:</w:t>
      </w:r>
      <w:r w:rsidRPr="00E315B2">
        <w:rPr>
          <w:color w:val="000000" w:themeColor="text1"/>
        </w:rPr>
        <w:t xml:space="preserve"> </w:t>
      </w:r>
      <w:r w:rsidR="00B11C02" w:rsidRPr="00E315B2">
        <w:rPr>
          <w:color w:val="000000" w:themeColor="text1"/>
        </w:rPr>
        <w:t>Y</w:t>
      </w:r>
      <w:r w:rsidRPr="00E315B2">
        <w:rPr>
          <w:color w:val="000000" w:themeColor="text1"/>
        </w:rPr>
        <w:t>our area</w:t>
      </w:r>
      <w:r w:rsidR="00B11C02" w:rsidRPr="00E315B2">
        <w:rPr>
          <w:color w:val="000000" w:themeColor="text1"/>
        </w:rPr>
        <w:t xml:space="preserve"> </w:t>
      </w:r>
      <w:r w:rsidRPr="00E315B2">
        <w:rPr>
          <w:color w:val="000000" w:themeColor="text1"/>
        </w:rPr>
        <w:t>VR&amp;E field liaison at the email address listed below, or by telephone at (202) 461-9600</w:t>
      </w:r>
    </w:p>
    <w:tbl>
      <w:tblPr>
        <w:tblW w:w="0" w:type="auto"/>
        <w:tblInd w:w="198" w:type="dxa"/>
        <w:tblLayout w:type="fixed"/>
        <w:tblCellMar>
          <w:left w:w="0" w:type="dxa"/>
          <w:right w:w="0" w:type="dxa"/>
        </w:tblCellMar>
        <w:tblLook w:val="0000" w:firstRow="0" w:lastRow="0" w:firstColumn="0" w:lastColumn="0" w:noHBand="0" w:noVBand="0"/>
      </w:tblPr>
      <w:tblGrid>
        <w:gridCol w:w="1710"/>
        <w:gridCol w:w="1980"/>
        <w:gridCol w:w="2231"/>
        <w:gridCol w:w="3457"/>
      </w:tblGrid>
      <w:tr w:rsidR="00CF1653" w:rsidRPr="00ED1B44" w14:paraId="52B7A36A" w14:textId="77777777" w:rsidTr="00CF1653">
        <w:tc>
          <w:tcPr>
            <w:tcW w:w="17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C3567A" w14:textId="77777777" w:rsidR="00CF1653" w:rsidRPr="00ED1B44" w:rsidRDefault="00CF1653" w:rsidP="00541849">
            <w:pPr>
              <w:jc w:val="center"/>
              <w:rPr>
                <w:bCs/>
              </w:rPr>
            </w:pPr>
            <w:r w:rsidRPr="00ED1B44">
              <w:rPr>
                <w:bCs/>
              </w:rPr>
              <w:t>District</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D973CA" w14:textId="77777777" w:rsidR="00CF1653" w:rsidRPr="00ED1B44" w:rsidRDefault="00CF1653" w:rsidP="00541849">
            <w:pPr>
              <w:jc w:val="center"/>
              <w:rPr>
                <w:bCs/>
              </w:rPr>
            </w:pPr>
            <w:r w:rsidRPr="00ED1B44">
              <w:rPr>
                <w:bCs/>
              </w:rPr>
              <w:t>Primary</w:t>
            </w:r>
          </w:p>
        </w:tc>
        <w:tc>
          <w:tcPr>
            <w:tcW w:w="22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3BF4C3" w14:textId="77777777" w:rsidR="00CF1653" w:rsidRPr="00ED1B44" w:rsidRDefault="00CF1653" w:rsidP="00541849">
            <w:pPr>
              <w:jc w:val="center"/>
              <w:rPr>
                <w:bCs/>
              </w:rPr>
            </w:pPr>
            <w:r w:rsidRPr="00ED1B44">
              <w:rPr>
                <w:bCs/>
              </w:rPr>
              <w:t>Alternate</w:t>
            </w:r>
          </w:p>
        </w:tc>
        <w:tc>
          <w:tcPr>
            <w:tcW w:w="34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29914B" w14:textId="77777777" w:rsidR="00CF1653" w:rsidRPr="00ED1B44" w:rsidRDefault="00CF1653" w:rsidP="00541849">
            <w:pPr>
              <w:jc w:val="center"/>
              <w:rPr>
                <w:bCs/>
              </w:rPr>
            </w:pPr>
            <w:r w:rsidRPr="00ED1B44">
              <w:rPr>
                <w:bCs/>
              </w:rPr>
              <w:t>E-mail</w:t>
            </w:r>
          </w:p>
        </w:tc>
      </w:tr>
      <w:tr w:rsidR="00CF1653" w:rsidRPr="00ED1B44" w14:paraId="7446B229" w14:textId="77777777" w:rsidTr="00CF1653">
        <w:tc>
          <w:tcPr>
            <w:tcW w:w="1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A050A0C" w14:textId="77777777" w:rsidR="00CF1653" w:rsidRPr="00ED1B44" w:rsidRDefault="00CF1653" w:rsidP="00541849">
            <w:r w:rsidRPr="00ED1B44">
              <w:t>North Atlantic</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E5F67D1" w14:textId="77777777" w:rsidR="00CF1653" w:rsidRPr="00ED1B44" w:rsidRDefault="00CF1653" w:rsidP="00541849">
            <w:r w:rsidRPr="00ED1B44">
              <w:t>Ellen Braswell</w:t>
            </w:r>
          </w:p>
        </w:tc>
        <w:tc>
          <w:tcPr>
            <w:tcW w:w="2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1EA7A1" w14:textId="77777777" w:rsidR="00CF1653" w:rsidRPr="00ED1B44" w:rsidRDefault="00CF1653" w:rsidP="00541849">
            <w:r w:rsidRPr="00ED1B44">
              <w:t>Veronica Brown </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1171C6" w14:textId="77777777" w:rsidR="00CF1653" w:rsidRPr="00ED1B44" w:rsidRDefault="00CF1653" w:rsidP="00541849">
            <w:r w:rsidRPr="00ED1B44">
              <w:t>VAVBAWAS/CO/VRE/NA</w:t>
            </w:r>
          </w:p>
        </w:tc>
      </w:tr>
      <w:tr w:rsidR="00CF1653" w:rsidRPr="00ED1B44" w14:paraId="2D4E0220" w14:textId="77777777" w:rsidTr="00CF1653">
        <w:tc>
          <w:tcPr>
            <w:tcW w:w="1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2DCB33" w14:textId="77777777" w:rsidR="00CF1653" w:rsidRPr="00ED1B44" w:rsidRDefault="00CF1653" w:rsidP="00541849">
            <w:r w:rsidRPr="00ED1B44">
              <w:t>Southeast</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D94A8F" w14:textId="77777777" w:rsidR="00CF1653" w:rsidRPr="00ED1B44" w:rsidRDefault="00CF1653" w:rsidP="00541849">
            <w:pPr>
              <w:rPr>
                <w:color w:val="000000"/>
              </w:rPr>
            </w:pPr>
            <w:r w:rsidRPr="00ED1B44">
              <w:rPr>
                <w:color w:val="000000"/>
              </w:rPr>
              <w:t>Veronica Brown</w:t>
            </w:r>
            <w:r w:rsidRPr="00ED1B44">
              <w:rPr>
                <w:color w:val="0000FF"/>
                <w:sz w:val="20"/>
              </w:rPr>
              <w:t> </w:t>
            </w:r>
          </w:p>
        </w:tc>
        <w:tc>
          <w:tcPr>
            <w:tcW w:w="2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0DFA0F" w14:textId="77777777" w:rsidR="00CF1653" w:rsidRPr="00ED1B44" w:rsidRDefault="00CF1653" w:rsidP="00541849">
            <w:r w:rsidRPr="00ED1B44">
              <w:t>Ellen Braswell</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43EEE6F" w14:textId="77777777" w:rsidR="00CF1653" w:rsidRPr="00ED1B44" w:rsidRDefault="00CF1653" w:rsidP="00541849">
            <w:r w:rsidRPr="00ED1B44">
              <w:t>VAVBAWAS/CO/VRE/SE</w:t>
            </w:r>
          </w:p>
        </w:tc>
      </w:tr>
      <w:tr w:rsidR="00CF1653" w:rsidRPr="00ED1B44" w14:paraId="0BFDA8F6" w14:textId="77777777" w:rsidTr="00CF1653">
        <w:tc>
          <w:tcPr>
            <w:tcW w:w="1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4B44B63" w14:textId="77777777" w:rsidR="00CF1653" w:rsidRPr="00ED1B44" w:rsidRDefault="00CF1653" w:rsidP="00541849">
            <w:r w:rsidRPr="00ED1B44">
              <w:t>Midwest</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BCCC90" w14:textId="77777777" w:rsidR="00CF1653" w:rsidRPr="00ED1B44" w:rsidRDefault="00CF1653" w:rsidP="00541849">
            <w:pPr>
              <w:rPr>
                <w:color w:val="000000"/>
              </w:rPr>
            </w:pPr>
            <w:r w:rsidRPr="00ED1B44">
              <w:rPr>
                <w:color w:val="000000"/>
              </w:rPr>
              <w:t>Sabrina McNeil</w:t>
            </w:r>
          </w:p>
        </w:tc>
        <w:tc>
          <w:tcPr>
            <w:tcW w:w="2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00819B" w14:textId="77777777" w:rsidR="00CF1653" w:rsidRPr="00ED1B44" w:rsidRDefault="00CF1653" w:rsidP="00541849">
            <w:r w:rsidRPr="00ED1B44">
              <w:t>Anthony Estelle</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791A95" w14:textId="77777777" w:rsidR="00CF1653" w:rsidRPr="00ED1B44" w:rsidRDefault="00CF1653" w:rsidP="00541849">
            <w:r w:rsidRPr="00ED1B44">
              <w:t>VAVBAWAS/CO/VRE/MW</w:t>
            </w:r>
          </w:p>
        </w:tc>
      </w:tr>
      <w:tr w:rsidR="00CF1653" w:rsidRPr="00ED1B44" w14:paraId="5B228A5F" w14:textId="77777777" w:rsidTr="00CF1653">
        <w:tc>
          <w:tcPr>
            <w:tcW w:w="1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D47AF40" w14:textId="77777777" w:rsidR="00CF1653" w:rsidRPr="00ED1B44" w:rsidRDefault="00CF1653" w:rsidP="00541849">
            <w:r w:rsidRPr="00ED1B44">
              <w:t>Continental</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1AE178" w14:textId="77777777" w:rsidR="00CF1653" w:rsidRPr="00ED1B44" w:rsidRDefault="00CF1653" w:rsidP="00541849">
            <w:r w:rsidRPr="00ED1B44">
              <w:rPr>
                <w:color w:val="000000"/>
              </w:rPr>
              <w:t xml:space="preserve">Lynn </w:t>
            </w:r>
            <w:proofErr w:type="spellStart"/>
            <w:r w:rsidRPr="00ED1B44">
              <w:rPr>
                <w:color w:val="000000"/>
              </w:rPr>
              <w:t>Horwatt</w:t>
            </w:r>
            <w:proofErr w:type="spellEnd"/>
          </w:p>
        </w:tc>
        <w:tc>
          <w:tcPr>
            <w:tcW w:w="2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48B3C7" w14:textId="77777777" w:rsidR="00CF1653" w:rsidRPr="00ED1B44" w:rsidRDefault="00CF1653" w:rsidP="00541849">
            <w:pPr>
              <w:rPr>
                <w:color w:val="000000"/>
              </w:rPr>
            </w:pPr>
            <w:r w:rsidRPr="00ED1B44">
              <w:rPr>
                <w:color w:val="000000"/>
              </w:rPr>
              <w:t>Veronica Brown</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25A472" w14:textId="77777777" w:rsidR="00CF1653" w:rsidRPr="00ED1B44" w:rsidRDefault="00CF1653" w:rsidP="00541849">
            <w:r w:rsidRPr="00ED1B44">
              <w:t>VAVBAWAS/CO/VRE/CONT</w:t>
            </w:r>
          </w:p>
        </w:tc>
      </w:tr>
      <w:tr w:rsidR="00CF1653" w:rsidRPr="00ED1B44" w14:paraId="29D6E82A" w14:textId="77777777" w:rsidTr="00CF1653">
        <w:tc>
          <w:tcPr>
            <w:tcW w:w="1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233A00" w14:textId="77777777" w:rsidR="00CF1653" w:rsidRPr="00ED1B44" w:rsidRDefault="00CF1653" w:rsidP="00541849">
            <w:r w:rsidRPr="00ED1B44">
              <w:t>Pacific</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D74E385" w14:textId="77777777" w:rsidR="00CF1653" w:rsidRPr="00ED1B44" w:rsidRDefault="00CF1653" w:rsidP="00541849">
            <w:r w:rsidRPr="00ED1B44">
              <w:rPr>
                <w:color w:val="000000"/>
              </w:rPr>
              <w:t>Anthony Estelle</w:t>
            </w:r>
          </w:p>
        </w:tc>
        <w:tc>
          <w:tcPr>
            <w:tcW w:w="2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495723" w14:textId="77777777" w:rsidR="00CF1653" w:rsidRPr="00ED1B44" w:rsidRDefault="00CF1653" w:rsidP="00541849">
            <w:r w:rsidRPr="00ED1B44">
              <w:rPr>
                <w:color w:val="000000"/>
              </w:rPr>
              <w:t>Sabrina McNeil</w:t>
            </w:r>
          </w:p>
        </w:tc>
        <w:tc>
          <w:tcPr>
            <w:tcW w:w="3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0A089E6" w14:textId="77777777" w:rsidR="00CF1653" w:rsidRPr="00ED1B44" w:rsidRDefault="00CF1653" w:rsidP="00541849">
            <w:r w:rsidRPr="00ED1B44">
              <w:t>VAVBAWAS/CO/VRE/PA</w:t>
            </w:r>
          </w:p>
        </w:tc>
      </w:tr>
    </w:tbl>
    <w:p w14:paraId="34956229" w14:textId="77777777" w:rsidR="00613E5E" w:rsidRPr="00ED1B44" w:rsidRDefault="00613E5E" w:rsidP="00613E5E">
      <w:pPr>
        <w:spacing w:after="0" w:line="240" w:lineRule="auto"/>
      </w:pPr>
    </w:p>
    <w:p w14:paraId="61E38823" w14:textId="77777777" w:rsidR="005D3860" w:rsidRDefault="007753C0" w:rsidP="007753C0">
      <w:pPr>
        <w:ind w:right="-720"/>
        <w:rPr>
          <w:rFonts w:ascii="Arial" w:hAnsi="Arial" w:cs="Arial"/>
        </w:rPr>
      </w:pPr>
      <w:r w:rsidRPr="00ED1B44">
        <w:rPr>
          <w:rFonts w:ascii="Arial" w:hAnsi="Arial" w:cs="Arial"/>
        </w:rPr>
        <w:tab/>
      </w:r>
      <w:r w:rsidRPr="00ED1B44">
        <w:rPr>
          <w:rFonts w:ascii="Arial" w:hAnsi="Arial" w:cs="Arial"/>
        </w:rPr>
        <w:tab/>
      </w:r>
      <w:r w:rsidRPr="00ED1B44">
        <w:rPr>
          <w:rFonts w:ascii="Arial" w:hAnsi="Arial" w:cs="Arial"/>
        </w:rPr>
        <w:tab/>
      </w:r>
      <w:r w:rsidRPr="00ED1B44">
        <w:rPr>
          <w:rFonts w:ascii="Arial" w:hAnsi="Arial" w:cs="Arial"/>
        </w:rPr>
        <w:tab/>
      </w:r>
      <w:r w:rsidRPr="00ED1B44">
        <w:rPr>
          <w:rFonts w:ascii="Arial" w:hAnsi="Arial" w:cs="Arial"/>
        </w:rPr>
        <w:tab/>
      </w:r>
      <w:r w:rsidRPr="00ED1B44">
        <w:rPr>
          <w:rFonts w:ascii="Arial" w:hAnsi="Arial" w:cs="Arial"/>
        </w:rPr>
        <w:tab/>
      </w:r>
      <w:r w:rsidRPr="00ED1B44">
        <w:rPr>
          <w:rFonts w:ascii="Arial" w:hAnsi="Arial" w:cs="Arial"/>
        </w:rPr>
        <w:tab/>
      </w:r>
    </w:p>
    <w:p w14:paraId="70EA829D" w14:textId="77777777" w:rsidR="005D3860" w:rsidRDefault="00BA0772" w:rsidP="005D3860">
      <w:pPr>
        <w:ind w:left="5040" w:right="-720" w:firstLine="720"/>
        <w:rPr>
          <w:rFonts w:ascii="Arial" w:hAnsi="Arial" w:cs="Arial"/>
        </w:rPr>
      </w:pPr>
      <w:r>
        <w:rPr>
          <w:rFonts w:ascii="Arial" w:hAnsi="Arial" w:cs="Arial"/>
        </w:rPr>
        <w:t>/s/</w:t>
      </w:r>
    </w:p>
    <w:p w14:paraId="6FA1A5BC" w14:textId="77777777" w:rsidR="005D3860" w:rsidRDefault="007753C0" w:rsidP="005D3860">
      <w:pPr>
        <w:spacing w:after="0" w:line="240" w:lineRule="auto"/>
        <w:ind w:left="5040" w:right="-720"/>
        <w:rPr>
          <w:rFonts w:ascii="Arial" w:hAnsi="Arial" w:cs="Arial"/>
        </w:rPr>
      </w:pPr>
      <w:r w:rsidRPr="00ED1B44">
        <w:rPr>
          <w:rFonts w:ascii="Arial" w:hAnsi="Arial" w:cs="Arial"/>
        </w:rPr>
        <w:t xml:space="preserve">Allison A. Hickey </w:t>
      </w:r>
      <w:r w:rsidRPr="00ED1B44">
        <w:rPr>
          <w:rFonts w:ascii="Arial" w:hAnsi="Arial" w:cs="Arial"/>
        </w:rPr>
        <w:tab/>
      </w:r>
      <w:r w:rsidRPr="00ED1B44">
        <w:rPr>
          <w:rFonts w:ascii="Arial" w:hAnsi="Arial" w:cs="Arial"/>
        </w:rPr>
        <w:tab/>
      </w:r>
      <w:r w:rsidRPr="00ED1B44">
        <w:rPr>
          <w:rFonts w:ascii="Arial" w:hAnsi="Arial" w:cs="Arial"/>
        </w:rPr>
        <w:tab/>
      </w:r>
      <w:r w:rsidRPr="00ED1B44">
        <w:rPr>
          <w:rFonts w:ascii="Arial" w:hAnsi="Arial" w:cs="Arial"/>
        </w:rPr>
        <w:tab/>
      </w:r>
      <w:r w:rsidRPr="00ED1B44">
        <w:rPr>
          <w:rFonts w:ascii="Arial" w:hAnsi="Arial" w:cs="Arial"/>
        </w:rPr>
        <w:tab/>
      </w:r>
    </w:p>
    <w:p w14:paraId="2760224C" w14:textId="77777777" w:rsidR="007753C0" w:rsidRPr="00F54E9E" w:rsidRDefault="007753C0" w:rsidP="005D3860">
      <w:pPr>
        <w:spacing w:after="0" w:line="240" w:lineRule="auto"/>
        <w:ind w:left="5040" w:right="-720"/>
        <w:rPr>
          <w:rFonts w:ascii="Arial" w:hAnsi="Arial" w:cs="Arial"/>
        </w:rPr>
      </w:pPr>
      <w:r w:rsidRPr="00ED1B44">
        <w:rPr>
          <w:rFonts w:ascii="Arial" w:hAnsi="Arial" w:cs="Arial"/>
        </w:rPr>
        <w:t>Under Secretary for Benefits</w:t>
      </w:r>
    </w:p>
    <w:p w14:paraId="2E1080F9" w14:textId="77777777" w:rsidR="004E4A20" w:rsidRPr="004E4A20" w:rsidRDefault="00AB3C65" w:rsidP="00402DB5">
      <w:pPr>
        <w:spacing w:after="0" w:line="240" w:lineRule="auto"/>
        <w:rPr>
          <w:b/>
          <w:i/>
        </w:rPr>
      </w:pPr>
      <w:r w:rsidRPr="00F7538F">
        <w:rPr>
          <w:rFonts w:eastAsiaTheme="minorHAnsi"/>
          <w:lang w:bidi="ar-SA"/>
        </w:rPr>
        <w:t xml:space="preserve"> </w:t>
      </w:r>
    </w:p>
    <w:sectPr w:rsidR="004E4A20" w:rsidRPr="004E4A20" w:rsidSect="00024C43">
      <w:headerReference w:type="default" r:id="rId26"/>
      <w:footerReference w:type="even" r:id="rId27"/>
      <w:footerReference w:type="default" r:id="rId2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0F072" w14:textId="77777777" w:rsidR="000F372D" w:rsidRDefault="000F372D">
      <w:r>
        <w:separator/>
      </w:r>
    </w:p>
  </w:endnote>
  <w:endnote w:type="continuationSeparator" w:id="0">
    <w:p w14:paraId="7AF35B05" w14:textId="77777777" w:rsidR="000F372D" w:rsidRDefault="000F372D">
      <w:r>
        <w:continuationSeparator/>
      </w:r>
    </w:p>
  </w:endnote>
  <w:endnote w:type="continuationNotice" w:id="1">
    <w:p w14:paraId="10CDF027" w14:textId="77777777" w:rsidR="000F372D" w:rsidRDefault="000F37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5CCA2" w14:textId="77777777" w:rsidR="00541849" w:rsidRDefault="00541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4829CF" w14:textId="77777777" w:rsidR="00541849" w:rsidRDefault="005418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9A467" w14:textId="77777777" w:rsidR="00541849" w:rsidRDefault="005418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2386F" w14:textId="77777777" w:rsidR="000F372D" w:rsidRDefault="000F372D">
      <w:r>
        <w:separator/>
      </w:r>
    </w:p>
  </w:footnote>
  <w:footnote w:type="continuationSeparator" w:id="0">
    <w:p w14:paraId="45538CF1" w14:textId="77777777" w:rsidR="000F372D" w:rsidRDefault="000F372D">
      <w:r>
        <w:continuationSeparator/>
      </w:r>
    </w:p>
  </w:footnote>
  <w:footnote w:type="continuationNotice" w:id="1">
    <w:p w14:paraId="53813E1C" w14:textId="77777777" w:rsidR="000F372D" w:rsidRDefault="000F37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3C6D0" w14:textId="77777777" w:rsidR="00541849" w:rsidRDefault="00541849">
    <w:pPr>
      <w:spacing w:after="0" w:line="240" w:lineRule="auto"/>
    </w:pPr>
    <w:r>
      <w:t xml:space="preserve">Page </w:t>
    </w:r>
    <w:r>
      <w:fldChar w:fldCharType="begin"/>
    </w:r>
    <w:r>
      <w:instrText xml:space="preserve"> PAGE </w:instrText>
    </w:r>
    <w:r>
      <w:fldChar w:fldCharType="separate"/>
    </w:r>
    <w:r w:rsidR="009867F2">
      <w:rPr>
        <w:noProof/>
      </w:rPr>
      <w:t>4</w:t>
    </w:r>
    <w:r>
      <w:fldChar w:fldCharType="end"/>
    </w:r>
    <w:r>
      <w:t>.</w:t>
    </w:r>
  </w:p>
  <w:p w14:paraId="2CFF0623" w14:textId="77777777" w:rsidR="00541849" w:rsidRDefault="00541849">
    <w:pPr>
      <w:spacing w:after="0" w:line="240" w:lineRule="auto"/>
    </w:pPr>
  </w:p>
  <w:p w14:paraId="4E9B27C2" w14:textId="77777777" w:rsidR="00541849" w:rsidRDefault="00541849">
    <w:pPr>
      <w:spacing w:after="0" w:line="240" w:lineRule="auto"/>
    </w:pPr>
    <w:r>
      <w:t xml:space="preserve">VBA Letter </w:t>
    </w:r>
    <w:r>
      <w:rPr>
        <w:rFonts w:eastAsia="Arial Unicode MS"/>
        <w:color w:val="000000"/>
      </w:rPr>
      <w:t>20-15-16</w:t>
    </w:r>
  </w:p>
  <w:p w14:paraId="31511C69" w14:textId="77777777" w:rsidR="00541849" w:rsidRDefault="00541849">
    <w:pPr>
      <w:spacing w:after="0" w:line="240" w:lineRule="auto"/>
    </w:pPr>
  </w:p>
  <w:p w14:paraId="0FBBC74F" w14:textId="77777777" w:rsidR="00541849" w:rsidRDefault="00541849">
    <w:pPr>
      <w:pStyle w:val="Header"/>
      <w:spacing w:after="0" w:line="240" w:lineRule="auto"/>
    </w:pPr>
    <w:r>
      <w:t>Director (00)</w:t>
    </w:r>
  </w:p>
  <w:p w14:paraId="31D9C90A" w14:textId="77777777" w:rsidR="00541849" w:rsidRDefault="00541849">
    <w:pPr>
      <w:pStyle w:val="Header"/>
      <w:spacing w:after="0" w:line="240" w:lineRule="auto"/>
    </w:pPr>
  </w:p>
  <w:p w14:paraId="0B0245F9" w14:textId="77777777" w:rsidR="00541849" w:rsidRDefault="00541849">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632B"/>
    <w:multiLevelType w:val="hybridMultilevel"/>
    <w:tmpl w:val="5A92F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C42CC"/>
    <w:multiLevelType w:val="hybridMultilevel"/>
    <w:tmpl w:val="567C4AB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263A7"/>
    <w:multiLevelType w:val="hybridMultilevel"/>
    <w:tmpl w:val="BCEAE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5649C"/>
    <w:multiLevelType w:val="hybridMultilevel"/>
    <w:tmpl w:val="F474B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D23C20"/>
    <w:multiLevelType w:val="hybridMultilevel"/>
    <w:tmpl w:val="2ACC4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55DB8"/>
    <w:multiLevelType w:val="hybridMultilevel"/>
    <w:tmpl w:val="6292F4E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05362"/>
    <w:multiLevelType w:val="hybridMultilevel"/>
    <w:tmpl w:val="3D3472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8E0B69"/>
    <w:multiLevelType w:val="hybridMultilevel"/>
    <w:tmpl w:val="F14A2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F8C0F07"/>
    <w:multiLevelType w:val="hybridMultilevel"/>
    <w:tmpl w:val="5F4C73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74DC6"/>
    <w:multiLevelType w:val="hybridMultilevel"/>
    <w:tmpl w:val="CE3670F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6AB45DC"/>
    <w:multiLevelType w:val="hybridMultilevel"/>
    <w:tmpl w:val="9962C7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301ECE"/>
    <w:multiLevelType w:val="hybridMultilevel"/>
    <w:tmpl w:val="F5404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FA40A7"/>
    <w:multiLevelType w:val="hybridMultilevel"/>
    <w:tmpl w:val="1666A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A7E57A1"/>
    <w:multiLevelType w:val="hybridMultilevel"/>
    <w:tmpl w:val="EB88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96E53"/>
    <w:multiLevelType w:val="hybridMultilevel"/>
    <w:tmpl w:val="4706F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3AE6A20"/>
    <w:multiLevelType w:val="hybridMultilevel"/>
    <w:tmpl w:val="504C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47A98"/>
    <w:multiLevelType w:val="hybridMultilevel"/>
    <w:tmpl w:val="FC26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6628C2"/>
    <w:multiLevelType w:val="hybridMultilevel"/>
    <w:tmpl w:val="AB904D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238AF"/>
    <w:multiLevelType w:val="hybridMultilevel"/>
    <w:tmpl w:val="AC26C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6E14B1"/>
    <w:multiLevelType w:val="hybridMultilevel"/>
    <w:tmpl w:val="0A0A72F0"/>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C7577A"/>
    <w:multiLevelType w:val="hybridMultilevel"/>
    <w:tmpl w:val="77D6BD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4241A9"/>
    <w:multiLevelType w:val="hybridMultilevel"/>
    <w:tmpl w:val="76168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D506983"/>
    <w:multiLevelType w:val="hybridMultilevel"/>
    <w:tmpl w:val="45924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5711E8"/>
    <w:multiLevelType w:val="hybridMultilevel"/>
    <w:tmpl w:val="538C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A50EE3"/>
    <w:multiLevelType w:val="hybridMultilevel"/>
    <w:tmpl w:val="97147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246409D"/>
    <w:multiLevelType w:val="hybridMultilevel"/>
    <w:tmpl w:val="2B70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E85CDC"/>
    <w:multiLevelType w:val="hybridMultilevel"/>
    <w:tmpl w:val="46B61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BD1CD6"/>
    <w:multiLevelType w:val="hybridMultilevel"/>
    <w:tmpl w:val="BCEAE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C431BE"/>
    <w:multiLevelType w:val="hybridMultilevel"/>
    <w:tmpl w:val="5AB8C5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BF70353"/>
    <w:multiLevelType w:val="hybridMultilevel"/>
    <w:tmpl w:val="4EFE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EC01CA"/>
    <w:multiLevelType w:val="hybridMultilevel"/>
    <w:tmpl w:val="B356784E"/>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FB01F8"/>
    <w:multiLevelType w:val="hybridMultilevel"/>
    <w:tmpl w:val="481CEB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3AD6D43"/>
    <w:multiLevelType w:val="hybridMultilevel"/>
    <w:tmpl w:val="DA8E1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CA120F"/>
    <w:multiLevelType w:val="hybridMultilevel"/>
    <w:tmpl w:val="DF42858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C7795E"/>
    <w:multiLevelType w:val="hybridMultilevel"/>
    <w:tmpl w:val="CD98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5C6ACC"/>
    <w:multiLevelType w:val="hybridMultilevel"/>
    <w:tmpl w:val="BD6667EA"/>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DD756DA"/>
    <w:multiLevelType w:val="hybridMultilevel"/>
    <w:tmpl w:val="5EF0B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C33988"/>
    <w:multiLevelType w:val="hybridMultilevel"/>
    <w:tmpl w:val="BD0ADE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39">
    <w:nsid w:val="61332CFA"/>
    <w:multiLevelType w:val="hybridMultilevel"/>
    <w:tmpl w:val="6DA27C6A"/>
    <w:lvl w:ilvl="0" w:tplc="04090001">
      <w:start w:val="1"/>
      <w:numFmt w:val="bullet"/>
      <w:pStyle w:val="BulletTex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5A243B"/>
    <w:multiLevelType w:val="hybridMultilevel"/>
    <w:tmpl w:val="E1226C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940093E"/>
    <w:multiLevelType w:val="hybridMultilevel"/>
    <w:tmpl w:val="8BF6F4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7E3B1F"/>
    <w:multiLevelType w:val="hybridMultilevel"/>
    <w:tmpl w:val="BE94D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21B3480"/>
    <w:multiLevelType w:val="hybridMultilevel"/>
    <w:tmpl w:val="7F9C14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50201C"/>
    <w:multiLevelType w:val="hybridMultilevel"/>
    <w:tmpl w:val="1BB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CE6B6B"/>
    <w:multiLevelType w:val="hybridMultilevel"/>
    <w:tmpl w:val="8A60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297BEB"/>
    <w:multiLevelType w:val="hybridMultilevel"/>
    <w:tmpl w:val="80D62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1D7356"/>
    <w:multiLevelType w:val="hybridMultilevel"/>
    <w:tmpl w:val="F4C614B0"/>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0"/>
  </w:num>
  <w:num w:numId="3">
    <w:abstractNumId w:val="15"/>
  </w:num>
  <w:num w:numId="4">
    <w:abstractNumId w:val="10"/>
  </w:num>
  <w:num w:numId="5">
    <w:abstractNumId w:val="4"/>
  </w:num>
  <w:num w:numId="6">
    <w:abstractNumId w:val="34"/>
  </w:num>
  <w:num w:numId="7">
    <w:abstractNumId w:val="25"/>
  </w:num>
  <w:num w:numId="8">
    <w:abstractNumId w:val="12"/>
  </w:num>
  <w:num w:numId="9">
    <w:abstractNumId w:val="23"/>
  </w:num>
  <w:num w:numId="10">
    <w:abstractNumId w:val="42"/>
  </w:num>
  <w:num w:numId="11">
    <w:abstractNumId w:val="25"/>
  </w:num>
  <w:num w:numId="12">
    <w:abstractNumId w:val="13"/>
  </w:num>
  <w:num w:numId="13">
    <w:abstractNumId w:val="18"/>
  </w:num>
  <w:num w:numId="14">
    <w:abstractNumId w:val="11"/>
  </w:num>
  <w:num w:numId="15">
    <w:abstractNumId w:val="24"/>
  </w:num>
  <w:num w:numId="16">
    <w:abstractNumId w:val="31"/>
  </w:num>
  <w:num w:numId="17">
    <w:abstractNumId w:val="8"/>
  </w:num>
  <w:num w:numId="18">
    <w:abstractNumId w:val="20"/>
  </w:num>
  <w:num w:numId="19">
    <w:abstractNumId w:val="1"/>
  </w:num>
  <w:num w:numId="20">
    <w:abstractNumId w:val="28"/>
  </w:num>
  <w:num w:numId="21">
    <w:abstractNumId w:val="9"/>
  </w:num>
  <w:num w:numId="22">
    <w:abstractNumId w:val="30"/>
  </w:num>
  <w:num w:numId="23">
    <w:abstractNumId w:val="32"/>
  </w:num>
  <w:num w:numId="24">
    <w:abstractNumId w:val="5"/>
  </w:num>
  <w:num w:numId="25">
    <w:abstractNumId w:val="36"/>
  </w:num>
  <w:num w:numId="26">
    <w:abstractNumId w:val="16"/>
  </w:num>
  <w:num w:numId="27">
    <w:abstractNumId w:val="46"/>
  </w:num>
  <w:num w:numId="28">
    <w:abstractNumId w:val="22"/>
  </w:num>
  <w:num w:numId="29">
    <w:abstractNumId w:val="43"/>
  </w:num>
  <w:num w:numId="30">
    <w:abstractNumId w:val="0"/>
  </w:num>
  <w:num w:numId="31">
    <w:abstractNumId w:val="17"/>
  </w:num>
  <w:num w:numId="32">
    <w:abstractNumId w:val="41"/>
  </w:num>
  <w:num w:numId="33">
    <w:abstractNumId w:val="37"/>
  </w:num>
  <w:num w:numId="34">
    <w:abstractNumId w:val="29"/>
  </w:num>
  <w:num w:numId="35">
    <w:abstractNumId w:val="6"/>
  </w:num>
  <w:num w:numId="36">
    <w:abstractNumId w:val="33"/>
  </w:num>
  <w:num w:numId="37">
    <w:abstractNumId w:val="35"/>
  </w:num>
  <w:num w:numId="38">
    <w:abstractNumId w:val="47"/>
  </w:num>
  <w:num w:numId="39">
    <w:abstractNumId w:val="19"/>
  </w:num>
  <w:num w:numId="40">
    <w:abstractNumId w:val="26"/>
  </w:num>
  <w:num w:numId="41">
    <w:abstractNumId w:val="45"/>
  </w:num>
  <w:num w:numId="42">
    <w:abstractNumId w:val="2"/>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8"/>
  </w:num>
  <w:num w:numId="48">
    <w:abstractNumId w:val="44"/>
  </w:num>
  <w:num w:numId="4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2"/>
  <w:noPunctuationKerning/>
  <w:characterSpacingControl w:val="doNotCompress"/>
  <w:savePreviewPicture/>
  <w:hdrShapeDefaults>
    <o:shapedefaults v:ext="edit" spidmax="2049">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91"/>
    <w:rsid w:val="00004219"/>
    <w:rsid w:val="0001151D"/>
    <w:rsid w:val="000122A8"/>
    <w:rsid w:val="000130D8"/>
    <w:rsid w:val="000149D3"/>
    <w:rsid w:val="00014E6A"/>
    <w:rsid w:val="00020461"/>
    <w:rsid w:val="00024C43"/>
    <w:rsid w:val="00024E33"/>
    <w:rsid w:val="00026414"/>
    <w:rsid w:val="0002682D"/>
    <w:rsid w:val="0002767B"/>
    <w:rsid w:val="000278E8"/>
    <w:rsid w:val="00031947"/>
    <w:rsid w:val="00033A17"/>
    <w:rsid w:val="000354B8"/>
    <w:rsid w:val="000372EC"/>
    <w:rsid w:val="0004009D"/>
    <w:rsid w:val="00041331"/>
    <w:rsid w:val="0004371A"/>
    <w:rsid w:val="00044311"/>
    <w:rsid w:val="00044C01"/>
    <w:rsid w:val="00045871"/>
    <w:rsid w:val="00053804"/>
    <w:rsid w:val="00054261"/>
    <w:rsid w:val="00055D88"/>
    <w:rsid w:val="00057424"/>
    <w:rsid w:val="00057723"/>
    <w:rsid w:val="00062333"/>
    <w:rsid w:val="00066262"/>
    <w:rsid w:val="000670E7"/>
    <w:rsid w:val="0006787E"/>
    <w:rsid w:val="000706D6"/>
    <w:rsid w:val="0007075D"/>
    <w:rsid w:val="0007178F"/>
    <w:rsid w:val="00072A32"/>
    <w:rsid w:val="00077B5A"/>
    <w:rsid w:val="00085881"/>
    <w:rsid w:val="00086328"/>
    <w:rsid w:val="000879E4"/>
    <w:rsid w:val="00087AC8"/>
    <w:rsid w:val="00093E7D"/>
    <w:rsid w:val="000942EA"/>
    <w:rsid w:val="0009492C"/>
    <w:rsid w:val="0009533D"/>
    <w:rsid w:val="00095B69"/>
    <w:rsid w:val="00096301"/>
    <w:rsid w:val="000A5873"/>
    <w:rsid w:val="000A75C1"/>
    <w:rsid w:val="000B0639"/>
    <w:rsid w:val="000B16F3"/>
    <w:rsid w:val="000B29C2"/>
    <w:rsid w:val="000B31C5"/>
    <w:rsid w:val="000C0A80"/>
    <w:rsid w:val="000C3A48"/>
    <w:rsid w:val="000C3CF2"/>
    <w:rsid w:val="000D2462"/>
    <w:rsid w:val="000D5F4A"/>
    <w:rsid w:val="000E4254"/>
    <w:rsid w:val="000F07E6"/>
    <w:rsid w:val="000F26ED"/>
    <w:rsid w:val="000F372D"/>
    <w:rsid w:val="000F5882"/>
    <w:rsid w:val="000F65DC"/>
    <w:rsid w:val="000F757F"/>
    <w:rsid w:val="00102310"/>
    <w:rsid w:val="001028F2"/>
    <w:rsid w:val="00104E1B"/>
    <w:rsid w:val="001056EB"/>
    <w:rsid w:val="0010642A"/>
    <w:rsid w:val="00107C1D"/>
    <w:rsid w:val="001121E9"/>
    <w:rsid w:val="001128C6"/>
    <w:rsid w:val="00114262"/>
    <w:rsid w:val="00114AD1"/>
    <w:rsid w:val="00114D93"/>
    <w:rsid w:val="0012054E"/>
    <w:rsid w:val="00121FD0"/>
    <w:rsid w:val="00122F6B"/>
    <w:rsid w:val="00123029"/>
    <w:rsid w:val="001354C5"/>
    <w:rsid w:val="00142C17"/>
    <w:rsid w:val="00154D1B"/>
    <w:rsid w:val="00156691"/>
    <w:rsid w:val="00164285"/>
    <w:rsid w:val="001643A9"/>
    <w:rsid w:val="001659DA"/>
    <w:rsid w:val="00166029"/>
    <w:rsid w:val="00166645"/>
    <w:rsid w:val="00167957"/>
    <w:rsid w:val="00167A84"/>
    <w:rsid w:val="00172A46"/>
    <w:rsid w:val="001749B8"/>
    <w:rsid w:val="00176536"/>
    <w:rsid w:val="00182851"/>
    <w:rsid w:val="00184428"/>
    <w:rsid w:val="00185CF9"/>
    <w:rsid w:val="00192C32"/>
    <w:rsid w:val="001936D4"/>
    <w:rsid w:val="00195968"/>
    <w:rsid w:val="001A02C4"/>
    <w:rsid w:val="001A02F6"/>
    <w:rsid w:val="001A4A9C"/>
    <w:rsid w:val="001A4CD5"/>
    <w:rsid w:val="001B1175"/>
    <w:rsid w:val="001B3D63"/>
    <w:rsid w:val="001B40F6"/>
    <w:rsid w:val="001B4388"/>
    <w:rsid w:val="001B7D82"/>
    <w:rsid w:val="001C00FA"/>
    <w:rsid w:val="001C0543"/>
    <w:rsid w:val="001C1954"/>
    <w:rsid w:val="001C278F"/>
    <w:rsid w:val="001C28B6"/>
    <w:rsid w:val="001C2B4A"/>
    <w:rsid w:val="001C4486"/>
    <w:rsid w:val="001D1BD2"/>
    <w:rsid w:val="001D1EB8"/>
    <w:rsid w:val="001D4E12"/>
    <w:rsid w:val="001D4FA3"/>
    <w:rsid w:val="001E0439"/>
    <w:rsid w:val="001F0663"/>
    <w:rsid w:val="001F1294"/>
    <w:rsid w:val="001F4E0B"/>
    <w:rsid w:val="001F6395"/>
    <w:rsid w:val="001F6B7A"/>
    <w:rsid w:val="001F6F30"/>
    <w:rsid w:val="001F74E5"/>
    <w:rsid w:val="001F7725"/>
    <w:rsid w:val="00200A63"/>
    <w:rsid w:val="00204053"/>
    <w:rsid w:val="0020725E"/>
    <w:rsid w:val="00213EC7"/>
    <w:rsid w:val="00215930"/>
    <w:rsid w:val="00215BF5"/>
    <w:rsid w:val="00217377"/>
    <w:rsid w:val="00226FCD"/>
    <w:rsid w:val="002271F2"/>
    <w:rsid w:val="002327DB"/>
    <w:rsid w:val="00233768"/>
    <w:rsid w:val="00235A4E"/>
    <w:rsid w:val="002403CB"/>
    <w:rsid w:val="00243316"/>
    <w:rsid w:val="00245150"/>
    <w:rsid w:val="0024663E"/>
    <w:rsid w:val="00251B24"/>
    <w:rsid w:val="00253A2D"/>
    <w:rsid w:val="00255240"/>
    <w:rsid w:val="002608ED"/>
    <w:rsid w:val="0026600C"/>
    <w:rsid w:val="00266352"/>
    <w:rsid w:val="0026655A"/>
    <w:rsid w:val="00272102"/>
    <w:rsid w:val="0027271A"/>
    <w:rsid w:val="002758E1"/>
    <w:rsid w:val="00283C8A"/>
    <w:rsid w:val="00284DBD"/>
    <w:rsid w:val="00292E6F"/>
    <w:rsid w:val="0029459E"/>
    <w:rsid w:val="00295EE0"/>
    <w:rsid w:val="002970EC"/>
    <w:rsid w:val="002A17F3"/>
    <w:rsid w:val="002A6D70"/>
    <w:rsid w:val="002B022F"/>
    <w:rsid w:val="002B0755"/>
    <w:rsid w:val="002B16CC"/>
    <w:rsid w:val="002B2FF7"/>
    <w:rsid w:val="002B3F71"/>
    <w:rsid w:val="002B4153"/>
    <w:rsid w:val="002B59E4"/>
    <w:rsid w:val="002B63C5"/>
    <w:rsid w:val="002B76A1"/>
    <w:rsid w:val="002C2E87"/>
    <w:rsid w:val="002C3E79"/>
    <w:rsid w:val="002C4E0E"/>
    <w:rsid w:val="002C69B3"/>
    <w:rsid w:val="002C759A"/>
    <w:rsid w:val="002D0468"/>
    <w:rsid w:val="002D16B6"/>
    <w:rsid w:val="002D1AAE"/>
    <w:rsid w:val="002D2435"/>
    <w:rsid w:val="002D61E7"/>
    <w:rsid w:val="002D7E56"/>
    <w:rsid w:val="002E0A5E"/>
    <w:rsid w:val="002E25A4"/>
    <w:rsid w:val="002E260B"/>
    <w:rsid w:val="002E2D1C"/>
    <w:rsid w:val="002E3179"/>
    <w:rsid w:val="002E6558"/>
    <w:rsid w:val="002F37B2"/>
    <w:rsid w:val="002F4402"/>
    <w:rsid w:val="002F4FDF"/>
    <w:rsid w:val="002F6AD3"/>
    <w:rsid w:val="002F7AF5"/>
    <w:rsid w:val="0030440E"/>
    <w:rsid w:val="003048ED"/>
    <w:rsid w:val="00306444"/>
    <w:rsid w:val="00307568"/>
    <w:rsid w:val="00307C27"/>
    <w:rsid w:val="003119B4"/>
    <w:rsid w:val="00316161"/>
    <w:rsid w:val="003165EF"/>
    <w:rsid w:val="00317937"/>
    <w:rsid w:val="003303B7"/>
    <w:rsid w:val="0033452A"/>
    <w:rsid w:val="00335551"/>
    <w:rsid w:val="00337684"/>
    <w:rsid w:val="00340D8F"/>
    <w:rsid w:val="00340F7A"/>
    <w:rsid w:val="00344656"/>
    <w:rsid w:val="00351808"/>
    <w:rsid w:val="0035320F"/>
    <w:rsid w:val="00354508"/>
    <w:rsid w:val="003551B3"/>
    <w:rsid w:val="003572AF"/>
    <w:rsid w:val="003614E4"/>
    <w:rsid w:val="00361C73"/>
    <w:rsid w:val="0036326A"/>
    <w:rsid w:val="00363902"/>
    <w:rsid w:val="00364375"/>
    <w:rsid w:val="00364AB6"/>
    <w:rsid w:val="003650F4"/>
    <w:rsid w:val="00370ADC"/>
    <w:rsid w:val="00371F9A"/>
    <w:rsid w:val="0037481C"/>
    <w:rsid w:val="0038012D"/>
    <w:rsid w:val="003810A8"/>
    <w:rsid w:val="003820A6"/>
    <w:rsid w:val="0038279E"/>
    <w:rsid w:val="00382A07"/>
    <w:rsid w:val="0038356D"/>
    <w:rsid w:val="00384470"/>
    <w:rsid w:val="0038708D"/>
    <w:rsid w:val="00387170"/>
    <w:rsid w:val="0038783A"/>
    <w:rsid w:val="00394201"/>
    <w:rsid w:val="00396147"/>
    <w:rsid w:val="00397F76"/>
    <w:rsid w:val="003A435C"/>
    <w:rsid w:val="003A574B"/>
    <w:rsid w:val="003A6FAD"/>
    <w:rsid w:val="003A79A5"/>
    <w:rsid w:val="003B08E0"/>
    <w:rsid w:val="003B351D"/>
    <w:rsid w:val="003C13EA"/>
    <w:rsid w:val="003C2809"/>
    <w:rsid w:val="003C411C"/>
    <w:rsid w:val="003C42FD"/>
    <w:rsid w:val="003C653C"/>
    <w:rsid w:val="003C746F"/>
    <w:rsid w:val="003D7C7E"/>
    <w:rsid w:val="003E14F1"/>
    <w:rsid w:val="003E620F"/>
    <w:rsid w:val="003E6BE7"/>
    <w:rsid w:val="003E7A30"/>
    <w:rsid w:val="003F3767"/>
    <w:rsid w:val="003F4880"/>
    <w:rsid w:val="003F5CA6"/>
    <w:rsid w:val="00400929"/>
    <w:rsid w:val="0040113A"/>
    <w:rsid w:val="00402DB5"/>
    <w:rsid w:val="004042CF"/>
    <w:rsid w:val="00404A85"/>
    <w:rsid w:val="004060CB"/>
    <w:rsid w:val="004064D9"/>
    <w:rsid w:val="00406A2B"/>
    <w:rsid w:val="00411689"/>
    <w:rsid w:val="004122A3"/>
    <w:rsid w:val="00413F93"/>
    <w:rsid w:val="004232F0"/>
    <w:rsid w:val="00425527"/>
    <w:rsid w:val="004265C6"/>
    <w:rsid w:val="00435503"/>
    <w:rsid w:val="004404CB"/>
    <w:rsid w:val="004468E2"/>
    <w:rsid w:val="0045164E"/>
    <w:rsid w:val="00451C86"/>
    <w:rsid w:val="00460B4D"/>
    <w:rsid w:val="00460D4C"/>
    <w:rsid w:val="00463ACC"/>
    <w:rsid w:val="004642A7"/>
    <w:rsid w:val="00464408"/>
    <w:rsid w:val="004648A5"/>
    <w:rsid w:val="00470462"/>
    <w:rsid w:val="0047094E"/>
    <w:rsid w:val="004709B6"/>
    <w:rsid w:val="00473516"/>
    <w:rsid w:val="0047389E"/>
    <w:rsid w:val="00476BA9"/>
    <w:rsid w:val="00477352"/>
    <w:rsid w:val="00483EF9"/>
    <w:rsid w:val="00486A75"/>
    <w:rsid w:val="0048782C"/>
    <w:rsid w:val="00490888"/>
    <w:rsid w:val="00495F79"/>
    <w:rsid w:val="004A0649"/>
    <w:rsid w:val="004A51FC"/>
    <w:rsid w:val="004A6571"/>
    <w:rsid w:val="004B0882"/>
    <w:rsid w:val="004B7D4F"/>
    <w:rsid w:val="004C1DE4"/>
    <w:rsid w:val="004C2262"/>
    <w:rsid w:val="004C2AE8"/>
    <w:rsid w:val="004C4AAE"/>
    <w:rsid w:val="004C5002"/>
    <w:rsid w:val="004D030E"/>
    <w:rsid w:val="004D17A2"/>
    <w:rsid w:val="004D59AA"/>
    <w:rsid w:val="004E0255"/>
    <w:rsid w:val="004E4A20"/>
    <w:rsid w:val="004E6201"/>
    <w:rsid w:val="004F0BC8"/>
    <w:rsid w:val="004F7173"/>
    <w:rsid w:val="0050394D"/>
    <w:rsid w:val="00505CA8"/>
    <w:rsid w:val="0051440B"/>
    <w:rsid w:val="00516A7B"/>
    <w:rsid w:val="00523D49"/>
    <w:rsid w:val="00524242"/>
    <w:rsid w:val="0052663C"/>
    <w:rsid w:val="005307BF"/>
    <w:rsid w:val="00531518"/>
    <w:rsid w:val="00531652"/>
    <w:rsid w:val="00533617"/>
    <w:rsid w:val="00533CA9"/>
    <w:rsid w:val="00535B40"/>
    <w:rsid w:val="005404AF"/>
    <w:rsid w:val="00541849"/>
    <w:rsid w:val="0054246D"/>
    <w:rsid w:val="005472F1"/>
    <w:rsid w:val="0054755C"/>
    <w:rsid w:val="0055072C"/>
    <w:rsid w:val="00554D9D"/>
    <w:rsid w:val="005553B0"/>
    <w:rsid w:val="0057110F"/>
    <w:rsid w:val="00572328"/>
    <w:rsid w:val="005724E3"/>
    <w:rsid w:val="00582033"/>
    <w:rsid w:val="00583C19"/>
    <w:rsid w:val="0059392E"/>
    <w:rsid w:val="005963D6"/>
    <w:rsid w:val="005A04D5"/>
    <w:rsid w:val="005A7455"/>
    <w:rsid w:val="005B3C21"/>
    <w:rsid w:val="005B3E3C"/>
    <w:rsid w:val="005B5AA3"/>
    <w:rsid w:val="005C0C8E"/>
    <w:rsid w:val="005C192A"/>
    <w:rsid w:val="005C4D59"/>
    <w:rsid w:val="005C5506"/>
    <w:rsid w:val="005C6803"/>
    <w:rsid w:val="005D051A"/>
    <w:rsid w:val="005D0E2A"/>
    <w:rsid w:val="005D3860"/>
    <w:rsid w:val="005D59DF"/>
    <w:rsid w:val="005D69FA"/>
    <w:rsid w:val="005E4313"/>
    <w:rsid w:val="005E491E"/>
    <w:rsid w:val="005E49EA"/>
    <w:rsid w:val="005E4FB4"/>
    <w:rsid w:val="005E5833"/>
    <w:rsid w:val="005E6124"/>
    <w:rsid w:val="005F44EE"/>
    <w:rsid w:val="005F4F4C"/>
    <w:rsid w:val="005F5352"/>
    <w:rsid w:val="00603E75"/>
    <w:rsid w:val="00606257"/>
    <w:rsid w:val="00612FA3"/>
    <w:rsid w:val="00613E5E"/>
    <w:rsid w:val="00621E92"/>
    <w:rsid w:val="00622F27"/>
    <w:rsid w:val="00625EC2"/>
    <w:rsid w:val="00626C9A"/>
    <w:rsid w:val="0063042C"/>
    <w:rsid w:val="00630F23"/>
    <w:rsid w:val="0063252F"/>
    <w:rsid w:val="00633501"/>
    <w:rsid w:val="00634DAE"/>
    <w:rsid w:val="00634FA4"/>
    <w:rsid w:val="00635011"/>
    <w:rsid w:val="006356D5"/>
    <w:rsid w:val="006378AE"/>
    <w:rsid w:val="00637DD5"/>
    <w:rsid w:val="00640083"/>
    <w:rsid w:val="00640843"/>
    <w:rsid w:val="00640AC1"/>
    <w:rsid w:val="00642122"/>
    <w:rsid w:val="00652BF3"/>
    <w:rsid w:val="0065464E"/>
    <w:rsid w:val="00654800"/>
    <w:rsid w:val="006562C7"/>
    <w:rsid w:val="00660FBB"/>
    <w:rsid w:val="00662215"/>
    <w:rsid w:val="00662B6B"/>
    <w:rsid w:val="00662CD3"/>
    <w:rsid w:val="00662F28"/>
    <w:rsid w:val="00666C54"/>
    <w:rsid w:val="006717F3"/>
    <w:rsid w:val="00676900"/>
    <w:rsid w:val="00680423"/>
    <w:rsid w:val="00681192"/>
    <w:rsid w:val="00681637"/>
    <w:rsid w:val="00681AF3"/>
    <w:rsid w:val="0068235A"/>
    <w:rsid w:val="00682E8D"/>
    <w:rsid w:val="00683E79"/>
    <w:rsid w:val="00684177"/>
    <w:rsid w:val="00686914"/>
    <w:rsid w:val="00692445"/>
    <w:rsid w:val="00693CE9"/>
    <w:rsid w:val="00697268"/>
    <w:rsid w:val="006A012A"/>
    <w:rsid w:val="006A2A21"/>
    <w:rsid w:val="006A4DFA"/>
    <w:rsid w:val="006A54AD"/>
    <w:rsid w:val="006A7AFE"/>
    <w:rsid w:val="006B6440"/>
    <w:rsid w:val="006B6794"/>
    <w:rsid w:val="006B74A2"/>
    <w:rsid w:val="006C17B2"/>
    <w:rsid w:val="006C1CBF"/>
    <w:rsid w:val="006C437A"/>
    <w:rsid w:val="006C51A9"/>
    <w:rsid w:val="006C56D8"/>
    <w:rsid w:val="006D32E2"/>
    <w:rsid w:val="006D506C"/>
    <w:rsid w:val="006E21A4"/>
    <w:rsid w:val="006E3AF6"/>
    <w:rsid w:val="006E4D92"/>
    <w:rsid w:val="006E565E"/>
    <w:rsid w:val="006E769B"/>
    <w:rsid w:val="006F5751"/>
    <w:rsid w:val="00705099"/>
    <w:rsid w:val="00706509"/>
    <w:rsid w:val="00706F84"/>
    <w:rsid w:val="00711E02"/>
    <w:rsid w:val="007159DF"/>
    <w:rsid w:val="00717928"/>
    <w:rsid w:val="00717E98"/>
    <w:rsid w:val="00720167"/>
    <w:rsid w:val="00720DAB"/>
    <w:rsid w:val="00721DC9"/>
    <w:rsid w:val="007257A9"/>
    <w:rsid w:val="0072762A"/>
    <w:rsid w:val="007318DE"/>
    <w:rsid w:val="007335FC"/>
    <w:rsid w:val="00740B97"/>
    <w:rsid w:val="00742040"/>
    <w:rsid w:val="007443B3"/>
    <w:rsid w:val="00745918"/>
    <w:rsid w:val="0075208D"/>
    <w:rsid w:val="00754F7D"/>
    <w:rsid w:val="00755363"/>
    <w:rsid w:val="007575B8"/>
    <w:rsid w:val="0076379A"/>
    <w:rsid w:val="0076534E"/>
    <w:rsid w:val="007677B7"/>
    <w:rsid w:val="00772DCC"/>
    <w:rsid w:val="00773E1B"/>
    <w:rsid w:val="007753C0"/>
    <w:rsid w:val="00775AEB"/>
    <w:rsid w:val="00775C0C"/>
    <w:rsid w:val="00775E04"/>
    <w:rsid w:val="0077689A"/>
    <w:rsid w:val="00781387"/>
    <w:rsid w:val="00781E24"/>
    <w:rsid w:val="00782BE0"/>
    <w:rsid w:val="007835D2"/>
    <w:rsid w:val="00785085"/>
    <w:rsid w:val="00785433"/>
    <w:rsid w:val="00790B7A"/>
    <w:rsid w:val="00791196"/>
    <w:rsid w:val="007912B2"/>
    <w:rsid w:val="00792088"/>
    <w:rsid w:val="00794E4A"/>
    <w:rsid w:val="007954A9"/>
    <w:rsid w:val="00797F27"/>
    <w:rsid w:val="007A00AA"/>
    <w:rsid w:val="007A0394"/>
    <w:rsid w:val="007A36C3"/>
    <w:rsid w:val="007A3EF4"/>
    <w:rsid w:val="007A50E0"/>
    <w:rsid w:val="007B06D4"/>
    <w:rsid w:val="007B10F3"/>
    <w:rsid w:val="007B1A87"/>
    <w:rsid w:val="007C4720"/>
    <w:rsid w:val="007C4999"/>
    <w:rsid w:val="007D10D8"/>
    <w:rsid w:val="007D1A14"/>
    <w:rsid w:val="007D4AFB"/>
    <w:rsid w:val="007E26B5"/>
    <w:rsid w:val="007E4CA2"/>
    <w:rsid w:val="007E598D"/>
    <w:rsid w:val="007E601E"/>
    <w:rsid w:val="007E7EF5"/>
    <w:rsid w:val="007F123D"/>
    <w:rsid w:val="007F17E9"/>
    <w:rsid w:val="007F2EA6"/>
    <w:rsid w:val="007F3A69"/>
    <w:rsid w:val="00807164"/>
    <w:rsid w:val="00810433"/>
    <w:rsid w:val="008108C2"/>
    <w:rsid w:val="00811B1E"/>
    <w:rsid w:val="008166A0"/>
    <w:rsid w:val="00821B03"/>
    <w:rsid w:val="0082243A"/>
    <w:rsid w:val="00823A26"/>
    <w:rsid w:val="00824A63"/>
    <w:rsid w:val="00825248"/>
    <w:rsid w:val="008273E3"/>
    <w:rsid w:val="00827650"/>
    <w:rsid w:val="0083289C"/>
    <w:rsid w:val="00834D8D"/>
    <w:rsid w:val="00837455"/>
    <w:rsid w:val="00840723"/>
    <w:rsid w:val="00841FB8"/>
    <w:rsid w:val="008422D7"/>
    <w:rsid w:val="008454F3"/>
    <w:rsid w:val="00846961"/>
    <w:rsid w:val="00847328"/>
    <w:rsid w:val="00847C70"/>
    <w:rsid w:val="008536EF"/>
    <w:rsid w:val="00857811"/>
    <w:rsid w:val="008601C0"/>
    <w:rsid w:val="00860685"/>
    <w:rsid w:val="0086199B"/>
    <w:rsid w:val="00861A96"/>
    <w:rsid w:val="00863934"/>
    <w:rsid w:val="008657F0"/>
    <w:rsid w:val="00865EAE"/>
    <w:rsid w:val="00866268"/>
    <w:rsid w:val="00866F7D"/>
    <w:rsid w:val="00867B0F"/>
    <w:rsid w:val="00872DB3"/>
    <w:rsid w:val="00876912"/>
    <w:rsid w:val="00881548"/>
    <w:rsid w:val="00882C8D"/>
    <w:rsid w:val="00886347"/>
    <w:rsid w:val="00886D1E"/>
    <w:rsid w:val="00892BB5"/>
    <w:rsid w:val="0089442C"/>
    <w:rsid w:val="00896E3E"/>
    <w:rsid w:val="008A117F"/>
    <w:rsid w:val="008A374C"/>
    <w:rsid w:val="008A3876"/>
    <w:rsid w:val="008A3B22"/>
    <w:rsid w:val="008C203B"/>
    <w:rsid w:val="008C30B3"/>
    <w:rsid w:val="008C3181"/>
    <w:rsid w:val="008C5120"/>
    <w:rsid w:val="008C5D57"/>
    <w:rsid w:val="008C7C72"/>
    <w:rsid w:val="008D137A"/>
    <w:rsid w:val="008D1DAB"/>
    <w:rsid w:val="008D30B7"/>
    <w:rsid w:val="008D5028"/>
    <w:rsid w:val="008D57BD"/>
    <w:rsid w:val="008E0F4A"/>
    <w:rsid w:val="008E4C43"/>
    <w:rsid w:val="008E7F76"/>
    <w:rsid w:val="008F04B2"/>
    <w:rsid w:val="008F2E51"/>
    <w:rsid w:val="008F529B"/>
    <w:rsid w:val="008F65F7"/>
    <w:rsid w:val="00901054"/>
    <w:rsid w:val="00901DB7"/>
    <w:rsid w:val="00902712"/>
    <w:rsid w:val="00902A74"/>
    <w:rsid w:val="00903B10"/>
    <w:rsid w:val="009060EE"/>
    <w:rsid w:val="009137F2"/>
    <w:rsid w:val="00917F80"/>
    <w:rsid w:val="00920226"/>
    <w:rsid w:val="00921B7E"/>
    <w:rsid w:val="00921ED4"/>
    <w:rsid w:val="00924AEB"/>
    <w:rsid w:val="00926DDD"/>
    <w:rsid w:val="00926F95"/>
    <w:rsid w:val="009310F4"/>
    <w:rsid w:val="00931681"/>
    <w:rsid w:val="00931A0C"/>
    <w:rsid w:val="00935640"/>
    <w:rsid w:val="009357A2"/>
    <w:rsid w:val="009362CD"/>
    <w:rsid w:val="00940ADF"/>
    <w:rsid w:val="009417CE"/>
    <w:rsid w:val="00941A10"/>
    <w:rsid w:val="00941B35"/>
    <w:rsid w:val="00942F66"/>
    <w:rsid w:val="00943EA7"/>
    <w:rsid w:val="009447E5"/>
    <w:rsid w:val="009447F6"/>
    <w:rsid w:val="0095046B"/>
    <w:rsid w:val="00951AE5"/>
    <w:rsid w:val="00953687"/>
    <w:rsid w:val="00956570"/>
    <w:rsid w:val="00961D8D"/>
    <w:rsid w:val="00963448"/>
    <w:rsid w:val="009645AA"/>
    <w:rsid w:val="00971EA9"/>
    <w:rsid w:val="009720BB"/>
    <w:rsid w:val="00972309"/>
    <w:rsid w:val="00973EFD"/>
    <w:rsid w:val="00977C6A"/>
    <w:rsid w:val="009829BD"/>
    <w:rsid w:val="00985CBE"/>
    <w:rsid w:val="00986183"/>
    <w:rsid w:val="009867F2"/>
    <w:rsid w:val="00992922"/>
    <w:rsid w:val="00995BFC"/>
    <w:rsid w:val="009960C0"/>
    <w:rsid w:val="009A05D9"/>
    <w:rsid w:val="009A0A8B"/>
    <w:rsid w:val="009A2200"/>
    <w:rsid w:val="009A2EDE"/>
    <w:rsid w:val="009A786C"/>
    <w:rsid w:val="009B0C57"/>
    <w:rsid w:val="009B0EA5"/>
    <w:rsid w:val="009B1FAB"/>
    <w:rsid w:val="009B21C1"/>
    <w:rsid w:val="009B4688"/>
    <w:rsid w:val="009B4A72"/>
    <w:rsid w:val="009B60E1"/>
    <w:rsid w:val="009B7B1B"/>
    <w:rsid w:val="009D26F5"/>
    <w:rsid w:val="009D3B7F"/>
    <w:rsid w:val="009D6253"/>
    <w:rsid w:val="009E0060"/>
    <w:rsid w:val="009E07A0"/>
    <w:rsid w:val="009E4A02"/>
    <w:rsid w:val="009E6CBF"/>
    <w:rsid w:val="009F3E70"/>
    <w:rsid w:val="00A006B4"/>
    <w:rsid w:val="00A00AF3"/>
    <w:rsid w:val="00A078AE"/>
    <w:rsid w:val="00A10A87"/>
    <w:rsid w:val="00A125D2"/>
    <w:rsid w:val="00A13001"/>
    <w:rsid w:val="00A251AE"/>
    <w:rsid w:val="00A26D89"/>
    <w:rsid w:val="00A323F2"/>
    <w:rsid w:val="00A3641B"/>
    <w:rsid w:val="00A40F68"/>
    <w:rsid w:val="00A446D6"/>
    <w:rsid w:val="00A556F0"/>
    <w:rsid w:val="00A561C4"/>
    <w:rsid w:val="00A57C36"/>
    <w:rsid w:val="00A607D3"/>
    <w:rsid w:val="00A61AB8"/>
    <w:rsid w:val="00A62302"/>
    <w:rsid w:val="00A62AC4"/>
    <w:rsid w:val="00A66369"/>
    <w:rsid w:val="00A72CDC"/>
    <w:rsid w:val="00A72EC0"/>
    <w:rsid w:val="00A86629"/>
    <w:rsid w:val="00A87645"/>
    <w:rsid w:val="00A9115F"/>
    <w:rsid w:val="00A92B2C"/>
    <w:rsid w:val="00A94F6B"/>
    <w:rsid w:val="00AA1E88"/>
    <w:rsid w:val="00AA4133"/>
    <w:rsid w:val="00AA559F"/>
    <w:rsid w:val="00AB0768"/>
    <w:rsid w:val="00AB3AA7"/>
    <w:rsid w:val="00AB3C65"/>
    <w:rsid w:val="00AB5014"/>
    <w:rsid w:val="00AB655D"/>
    <w:rsid w:val="00AB6DAD"/>
    <w:rsid w:val="00AC4B5D"/>
    <w:rsid w:val="00AC7F7E"/>
    <w:rsid w:val="00AD07C8"/>
    <w:rsid w:val="00AD0E49"/>
    <w:rsid w:val="00AD3491"/>
    <w:rsid w:val="00AE07C8"/>
    <w:rsid w:val="00AE51F9"/>
    <w:rsid w:val="00AE57ED"/>
    <w:rsid w:val="00AE5CF7"/>
    <w:rsid w:val="00AF02D8"/>
    <w:rsid w:val="00AF1DD6"/>
    <w:rsid w:val="00AF6FC6"/>
    <w:rsid w:val="00B01C4E"/>
    <w:rsid w:val="00B052E4"/>
    <w:rsid w:val="00B05E62"/>
    <w:rsid w:val="00B060EC"/>
    <w:rsid w:val="00B1023C"/>
    <w:rsid w:val="00B11356"/>
    <w:rsid w:val="00B11C02"/>
    <w:rsid w:val="00B126BC"/>
    <w:rsid w:val="00B13BF3"/>
    <w:rsid w:val="00B13D7E"/>
    <w:rsid w:val="00B15475"/>
    <w:rsid w:val="00B15824"/>
    <w:rsid w:val="00B224AF"/>
    <w:rsid w:val="00B24317"/>
    <w:rsid w:val="00B25B33"/>
    <w:rsid w:val="00B3296D"/>
    <w:rsid w:val="00B3455B"/>
    <w:rsid w:val="00B35B7A"/>
    <w:rsid w:val="00B3675C"/>
    <w:rsid w:val="00B371C5"/>
    <w:rsid w:val="00B43E19"/>
    <w:rsid w:val="00B50291"/>
    <w:rsid w:val="00B56D60"/>
    <w:rsid w:val="00B63904"/>
    <w:rsid w:val="00B64303"/>
    <w:rsid w:val="00B64A74"/>
    <w:rsid w:val="00B7212F"/>
    <w:rsid w:val="00B75112"/>
    <w:rsid w:val="00B75872"/>
    <w:rsid w:val="00B77650"/>
    <w:rsid w:val="00B809CF"/>
    <w:rsid w:val="00B8513B"/>
    <w:rsid w:val="00B92622"/>
    <w:rsid w:val="00B93278"/>
    <w:rsid w:val="00B95F4C"/>
    <w:rsid w:val="00B962C2"/>
    <w:rsid w:val="00B965B5"/>
    <w:rsid w:val="00B97603"/>
    <w:rsid w:val="00BA0772"/>
    <w:rsid w:val="00BA1976"/>
    <w:rsid w:val="00BA1F22"/>
    <w:rsid w:val="00BA3B35"/>
    <w:rsid w:val="00BA4B64"/>
    <w:rsid w:val="00BA6AB2"/>
    <w:rsid w:val="00BB1221"/>
    <w:rsid w:val="00BB2C58"/>
    <w:rsid w:val="00BC0358"/>
    <w:rsid w:val="00BC3AF5"/>
    <w:rsid w:val="00BC4CAF"/>
    <w:rsid w:val="00BC6229"/>
    <w:rsid w:val="00BC7C52"/>
    <w:rsid w:val="00BD0570"/>
    <w:rsid w:val="00BD3B8B"/>
    <w:rsid w:val="00BD3C71"/>
    <w:rsid w:val="00BD56D3"/>
    <w:rsid w:val="00BD79BD"/>
    <w:rsid w:val="00BE336B"/>
    <w:rsid w:val="00BE61BC"/>
    <w:rsid w:val="00BF0DD0"/>
    <w:rsid w:val="00BF1343"/>
    <w:rsid w:val="00BF2471"/>
    <w:rsid w:val="00BF46F1"/>
    <w:rsid w:val="00C008D0"/>
    <w:rsid w:val="00C04BED"/>
    <w:rsid w:val="00C05930"/>
    <w:rsid w:val="00C0737E"/>
    <w:rsid w:val="00C10A2D"/>
    <w:rsid w:val="00C133C2"/>
    <w:rsid w:val="00C146B5"/>
    <w:rsid w:val="00C14E9A"/>
    <w:rsid w:val="00C15E85"/>
    <w:rsid w:val="00C1624F"/>
    <w:rsid w:val="00C20184"/>
    <w:rsid w:val="00C21C7E"/>
    <w:rsid w:val="00C226CE"/>
    <w:rsid w:val="00C24133"/>
    <w:rsid w:val="00C26810"/>
    <w:rsid w:val="00C31155"/>
    <w:rsid w:val="00C32514"/>
    <w:rsid w:val="00C34147"/>
    <w:rsid w:val="00C3460F"/>
    <w:rsid w:val="00C34C91"/>
    <w:rsid w:val="00C402E1"/>
    <w:rsid w:val="00C42626"/>
    <w:rsid w:val="00C42FF2"/>
    <w:rsid w:val="00C44754"/>
    <w:rsid w:val="00C455CC"/>
    <w:rsid w:val="00C4694F"/>
    <w:rsid w:val="00C52CD6"/>
    <w:rsid w:val="00C54091"/>
    <w:rsid w:val="00C54402"/>
    <w:rsid w:val="00C55C0F"/>
    <w:rsid w:val="00C57026"/>
    <w:rsid w:val="00C6156C"/>
    <w:rsid w:val="00C61839"/>
    <w:rsid w:val="00C62615"/>
    <w:rsid w:val="00C637D0"/>
    <w:rsid w:val="00C63E92"/>
    <w:rsid w:val="00C6541E"/>
    <w:rsid w:val="00C65696"/>
    <w:rsid w:val="00C65F85"/>
    <w:rsid w:val="00C6797E"/>
    <w:rsid w:val="00C70321"/>
    <w:rsid w:val="00C71510"/>
    <w:rsid w:val="00C74CD4"/>
    <w:rsid w:val="00C76E34"/>
    <w:rsid w:val="00C86A00"/>
    <w:rsid w:val="00C86C4B"/>
    <w:rsid w:val="00C927D6"/>
    <w:rsid w:val="00C93D4C"/>
    <w:rsid w:val="00C93FC6"/>
    <w:rsid w:val="00C9650A"/>
    <w:rsid w:val="00C967F4"/>
    <w:rsid w:val="00C96951"/>
    <w:rsid w:val="00CA0207"/>
    <w:rsid w:val="00CA0E12"/>
    <w:rsid w:val="00CA2AAB"/>
    <w:rsid w:val="00CA630B"/>
    <w:rsid w:val="00CB182F"/>
    <w:rsid w:val="00CB3206"/>
    <w:rsid w:val="00CB3B77"/>
    <w:rsid w:val="00CB57E0"/>
    <w:rsid w:val="00CC0438"/>
    <w:rsid w:val="00CC1713"/>
    <w:rsid w:val="00CC5FCA"/>
    <w:rsid w:val="00CC642C"/>
    <w:rsid w:val="00CC6506"/>
    <w:rsid w:val="00CC7191"/>
    <w:rsid w:val="00CC7782"/>
    <w:rsid w:val="00CD06FD"/>
    <w:rsid w:val="00CD3C94"/>
    <w:rsid w:val="00CD5921"/>
    <w:rsid w:val="00CE12F1"/>
    <w:rsid w:val="00CE1DF8"/>
    <w:rsid w:val="00CE2CDB"/>
    <w:rsid w:val="00CE4FC4"/>
    <w:rsid w:val="00CE6A00"/>
    <w:rsid w:val="00CF1653"/>
    <w:rsid w:val="00CF622F"/>
    <w:rsid w:val="00CF70CF"/>
    <w:rsid w:val="00CF78D7"/>
    <w:rsid w:val="00D04D4B"/>
    <w:rsid w:val="00D06779"/>
    <w:rsid w:val="00D12E2B"/>
    <w:rsid w:val="00D17EA9"/>
    <w:rsid w:val="00D225F0"/>
    <w:rsid w:val="00D2286A"/>
    <w:rsid w:val="00D22A3E"/>
    <w:rsid w:val="00D275AD"/>
    <w:rsid w:val="00D31C1F"/>
    <w:rsid w:val="00D35EFE"/>
    <w:rsid w:val="00D367EF"/>
    <w:rsid w:val="00D40E51"/>
    <w:rsid w:val="00D41680"/>
    <w:rsid w:val="00D42475"/>
    <w:rsid w:val="00D43172"/>
    <w:rsid w:val="00D44FA9"/>
    <w:rsid w:val="00D47B28"/>
    <w:rsid w:val="00D510F0"/>
    <w:rsid w:val="00D513EF"/>
    <w:rsid w:val="00D5227F"/>
    <w:rsid w:val="00D53ECD"/>
    <w:rsid w:val="00D53F1F"/>
    <w:rsid w:val="00D61CBC"/>
    <w:rsid w:val="00D6451A"/>
    <w:rsid w:val="00D64BA0"/>
    <w:rsid w:val="00D67860"/>
    <w:rsid w:val="00D67CB7"/>
    <w:rsid w:val="00D7187D"/>
    <w:rsid w:val="00D72A35"/>
    <w:rsid w:val="00D73AC2"/>
    <w:rsid w:val="00D803A9"/>
    <w:rsid w:val="00D872DF"/>
    <w:rsid w:val="00D9276E"/>
    <w:rsid w:val="00D932EF"/>
    <w:rsid w:val="00DA1F43"/>
    <w:rsid w:val="00DA38DA"/>
    <w:rsid w:val="00DA6BAE"/>
    <w:rsid w:val="00DB0990"/>
    <w:rsid w:val="00DB11FC"/>
    <w:rsid w:val="00DB23C7"/>
    <w:rsid w:val="00DB5224"/>
    <w:rsid w:val="00DC024F"/>
    <w:rsid w:val="00DC6DE5"/>
    <w:rsid w:val="00DD0593"/>
    <w:rsid w:val="00DD188F"/>
    <w:rsid w:val="00DD34B6"/>
    <w:rsid w:val="00DD5C34"/>
    <w:rsid w:val="00DE09EE"/>
    <w:rsid w:val="00DE0A1F"/>
    <w:rsid w:val="00DE2223"/>
    <w:rsid w:val="00DE29C8"/>
    <w:rsid w:val="00DE3D0A"/>
    <w:rsid w:val="00DE40E8"/>
    <w:rsid w:val="00DE644E"/>
    <w:rsid w:val="00DE74C7"/>
    <w:rsid w:val="00DF2821"/>
    <w:rsid w:val="00E05BD1"/>
    <w:rsid w:val="00E13258"/>
    <w:rsid w:val="00E14BE1"/>
    <w:rsid w:val="00E1702D"/>
    <w:rsid w:val="00E23DEC"/>
    <w:rsid w:val="00E27147"/>
    <w:rsid w:val="00E315B2"/>
    <w:rsid w:val="00E33435"/>
    <w:rsid w:val="00E3586A"/>
    <w:rsid w:val="00E36D11"/>
    <w:rsid w:val="00E37374"/>
    <w:rsid w:val="00E40F3F"/>
    <w:rsid w:val="00E410E4"/>
    <w:rsid w:val="00E436A0"/>
    <w:rsid w:val="00E442D8"/>
    <w:rsid w:val="00E50473"/>
    <w:rsid w:val="00E5331B"/>
    <w:rsid w:val="00E563A2"/>
    <w:rsid w:val="00E602F7"/>
    <w:rsid w:val="00E61F14"/>
    <w:rsid w:val="00E633EF"/>
    <w:rsid w:val="00E63D64"/>
    <w:rsid w:val="00E71DD6"/>
    <w:rsid w:val="00E7230F"/>
    <w:rsid w:val="00E74741"/>
    <w:rsid w:val="00E85A96"/>
    <w:rsid w:val="00E86497"/>
    <w:rsid w:val="00E93C28"/>
    <w:rsid w:val="00E94C10"/>
    <w:rsid w:val="00E965F9"/>
    <w:rsid w:val="00E96C23"/>
    <w:rsid w:val="00E977AE"/>
    <w:rsid w:val="00E97D56"/>
    <w:rsid w:val="00EA01F6"/>
    <w:rsid w:val="00EA1884"/>
    <w:rsid w:val="00EA1A85"/>
    <w:rsid w:val="00EA22F9"/>
    <w:rsid w:val="00EA4A54"/>
    <w:rsid w:val="00EA4FCC"/>
    <w:rsid w:val="00EA78D5"/>
    <w:rsid w:val="00EA7F76"/>
    <w:rsid w:val="00EB0CF5"/>
    <w:rsid w:val="00EB154E"/>
    <w:rsid w:val="00EB30E7"/>
    <w:rsid w:val="00EB3C6F"/>
    <w:rsid w:val="00EB4B38"/>
    <w:rsid w:val="00EB6609"/>
    <w:rsid w:val="00EB7374"/>
    <w:rsid w:val="00EC084A"/>
    <w:rsid w:val="00EC16BC"/>
    <w:rsid w:val="00ED08B8"/>
    <w:rsid w:val="00ED10A6"/>
    <w:rsid w:val="00ED1A3B"/>
    <w:rsid w:val="00ED1AE7"/>
    <w:rsid w:val="00ED1B44"/>
    <w:rsid w:val="00ED2C5B"/>
    <w:rsid w:val="00ED41DD"/>
    <w:rsid w:val="00ED6197"/>
    <w:rsid w:val="00ED7055"/>
    <w:rsid w:val="00ED730C"/>
    <w:rsid w:val="00EE0E7B"/>
    <w:rsid w:val="00EE2264"/>
    <w:rsid w:val="00EE294E"/>
    <w:rsid w:val="00EE4B3F"/>
    <w:rsid w:val="00EE575F"/>
    <w:rsid w:val="00EE6141"/>
    <w:rsid w:val="00EE6C0A"/>
    <w:rsid w:val="00EE6F13"/>
    <w:rsid w:val="00EF0997"/>
    <w:rsid w:val="00EF2BC0"/>
    <w:rsid w:val="00EF6643"/>
    <w:rsid w:val="00EF6D22"/>
    <w:rsid w:val="00F048DF"/>
    <w:rsid w:val="00F054BE"/>
    <w:rsid w:val="00F1018D"/>
    <w:rsid w:val="00F10E53"/>
    <w:rsid w:val="00F12A3F"/>
    <w:rsid w:val="00F13E82"/>
    <w:rsid w:val="00F150E0"/>
    <w:rsid w:val="00F202E6"/>
    <w:rsid w:val="00F27E1D"/>
    <w:rsid w:val="00F33068"/>
    <w:rsid w:val="00F446C8"/>
    <w:rsid w:val="00F47E0E"/>
    <w:rsid w:val="00F51667"/>
    <w:rsid w:val="00F519F1"/>
    <w:rsid w:val="00F521DA"/>
    <w:rsid w:val="00F54E9E"/>
    <w:rsid w:val="00F5603A"/>
    <w:rsid w:val="00F57248"/>
    <w:rsid w:val="00F5727C"/>
    <w:rsid w:val="00F57E33"/>
    <w:rsid w:val="00F61D7A"/>
    <w:rsid w:val="00F6209F"/>
    <w:rsid w:val="00F63564"/>
    <w:rsid w:val="00F63639"/>
    <w:rsid w:val="00F70F6C"/>
    <w:rsid w:val="00F7538F"/>
    <w:rsid w:val="00F759BE"/>
    <w:rsid w:val="00F77E2D"/>
    <w:rsid w:val="00F80D43"/>
    <w:rsid w:val="00F81ABA"/>
    <w:rsid w:val="00F84920"/>
    <w:rsid w:val="00F8724C"/>
    <w:rsid w:val="00F87FE5"/>
    <w:rsid w:val="00F92A89"/>
    <w:rsid w:val="00F95ED9"/>
    <w:rsid w:val="00F97F60"/>
    <w:rsid w:val="00FA1867"/>
    <w:rsid w:val="00FA500D"/>
    <w:rsid w:val="00FA5229"/>
    <w:rsid w:val="00FB28B8"/>
    <w:rsid w:val="00FB2D30"/>
    <w:rsid w:val="00FB7AE9"/>
    <w:rsid w:val="00FC1570"/>
    <w:rsid w:val="00FC34CC"/>
    <w:rsid w:val="00FC5095"/>
    <w:rsid w:val="00FC7FA0"/>
    <w:rsid w:val="00FD091B"/>
    <w:rsid w:val="00FD0CB4"/>
    <w:rsid w:val="00FD3B70"/>
    <w:rsid w:val="00FD5D95"/>
    <w:rsid w:val="00FE069A"/>
    <w:rsid w:val="00FE11FF"/>
    <w:rsid w:val="00FE373E"/>
    <w:rsid w:val="00FE3D25"/>
    <w:rsid w:val="00FE5381"/>
    <w:rsid w:val="00FE5C6A"/>
    <w:rsid w:val="00FE62AB"/>
    <w:rsid w:val="00FF293A"/>
    <w:rsid w:val="00FF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7D04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4"/>
      <w:lang w:bidi="en-US"/>
    </w:rPr>
  </w:style>
  <w:style w:type="paragraph" w:styleId="Heading1">
    <w:name w:val="heading 1"/>
    <w:basedOn w:val="Normal"/>
    <w:next w:val="Normal"/>
    <w:qFormat/>
    <w:pPr>
      <w:spacing w:before="480" w:after="0"/>
      <w:contextualSpacing/>
      <w:outlineLvl w:val="0"/>
    </w:pPr>
    <w:rPr>
      <w:rFonts w:ascii="Cambria" w:hAnsi="Cambria"/>
      <w:b/>
      <w:bCs/>
      <w:sz w:val="28"/>
      <w:szCs w:val="28"/>
    </w:rPr>
  </w:style>
  <w:style w:type="paragraph" w:styleId="Heading2">
    <w:name w:val="heading 2"/>
    <w:basedOn w:val="Normal"/>
    <w:next w:val="Normal"/>
    <w:qFormat/>
    <w:pPr>
      <w:spacing w:before="200" w:after="0"/>
      <w:outlineLvl w:val="1"/>
    </w:pPr>
    <w:rPr>
      <w:rFonts w:ascii="Cambria" w:hAnsi="Cambria"/>
      <w:b/>
      <w:bCs/>
      <w:sz w:val="26"/>
      <w:szCs w:val="26"/>
    </w:rPr>
  </w:style>
  <w:style w:type="paragraph" w:styleId="Heading3">
    <w:name w:val="heading 3"/>
    <w:basedOn w:val="Normal"/>
    <w:next w:val="Normal"/>
    <w:qFormat/>
    <w:pPr>
      <w:spacing w:before="200" w:after="0" w:line="271" w:lineRule="auto"/>
      <w:outlineLvl w:val="2"/>
    </w:pPr>
    <w:rPr>
      <w:rFonts w:ascii="Cambria" w:hAnsi="Cambria"/>
      <w:b/>
      <w:bCs/>
    </w:rPr>
  </w:style>
  <w:style w:type="paragraph" w:styleId="Heading4">
    <w:name w:val="heading 4"/>
    <w:basedOn w:val="Normal"/>
    <w:next w:val="Normal"/>
    <w:qFormat/>
    <w:pPr>
      <w:spacing w:before="200" w:after="0"/>
      <w:outlineLvl w:val="3"/>
    </w:pPr>
    <w:rPr>
      <w:rFonts w:ascii="Cambria" w:hAnsi="Cambria"/>
      <w:b/>
      <w:bCs/>
      <w:i/>
      <w:iCs/>
    </w:rPr>
  </w:style>
  <w:style w:type="paragraph" w:styleId="Heading5">
    <w:name w:val="heading 5"/>
    <w:basedOn w:val="Normal"/>
    <w:next w:val="Normal"/>
    <w:qFormat/>
    <w:pPr>
      <w:spacing w:before="200" w:after="0"/>
      <w:outlineLvl w:val="4"/>
    </w:pPr>
    <w:rPr>
      <w:rFonts w:ascii="Cambria" w:hAnsi="Cambria"/>
      <w:b/>
      <w:bCs/>
      <w:color w:val="7F7F7F"/>
    </w:rPr>
  </w:style>
  <w:style w:type="paragraph" w:styleId="Heading6">
    <w:name w:val="heading 6"/>
    <w:basedOn w:val="Normal"/>
    <w:next w:val="Normal"/>
    <w:qFormat/>
    <w:pPr>
      <w:spacing w:after="0" w:line="271" w:lineRule="auto"/>
      <w:outlineLvl w:val="5"/>
    </w:pPr>
    <w:rPr>
      <w:rFonts w:ascii="Cambria" w:hAnsi="Cambria"/>
      <w:b/>
      <w:bCs/>
      <w:i/>
      <w:iCs/>
      <w:color w:val="7F7F7F"/>
    </w:rPr>
  </w:style>
  <w:style w:type="paragraph" w:styleId="Heading7">
    <w:name w:val="heading 7"/>
    <w:basedOn w:val="Normal"/>
    <w:next w:val="Normal"/>
    <w:qFormat/>
    <w:pPr>
      <w:spacing w:after="0"/>
      <w:outlineLvl w:val="6"/>
    </w:pPr>
    <w:rPr>
      <w:rFonts w:ascii="Cambria" w:hAnsi="Cambria"/>
      <w:i/>
      <w:iCs/>
    </w:rPr>
  </w:style>
  <w:style w:type="paragraph" w:styleId="Heading8">
    <w:name w:val="heading 8"/>
    <w:basedOn w:val="Normal"/>
    <w:next w:val="Normal"/>
    <w:qFormat/>
    <w:pPr>
      <w:spacing w:after="0"/>
      <w:outlineLvl w:val="7"/>
    </w:pPr>
    <w:rPr>
      <w:rFonts w:ascii="Cambria" w:hAnsi="Cambria"/>
      <w:sz w:val="20"/>
      <w:szCs w:val="20"/>
    </w:rPr>
  </w:style>
  <w:style w:type="paragraph" w:styleId="Heading9">
    <w:name w:val="heading 9"/>
    <w:basedOn w:val="Normal"/>
    <w:next w:val="Normal"/>
    <w:qFormat/>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pPr>
      <w:spacing w:after="150"/>
    </w:pPr>
  </w:style>
  <w:style w:type="paragraph" w:styleId="BodyTextIndent">
    <w:name w:val="Body Text Indent"/>
    <w:basedOn w:val="Normal"/>
    <w:pPr>
      <w:ind w:left="360"/>
    </w:pPr>
    <w:rPr>
      <w:szCs w:val="22"/>
    </w:rPr>
  </w:style>
  <w:style w:type="paragraph" w:styleId="BodyTextIndent3">
    <w:name w:val="Body Text Indent 3"/>
    <w:basedOn w:val="Normal"/>
    <w:pPr>
      <w:spacing w:after="60"/>
      <w:ind w:firstLine="720"/>
    </w:pPr>
  </w:style>
  <w:style w:type="paragraph" w:customStyle="1" w:styleId="NormalWeb2">
    <w:name w:val="Normal (Web)2"/>
    <w:basedOn w:val="Normal"/>
  </w:style>
  <w:style w:type="paragraph" w:customStyle="1" w:styleId="Default">
    <w:name w:val="Default"/>
    <w:pPr>
      <w:autoSpaceDE w:val="0"/>
      <w:autoSpaceDN w:val="0"/>
      <w:adjustRightInd w:val="0"/>
      <w:spacing w:after="200" w:line="276" w:lineRule="auto"/>
    </w:pPr>
    <w:rPr>
      <w:rFonts w:ascii="Arial" w:hAnsi="Arial" w:cs="Arial"/>
      <w:color w:val="000000"/>
      <w:sz w:val="24"/>
      <w:szCs w:val="24"/>
    </w:rPr>
  </w:style>
  <w:style w:type="character" w:customStyle="1" w:styleId="cwnormalbold1">
    <w:name w:val="cwnormalbold1"/>
    <w:rPr>
      <w:rFonts w:ascii="Helvetica" w:hAnsi="Helvetica"/>
      <w:b/>
      <w:bCs/>
      <w:color w:val="000000"/>
      <w:sz w:val="20"/>
      <w:szCs w:val="20"/>
    </w:rPr>
  </w:style>
  <w:style w:type="paragraph" w:styleId="BodyText">
    <w:name w:val="Body Text"/>
    <w:basedOn w:val="Normal"/>
    <w:pPr>
      <w:spacing w:line="480" w:lineRule="auto"/>
    </w:pPr>
    <w:rPr>
      <w:rFonts w:ascii="Arial" w:hAnsi="Arial" w:cs="Arial"/>
      <w:sz w:val="22"/>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unhideWhenUsed/>
    <w:pPr>
      <w:tabs>
        <w:tab w:val="center" w:pos="4680"/>
        <w:tab w:val="right" w:pos="9360"/>
      </w:tabs>
    </w:pPr>
  </w:style>
  <w:style w:type="character" w:customStyle="1" w:styleId="CharChar5">
    <w:name w:val="Char Char5"/>
    <w:rPr>
      <w:sz w:val="24"/>
      <w:szCs w:val="24"/>
    </w:rPr>
  </w:style>
  <w:style w:type="character" w:customStyle="1" w:styleId="CharChar6">
    <w:name w:val="Char Char6"/>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4">
    <w:name w:val="Char Char4"/>
    <w:semiHidden/>
    <w:rPr>
      <w:rFonts w:ascii="Tahoma"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harChar3">
    <w:name w:val="Char Char3"/>
    <w:basedOn w:val="DefaultParagraphFont"/>
    <w:semiHidden/>
  </w:style>
  <w:style w:type="paragraph" w:styleId="CommentSubject">
    <w:name w:val="annotation subject"/>
    <w:basedOn w:val="CommentText"/>
    <w:next w:val="CommentText"/>
    <w:semiHidden/>
    <w:unhideWhenUsed/>
    <w:rPr>
      <w:b/>
      <w:bCs/>
    </w:rPr>
  </w:style>
  <w:style w:type="character" w:customStyle="1" w:styleId="CharChar2">
    <w:name w:val="Char Char2"/>
    <w:semiHidden/>
    <w:rPr>
      <w:b/>
      <w:bCs/>
    </w:rPr>
  </w:style>
  <w:style w:type="character" w:customStyle="1" w:styleId="CharChar15">
    <w:name w:val="Char Char15"/>
    <w:rPr>
      <w:rFonts w:ascii="Cambria" w:eastAsia="Times New Roman" w:hAnsi="Cambria" w:cs="Times New Roman"/>
      <w:b/>
      <w:bCs/>
      <w:sz w:val="28"/>
      <w:szCs w:val="28"/>
    </w:rPr>
  </w:style>
  <w:style w:type="character" w:customStyle="1" w:styleId="CharChar14">
    <w:name w:val="Char Char14"/>
    <w:rPr>
      <w:rFonts w:ascii="Cambria" w:eastAsia="Times New Roman" w:hAnsi="Cambria" w:cs="Times New Roman"/>
      <w:b/>
      <w:bCs/>
      <w:sz w:val="26"/>
      <w:szCs w:val="26"/>
    </w:rPr>
  </w:style>
  <w:style w:type="character" w:customStyle="1" w:styleId="CharChar13">
    <w:name w:val="Char Char13"/>
    <w:rPr>
      <w:rFonts w:ascii="Cambria" w:eastAsia="Times New Roman" w:hAnsi="Cambria" w:cs="Times New Roman"/>
      <w:b/>
      <w:bCs/>
    </w:rPr>
  </w:style>
  <w:style w:type="character" w:customStyle="1" w:styleId="CharChar12">
    <w:name w:val="Char Char12"/>
    <w:semiHidden/>
    <w:rPr>
      <w:rFonts w:ascii="Cambria" w:eastAsia="Times New Roman" w:hAnsi="Cambria" w:cs="Times New Roman"/>
      <w:b/>
      <w:bCs/>
      <w:i/>
      <w:iCs/>
    </w:rPr>
  </w:style>
  <w:style w:type="character" w:customStyle="1" w:styleId="CharChar11">
    <w:name w:val="Char Char11"/>
    <w:rPr>
      <w:rFonts w:ascii="Cambria" w:eastAsia="Times New Roman" w:hAnsi="Cambria" w:cs="Times New Roman"/>
      <w:b/>
      <w:bCs/>
      <w:color w:val="7F7F7F"/>
    </w:rPr>
  </w:style>
  <w:style w:type="character" w:customStyle="1" w:styleId="CharChar10">
    <w:name w:val="Char Char10"/>
    <w:semiHidden/>
    <w:rPr>
      <w:rFonts w:ascii="Cambria" w:eastAsia="Times New Roman" w:hAnsi="Cambria" w:cs="Times New Roman"/>
      <w:b/>
      <w:bCs/>
      <w:i/>
      <w:iCs/>
      <w:color w:val="7F7F7F"/>
    </w:rPr>
  </w:style>
  <w:style w:type="character" w:customStyle="1" w:styleId="CharChar9">
    <w:name w:val="Char Char9"/>
    <w:rPr>
      <w:rFonts w:ascii="Cambria" w:eastAsia="Times New Roman" w:hAnsi="Cambria" w:cs="Times New Roman"/>
      <w:i/>
      <w:iCs/>
    </w:rPr>
  </w:style>
  <w:style w:type="character" w:customStyle="1" w:styleId="CharChar8">
    <w:name w:val="Char Char8"/>
    <w:semiHidden/>
    <w:rPr>
      <w:rFonts w:ascii="Cambria" w:eastAsia="Times New Roman" w:hAnsi="Cambria" w:cs="Times New Roman"/>
      <w:sz w:val="20"/>
      <w:szCs w:val="20"/>
    </w:rPr>
  </w:style>
  <w:style w:type="character" w:customStyle="1" w:styleId="CharChar7">
    <w:name w:val="Char Char7"/>
    <w:semiHidden/>
    <w:rPr>
      <w:rFonts w:ascii="Cambria" w:eastAsia="Times New Roman" w:hAnsi="Cambria" w:cs="Times New Roman"/>
      <w:i/>
      <w:iCs/>
      <w:spacing w:val="5"/>
      <w:sz w:val="20"/>
      <w:szCs w:val="20"/>
    </w:rPr>
  </w:style>
  <w:style w:type="paragraph" w:styleId="Caption">
    <w:name w:val="caption"/>
    <w:basedOn w:val="Normal"/>
    <w:next w:val="Normal"/>
    <w:qFormat/>
    <w:rPr>
      <w:b/>
      <w:bCs/>
      <w:sz w:val="18"/>
      <w:szCs w:val="18"/>
    </w:rPr>
  </w:style>
  <w:style w:type="paragraph" w:styleId="Title">
    <w:name w:val="Title"/>
    <w:basedOn w:val="Normal"/>
    <w:next w:val="Normal"/>
    <w:qFormat/>
    <w:pPr>
      <w:pBdr>
        <w:bottom w:val="single" w:sz="4" w:space="1" w:color="auto"/>
      </w:pBdr>
      <w:spacing w:line="240" w:lineRule="auto"/>
      <w:contextualSpacing/>
    </w:pPr>
    <w:rPr>
      <w:rFonts w:ascii="Cambria" w:hAnsi="Cambria"/>
      <w:spacing w:val="5"/>
      <w:sz w:val="52"/>
      <w:szCs w:val="52"/>
    </w:rPr>
  </w:style>
  <w:style w:type="character" w:customStyle="1" w:styleId="CharChar1">
    <w:name w:val="Char Char1"/>
    <w:rPr>
      <w:rFonts w:ascii="Cambria" w:eastAsia="Times New Roman" w:hAnsi="Cambria" w:cs="Times New Roman"/>
      <w:spacing w:val="5"/>
      <w:sz w:val="52"/>
      <w:szCs w:val="52"/>
    </w:rPr>
  </w:style>
  <w:style w:type="paragraph" w:styleId="Subtitle">
    <w:name w:val="Subtitle"/>
    <w:basedOn w:val="Normal"/>
    <w:next w:val="Normal"/>
    <w:qFormat/>
    <w:pPr>
      <w:spacing w:after="600"/>
    </w:pPr>
    <w:rPr>
      <w:rFonts w:ascii="Cambria" w:hAnsi="Cambria"/>
      <w:i/>
      <w:iCs/>
      <w:spacing w:val="13"/>
    </w:rPr>
  </w:style>
  <w:style w:type="character" w:customStyle="1" w:styleId="CharChar">
    <w:name w:val="Char Char"/>
    <w:rPr>
      <w:rFonts w:ascii="Cambria" w:eastAsia="Times New Roman" w:hAnsi="Cambria" w:cs="Times New Roman"/>
      <w:i/>
      <w:iCs/>
      <w:spacing w:val="13"/>
      <w:sz w:val="24"/>
      <w:szCs w:val="24"/>
    </w:rPr>
  </w:style>
  <w:style w:type="character" w:styleId="Strong">
    <w:name w:val="Strong"/>
    <w:qFormat/>
    <w:rPr>
      <w:b/>
      <w:bCs/>
    </w:rPr>
  </w:style>
  <w:style w:type="character" w:styleId="Emphasis">
    <w:name w:val="Emphasis"/>
    <w:qFormat/>
    <w:rPr>
      <w:b/>
      <w:bCs/>
      <w:i/>
      <w:iCs/>
      <w:spacing w:val="10"/>
      <w:bdr w:val="none" w:sz="0" w:space="0" w:color="auto"/>
      <w:shd w:val="clear" w:color="auto" w:fill="auto"/>
    </w:rPr>
  </w:style>
  <w:style w:type="paragraph" w:styleId="NoSpacing">
    <w:name w:val="No Spacing"/>
    <w:basedOn w:val="Normal"/>
    <w:uiPriority w:val="1"/>
    <w:qFormat/>
    <w:pPr>
      <w:spacing w:after="0" w:line="240" w:lineRule="auto"/>
    </w:pPr>
  </w:style>
  <w:style w:type="character" w:customStyle="1" w:styleId="NoSpacingChar">
    <w:name w:val="No Spacing Char"/>
    <w:basedOn w:val="DefaultParagraphFont"/>
  </w:style>
  <w:style w:type="paragraph" w:styleId="ListParagraph">
    <w:name w:val="List Paragraph"/>
    <w:basedOn w:val="Normal"/>
    <w:uiPriority w:val="34"/>
    <w:qFormat/>
    <w:pPr>
      <w:ind w:left="720"/>
      <w:contextualSpacing/>
    </w:pPr>
  </w:style>
  <w:style w:type="paragraph" w:styleId="Quote">
    <w:name w:val="Quote"/>
    <w:basedOn w:val="Normal"/>
    <w:next w:val="Normal"/>
    <w:qFormat/>
    <w:pPr>
      <w:spacing w:before="200" w:after="0"/>
      <w:ind w:left="360" w:right="360"/>
    </w:pPr>
    <w:rPr>
      <w:i/>
      <w:iCs/>
    </w:rPr>
  </w:style>
  <w:style w:type="character" w:customStyle="1" w:styleId="QuoteChar">
    <w:name w:val="Quote Char"/>
    <w:rPr>
      <w:i/>
      <w:iCs/>
    </w:rPr>
  </w:style>
  <w:style w:type="paragraph" w:styleId="IntenseQuote">
    <w:name w:val="Intense Quote"/>
    <w:basedOn w:val="Normal"/>
    <w:next w:val="Normal"/>
    <w:qFormat/>
    <w:pPr>
      <w:pBdr>
        <w:bottom w:val="single" w:sz="4" w:space="1" w:color="auto"/>
      </w:pBdr>
      <w:spacing w:before="200" w:after="280"/>
      <w:ind w:left="1008" w:right="1152"/>
      <w:jc w:val="both"/>
    </w:pPr>
    <w:rPr>
      <w:b/>
      <w:bCs/>
      <w:i/>
      <w:iCs/>
    </w:rPr>
  </w:style>
  <w:style w:type="character" w:customStyle="1" w:styleId="IntenseQuoteChar">
    <w:name w:val="Intense Quote Char"/>
    <w:rPr>
      <w:b/>
      <w:bCs/>
      <w:i/>
      <w:iCs/>
    </w:rPr>
  </w:style>
  <w:style w:type="character" w:styleId="SubtleEmphasis">
    <w:name w:val="Subtle Emphasis"/>
    <w:qFormat/>
    <w:rPr>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paragraph" w:styleId="TOCHeading">
    <w:name w:val="TOC Heading"/>
    <w:basedOn w:val="Heading1"/>
    <w:next w:val="Normal"/>
    <w:qFormat/>
    <w:pPr>
      <w:outlineLvl w:val="9"/>
    </w:pPr>
  </w:style>
  <w:style w:type="paragraph" w:styleId="BodyText2">
    <w:name w:val="Body Text 2"/>
    <w:basedOn w:val="Normal"/>
    <w:pPr>
      <w:spacing w:after="120" w:line="480" w:lineRule="auto"/>
    </w:pPr>
  </w:style>
  <w:style w:type="table" w:styleId="TableGrid">
    <w:name w:val="Table Grid"/>
    <w:basedOn w:val="TableNormal"/>
    <w:uiPriority w:val="59"/>
    <w:rsid w:val="003870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E7230F"/>
    <w:pPr>
      <w:spacing w:after="0" w:line="240" w:lineRule="auto"/>
    </w:pPr>
    <w:rPr>
      <w:sz w:val="20"/>
      <w:szCs w:val="20"/>
    </w:rPr>
  </w:style>
  <w:style w:type="character" w:customStyle="1" w:styleId="FootnoteTextChar">
    <w:name w:val="Footnote Text Char"/>
    <w:basedOn w:val="DefaultParagraphFont"/>
    <w:link w:val="FootnoteText"/>
    <w:rsid w:val="00E7230F"/>
    <w:rPr>
      <w:lang w:bidi="en-US"/>
    </w:rPr>
  </w:style>
  <w:style w:type="character" w:styleId="FootnoteReference">
    <w:name w:val="footnote reference"/>
    <w:basedOn w:val="DefaultParagraphFont"/>
    <w:rsid w:val="00E7230F"/>
    <w:rPr>
      <w:vertAlign w:val="superscript"/>
    </w:rPr>
  </w:style>
  <w:style w:type="paragraph" w:styleId="Revision">
    <w:name w:val="Revision"/>
    <w:hidden/>
    <w:uiPriority w:val="99"/>
    <w:semiHidden/>
    <w:rsid w:val="00F054BE"/>
    <w:rPr>
      <w:sz w:val="24"/>
      <w:szCs w:val="24"/>
      <w:lang w:bidi="en-US"/>
    </w:rPr>
  </w:style>
  <w:style w:type="character" w:customStyle="1" w:styleId="CommentTextChar">
    <w:name w:val="Comment Text Char"/>
    <w:basedOn w:val="DefaultParagraphFont"/>
    <w:link w:val="CommentText"/>
    <w:rsid w:val="008E0F4A"/>
    <w:rPr>
      <w:lang w:bidi="en-US"/>
    </w:rPr>
  </w:style>
  <w:style w:type="character" w:customStyle="1" w:styleId="id-mask1">
    <w:name w:val="id-mask1"/>
    <w:basedOn w:val="DefaultParagraphFont"/>
    <w:rsid w:val="008E0F4A"/>
    <w:rPr>
      <w:color w:val="4C4C4C"/>
    </w:rPr>
  </w:style>
  <w:style w:type="paragraph" w:customStyle="1" w:styleId="BulletText1">
    <w:name w:val="Bullet Text 1"/>
    <w:basedOn w:val="Normal"/>
    <w:rsid w:val="00E633EF"/>
    <w:pPr>
      <w:numPr>
        <w:numId w:val="1"/>
      </w:numPr>
      <w:spacing w:after="0" w:line="240" w:lineRule="auto"/>
    </w:pPr>
    <w:rPr>
      <w:color w:val="00000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6233">
      <w:bodyDiv w:val="1"/>
      <w:marLeft w:val="0"/>
      <w:marRight w:val="0"/>
      <w:marTop w:val="0"/>
      <w:marBottom w:val="0"/>
      <w:divBdr>
        <w:top w:val="none" w:sz="0" w:space="0" w:color="auto"/>
        <w:left w:val="none" w:sz="0" w:space="0" w:color="auto"/>
        <w:bottom w:val="none" w:sz="0" w:space="0" w:color="auto"/>
        <w:right w:val="none" w:sz="0" w:space="0" w:color="auto"/>
      </w:divBdr>
    </w:div>
    <w:div w:id="386224791">
      <w:bodyDiv w:val="1"/>
      <w:marLeft w:val="0"/>
      <w:marRight w:val="0"/>
      <w:marTop w:val="0"/>
      <w:marBottom w:val="0"/>
      <w:divBdr>
        <w:top w:val="none" w:sz="0" w:space="0" w:color="auto"/>
        <w:left w:val="none" w:sz="0" w:space="0" w:color="auto"/>
        <w:bottom w:val="none" w:sz="0" w:space="0" w:color="auto"/>
        <w:right w:val="none" w:sz="0" w:space="0" w:color="auto"/>
      </w:divBdr>
      <w:divsChild>
        <w:div w:id="1398169694">
          <w:marLeft w:val="0"/>
          <w:marRight w:val="0"/>
          <w:marTop w:val="0"/>
          <w:marBottom w:val="0"/>
          <w:divBdr>
            <w:top w:val="none" w:sz="0" w:space="0" w:color="auto"/>
            <w:left w:val="none" w:sz="0" w:space="0" w:color="auto"/>
            <w:bottom w:val="none" w:sz="0" w:space="0" w:color="auto"/>
            <w:right w:val="none" w:sz="0" w:space="0" w:color="auto"/>
          </w:divBdr>
        </w:div>
      </w:divsChild>
    </w:div>
    <w:div w:id="438914701">
      <w:bodyDiv w:val="1"/>
      <w:marLeft w:val="0"/>
      <w:marRight w:val="0"/>
      <w:marTop w:val="0"/>
      <w:marBottom w:val="0"/>
      <w:divBdr>
        <w:top w:val="none" w:sz="0" w:space="0" w:color="auto"/>
        <w:left w:val="none" w:sz="0" w:space="0" w:color="auto"/>
        <w:bottom w:val="none" w:sz="0" w:space="0" w:color="auto"/>
        <w:right w:val="none" w:sz="0" w:space="0" w:color="auto"/>
      </w:divBdr>
    </w:div>
    <w:div w:id="560141881">
      <w:bodyDiv w:val="1"/>
      <w:marLeft w:val="0"/>
      <w:marRight w:val="0"/>
      <w:marTop w:val="0"/>
      <w:marBottom w:val="0"/>
      <w:divBdr>
        <w:top w:val="none" w:sz="0" w:space="0" w:color="auto"/>
        <w:left w:val="none" w:sz="0" w:space="0" w:color="auto"/>
        <w:bottom w:val="none" w:sz="0" w:space="0" w:color="auto"/>
        <w:right w:val="none" w:sz="0" w:space="0" w:color="auto"/>
      </w:divBdr>
    </w:div>
    <w:div w:id="911743528">
      <w:bodyDiv w:val="1"/>
      <w:marLeft w:val="0"/>
      <w:marRight w:val="0"/>
      <w:marTop w:val="0"/>
      <w:marBottom w:val="0"/>
      <w:divBdr>
        <w:top w:val="none" w:sz="0" w:space="0" w:color="auto"/>
        <w:left w:val="none" w:sz="0" w:space="0" w:color="auto"/>
        <w:bottom w:val="none" w:sz="0" w:space="0" w:color="auto"/>
        <w:right w:val="none" w:sz="0" w:space="0" w:color="auto"/>
      </w:divBdr>
    </w:div>
    <w:div w:id="1083188910">
      <w:bodyDiv w:val="1"/>
      <w:marLeft w:val="0"/>
      <w:marRight w:val="0"/>
      <w:marTop w:val="0"/>
      <w:marBottom w:val="0"/>
      <w:divBdr>
        <w:top w:val="none" w:sz="0" w:space="0" w:color="auto"/>
        <w:left w:val="none" w:sz="0" w:space="0" w:color="auto"/>
        <w:bottom w:val="none" w:sz="0" w:space="0" w:color="auto"/>
        <w:right w:val="none" w:sz="0" w:space="0" w:color="auto"/>
      </w:divBdr>
    </w:div>
    <w:div w:id="1096363627">
      <w:bodyDiv w:val="1"/>
      <w:marLeft w:val="0"/>
      <w:marRight w:val="0"/>
      <w:marTop w:val="0"/>
      <w:marBottom w:val="0"/>
      <w:divBdr>
        <w:top w:val="none" w:sz="0" w:space="0" w:color="auto"/>
        <w:left w:val="none" w:sz="0" w:space="0" w:color="auto"/>
        <w:bottom w:val="none" w:sz="0" w:space="0" w:color="auto"/>
        <w:right w:val="none" w:sz="0" w:space="0" w:color="auto"/>
      </w:divBdr>
    </w:div>
    <w:div w:id="1172380996">
      <w:bodyDiv w:val="1"/>
      <w:marLeft w:val="0"/>
      <w:marRight w:val="0"/>
      <w:marTop w:val="0"/>
      <w:marBottom w:val="0"/>
      <w:divBdr>
        <w:top w:val="none" w:sz="0" w:space="0" w:color="auto"/>
        <w:left w:val="none" w:sz="0" w:space="0" w:color="auto"/>
        <w:bottom w:val="none" w:sz="0" w:space="0" w:color="auto"/>
        <w:right w:val="none" w:sz="0" w:space="0" w:color="auto"/>
      </w:divBdr>
    </w:div>
    <w:div w:id="1654528344">
      <w:bodyDiv w:val="1"/>
      <w:marLeft w:val="0"/>
      <w:marRight w:val="0"/>
      <w:marTop w:val="0"/>
      <w:marBottom w:val="0"/>
      <w:divBdr>
        <w:top w:val="none" w:sz="0" w:space="0" w:color="auto"/>
        <w:left w:val="none" w:sz="0" w:space="0" w:color="auto"/>
        <w:bottom w:val="none" w:sz="0" w:space="0" w:color="auto"/>
        <w:right w:val="none" w:sz="0" w:space="0" w:color="auto"/>
      </w:divBdr>
    </w:div>
    <w:div w:id="1791968973">
      <w:bodyDiv w:val="1"/>
      <w:marLeft w:val="0"/>
      <w:marRight w:val="0"/>
      <w:marTop w:val="0"/>
      <w:marBottom w:val="0"/>
      <w:divBdr>
        <w:top w:val="none" w:sz="0" w:space="0" w:color="auto"/>
        <w:left w:val="none" w:sz="0" w:space="0" w:color="auto"/>
        <w:bottom w:val="none" w:sz="0" w:space="0" w:color="auto"/>
        <w:right w:val="none" w:sz="0" w:space="0" w:color="auto"/>
      </w:divBdr>
    </w:div>
    <w:div w:id="1940290861">
      <w:bodyDiv w:val="1"/>
      <w:marLeft w:val="0"/>
      <w:marRight w:val="0"/>
      <w:marTop w:val="0"/>
      <w:marBottom w:val="0"/>
      <w:divBdr>
        <w:top w:val="none" w:sz="0" w:space="0" w:color="auto"/>
        <w:left w:val="none" w:sz="0" w:space="0" w:color="auto"/>
        <w:bottom w:val="none" w:sz="0" w:space="0" w:color="auto"/>
        <w:right w:val="none" w:sz="0" w:space="0" w:color="auto"/>
      </w:divBdr>
    </w:div>
    <w:div w:id="202080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scode.house.gov/view.xhtml?req=(title:38%20section:103%20edition:prelim)%20OR%20(granuleid:USC-prelim-title38-section103)&amp;f=treesort&amp;edition=prelim&amp;num=0&amp;jumpTo=true" TargetMode="External"/><Relationship Id="rId18" Type="http://schemas.openxmlformats.org/officeDocument/2006/relationships/hyperlink" Target="http://vbaw.vba.va.gov/bl/21/publicat/Regs/Part3/3_204.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vbaw.vba.va.gov/bl/21/publicat/Regs/Part3/3_204.ht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uscode.house.gov/view.xhtml?req=(title:38%20section:5124%20edition:prelim)%20OR%20(granuleid:USC-prelim-title38-section5124)&amp;f=treesort&amp;edition=prelim&amp;num=0&amp;jumpTo=true" TargetMode="External"/><Relationship Id="rId25" Type="http://schemas.openxmlformats.org/officeDocument/2006/relationships/hyperlink" Target="mailto:VAVBAWAS/CO/225C" TargetMode="External"/><Relationship Id="rId2" Type="http://schemas.openxmlformats.org/officeDocument/2006/relationships/customXml" Target="../customXml/item2.xml"/><Relationship Id="rId16" Type="http://schemas.openxmlformats.org/officeDocument/2006/relationships/hyperlink" Target="http://uscode.house.gov/view.xhtml?req=(title:38%20section:103%20edition:prelim)%20OR%20(granuleid:USC-prelim-title38-section103)&amp;f=treesort&amp;edition=prelim&amp;num=0&amp;jumpTo=true" TargetMode="External"/><Relationship Id="rId20" Type="http://schemas.openxmlformats.org/officeDocument/2006/relationships/hyperlink" Target="http://uscode.house.gov/view.xhtml?req=(title:38%20section:5124%20edition:prelim)%20OR%20(granuleid:USC-prelim-title38-section5124)&amp;f=treesort&amp;edition=prelim&amp;num=0&amp;jumpTo=tr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GYLEGAL.VBAVACO@va.gov" TargetMode="External"/><Relationship Id="rId5" Type="http://schemas.openxmlformats.org/officeDocument/2006/relationships/customXml" Target="../customXml/item5.xml"/><Relationship Id="rId15" Type="http://schemas.openxmlformats.org/officeDocument/2006/relationships/hyperlink" Target="http://vbaw.vba.va.gov/bl/21/publicat/Regs/Part3/3_50.htm" TargetMode="External"/><Relationship Id="rId23" Type="http://schemas.openxmlformats.org/officeDocument/2006/relationships/hyperlink" Target="mailto:VAVBAWAS/CO/212A%20%3c212A.VBACO@va.gov%3e"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uscode.house.gov/view.xhtml?req=(title:38%20section:103%20edition:prelim)%20OR%20(granuleid:USC-prelim-title38-section103)&amp;f=treesort&amp;edition=prelim&amp;num=0&amp;jumpTo=tru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scode.house.gov/view.xhtml?req=(title:38%20section:103%20edition:prelim)%20OR%20(granuleid:USC-prelim-title38-section103)&amp;f=treesort&amp;edition=prelim&amp;num=0&amp;jumpTo=true" TargetMode="External"/><Relationship Id="rId22" Type="http://schemas.openxmlformats.org/officeDocument/2006/relationships/hyperlink" Target="http://vbaw.vba.va.gov/bl/21/publicat/Regs/Part3/3_204.ht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2" ma:contentTypeDescription="Create a new document." ma:contentTypeScope="" ma:versionID="05a557123befae45dc62a38cc05a5d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2893-1624-40A8-9A0B-17AAA929D05A}">
  <ds:schemaRefs>
    <ds:schemaRef ds:uri="http://schemas.microsoft.com/sharepoint/v3/contenttype/forms"/>
  </ds:schemaRefs>
</ds:datastoreItem>
</file>

<file path=customXml/itemProps2.xml><?xml version="1.0" encoding="utf-8"?>
<ds:datastoreItem xmlns:ds="http://schemas.openxmlformats.org/officeDocument/2006/customXml" ds:itemID="{56DAF1F8-51BB-4C96-8DE7-15F14B751E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F7FC3B-CC51-4923-89D9-8497A0D8C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BD51D4-14F5-4EF1-9625-7BE429232A04}">
  <ds:schemaRefs>
    <ds:schemaRef ds:uri="http://schemas.openxmlformats.org/officeDocument/2006/bibliography"/>
  </ds:schemaRefs>
</ds:datastoreItem>
</file>

<file path=customXml/itemProps5.xml><?xml version="1.0" encoding="utf-8"?>
<ds:datastoreItem xmlns:ds="http://schemas.openxmlformats.org/officeDocument/2006/customXml" ds:itemID="{23549144-E16A-401F-A185-0CFE5367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VBA Letter 20-15-16</vt:lpstr>
    </vt:vector>
  </TitlesOfParts>
  <Manager/>
  <Company/>
  <LinksUpToDate>false</LinksUpToDate>
  <CharactersWithSpaces>16679</CharactersWithSpaces>
  <SharedDoc>false</SharedDoc>
  <HLinks>
    <vt:vector size="6" baseType="variant">
      <vt:variant>
        <vt:i4>3342440</vt:i4>
      </vt:variant>
      <vt:variant>
        <vt:i4>0</vt:i4>
      </vt:variant>
      <vt:variant>
        <vt:i4>0</vt:i4>
      </vt:variant>
      <vt:variant>
        <vt:i4>5</vt:i4>
      </vt:variant>
      <vt:variant>
        <vt:lpwstr>http://vbaw.vba.va.gov/BL/21/M21/content/infomap.asp?address=M21-1MRIII.iii.5.A.1.h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VBA Letter 20-15-16</dc:title>
  <dc:subject>VSR</dc:subject>
  <dc:creator/>
  <cp:keywords>VBA, Letter, 20-15-16, continuous, cohabitation, decisions, evidence, process, assess, determinations</cp:keywords>
  <dc:description>As of the date of this notification, the Veterans Benefits Administration (VBA) is processing same-sex spousal benefit claims that were held or submitted following the June 26, 2015, Supreme Court decision in Obergefell v. Hodges.  This letter rescinds VBA Letter 20-14-08 and provides instructions and procedures for processing compensation, pension, dependency and indemnity compensation (DIC), and vocational rehabilitation and employment (VR&amp;E) claims involving same-sex marriage in light of the Obergefell decision.</dc:description>
  <cp:lastModifiedBy/>
  <cp:revision>1</cp:revision>
  <dcterms:created xsi:type="dcterms:W3CDTF">2015-11-09T13:56:00Z</dcterms:created>
  <dcterms:modified xsi:type="dcterms:W3CDTF">2017-11-20T18:32:00Z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Reference</vt:lpwstr>
  </property>
</Properties>
</file>