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9927" w14:textId="1CE7F01D" w:rsidR="007A5600" w:rsidRDefault="00FB1E4E">
      <w:pPr>
        <w:pStyle w:val="VBALessonPlanTitle"/>
        <w:rPr>
          <w:color w:val="auto"/>
        </w:rPr>
      </w:pPr>
      <w:r>
        <w:rPr>
          <w:color w:val="auto"/>
        </w:rPr>
        <w:t xml:space="preserve">Accuracy of </w:t>
      </w:r>
      <w:r w:rsidR="00BE54F6">
        <w:rPr>
          <w:color w:val="auto"/>
        </w:rPr>
        <w:t>D</w:t>
      </w:r>
      <w:r>
        <w:rPr>
          <w:color w:val="auto"/>
        </w:rPr>
        <w:t xml:space="preserve">isability </w:t>
      </w:r>
      <w:r w:rsidR="00BE54F6">
        <w:rPr>
          <w:color w:val="auto"/>
        </w:rPr>
        <w:t>B</w:t>
      </w:r>
      <w:r>
        <w:rPr>
          <w:color w:val="auto"/>
        </w:rPr>
        <w:t xml:space="preserve">enefit </w:t>
      </w:r>
      <w:r w:rsidR="00BE54F6">
        <w:rPr>
          <w:color w:val="auto"/>
        </w:rPr>
        <w:t>E</w:t>
      </w:r>
      <w:r>
        <w:rPr>
          <w:color w:val="auto"/>
        </w:rPr>
        <w:t xml:space="preserve">valuations for </w:t>
      </w:r>
      <w:r w:rsidR="00BE54F6">
        <w:rPr>
          <w:color w:val="auto"/>
        </w:rPr>
        <w:t>V</w:t>
      </w:r>
      <w:r>
        <w:rPr>
          <w:color w:val="auto"/>
        </w:rPr>
        <w:t xml:space="preserve">eterans’ </w:t>
      </w:r>
      <w:r w:rsidR="00BE54F6">
        <w:rPr>
          <w:color w:val="auto"/>
        </w:rPr>
        <w:t>S</w:t>
      </w:r>
      <w:r>
        <w:rPr>
          <w:color w:val="auto"/>
        </w:rPr>
        <w:t xml:space="preserve">ervice </w:t>
      </w:r>
      <w:r w:rsidR="00BE54F6">
        <w:rPr>
          <w:color w:val="auto"/>
        </w:rPr>
        <w:t>C</w:t>
      </w:r>
      <w:r>
        <w:rPr>
          <w:color w:val="auto"/>
        </w:rPr>
        <w:t xml:space="preserve">onnected </w:t>
      </w:r>
      <w:r w:rsidR="00BE54F6">
        <w:rPr>
          <w:color w:val="auto"/>
        </w:rPr>
        <w:t>H</w:t>
      </w:r>
      <w:r>
        <w:rPr>
          <w:color w:val="auto"/>
        </w:rPr>
        <w:t xml:space="preserve">eart </w:t>
      </w:r>
      <w:r w:rsidR="00BE54F6">
        <w:rPr>
          <w:color w:val="auto"/>
        </w:rPr>
        <w:t>D</w:t>
      </w:r>
      <w:r>
        <w:rPr>
          <w:color w:val="auto"/>
        </w:rPr>
        <w:t>iseases</w:t>
      </w:r>
    </w:p>
    <w:p w14:paraId="38C41454" w14:textId="4F9DD19D" w:rsidR="00FB1E4E" w:rsidRDefault="00BE54F6">
      <w:pPr>
        <w:pStyle w:val="VBALessonPlanTitle"/>
        <w:rPr>
          <w:color w:val="auto"/>
        </w:rPr>
      </w:pPr>
      <w:r>
        <w:rPr>
          <w:color w:val="auto"/>
        </w:rPr>
        <w:t>T</w:t>
      </w:r>
      <w:r w:rsidR="00FB1E4E">
        <w:rPr>
          <w:color w:val="auto"/>
        </w:rPr>
        <w:t xml:space="preserve">rainee </w:t>
      </w:r>
      <w:r>
        <w:rPr>
          <w:color w:val="auto"/>
        </w:rPr>
        <w:t>H</w:t>
      </w:r>
      <w:r w:rsidR="00FB1E4E">
        <w:rPr>
          <w:color w:val="auto"/>
        </w:rPr>
        <w:t>andout</w:t>
      </w:r>
    </w:p>
    <w:p w14:paraId="2C399928" w14:textId="77777777" w:rsidR="007A5600" w:rsidRDefault="007A5600">
      <w:pPr>
        <w:pStyle w:val="VBATopicHeading1"/>
      </w:pPr>
      <w:bookmarkStart w:id="0" w:name="_Toc276556864"/>
    </w:p>
    <w:p w14:paraId="2C399929"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0"/>
    </w:p>
    <w:p w14:paraId="2C39992A" w14:textId="77777777" w:rsidR="007A5600" w:rsidRDefault="007A5600"/>
    <w:p w14:paraId="681FCE3B" w14:textId="09809A18" w:rsidR="007E573C" w:rsidRDefault="007A5600" w:rsidP="002B43EA">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707011" w:history="1">
        <w:r w:rsidR="007E573C" w:rsidRPr="00CF2FCB">
          <w:rPr>
            <w:rStyle w:val="Hyperlink"/>
          </w:rPr>
          <w:t>Objectives</w:t>
        </w:r>
        <w:r w:rsidR="007E573C">
          <w:rPr>
            <w:webHidden/>
          </w:rPr>
          <w:tab/>
        </w:r>
        <w:r w:rsidR="007E573C">
          <w:rPr>
            <w:webHidden/>
          </w:rPr>
          <w:fldChar w:fldCharType="begin"/>
        </w:r>
        <w:r w:rsidR="007E573C">
          <w:rPr>
            <w:webHidden/>
          </w:rPr>
          <w:instrText xml:space="preserve"> PAGEREF _Toc45707011 \h </w:instrText>
        </w:r>
        <w:r w:rsidR="007E573C">
          <w:rPr>
            <w:webHidden/>
          </w:rPr>
        </w:r>
        <w:r w:rsidR="007E573C">
          <w:rPr>
            <w:webHidden/>
          </w:rPr>
          <w:fldChar w:fldCharType="separate"/>
        </w:r>
        <w:r w:rsidR="00227BBD">
          <w:rPr>
            <w:webHidden/>
          </w:rPr>
          <w:t>2</w:t>
        </w:r>
        <w:r w:rsidR="007E573C">
          <w:rPr>
            <w:webHidden/>
          </w:rPr>
          <w:fldChar w:fldCharType="end"/>
        </w:r>
      </w:hyperlink>
    </w:p>
    <w:p w14:paraId="27379510" w14:textId="2743A93D" w:rsidR="007E573C" w:rsidRDefault="00AA7CAC" w:rsidP="002B43EA">
      <w:pPr>
        <w:pStyle w:val="TOC1"/>
        <w:rPr>
          <w:rFonts w:asciiTheme="minorHAnsi" w:eastAsiaTheme="minorEastAsia" w:hAnsiTheme="minorHAnsi" w:cstheme="minorBidi"/>
          <w:sz w:val="22"/>
        </w:rPr>
      </w:pPr>
      <w:hyperlink w:anchor="_Toc45707012" w:history="1">
        <w:r w:rsidR="007E573C" w:rsidRPr="00CF2FCB">
          <w:rPr>
            <w:rStyle w:val="Hyperlink"/>
          </w:rPr>
          <w:t>References</w:t>
        </w:r>
        <w:r w:rsidR="007E573C">
          <w:rPr>
            <w:webHidden/>
          </w:rPr>
          <w:tab/>
        </w:r>
        <w:r w:rsidR="007E573C">
          <w:rPr>
            <w:webHidden/>
          </w:rPr>
          <w:fldChar w:fldCharType="begin"/>
        </w:r>
        <w:r w:rsidR="007E573C">
          <w:rPr>
            <w:webHidden/>
          </w:rPr>
          <w:instrText xml:space="preserve"> PAGEREF _Toc45707012 \h </w:instrText>
        </w:r>
        <w:r w:rsidR="007E573C">
          <w:rPr>
            <w:webHidden/>
          </w:rPr>
        </w:r>
        <w:r w:rsidR="007E573C">
          <w:rPr>
            <w:webHidden/>
          </w:rPr>
          <w:fldChar w:fldCharType="separate"/>
        </w:r>
        <w:r w:rsidR="00227BBD">
          <w:rPr>
            <w:webHidden/>
          </w:rPr>
          <w:t>3</w:t>
        </w:r>
        <w:r w:rsidR="007E573C">
          <w:rPr>
            <w:webHidden/>
          </w:rPr>
          <w:fldChar w:fldCharType="end"/>
        </w:r>
      </w:hyperlink>
    </w:p>
    <w:p w14:paraId="1A5E424F" w14:textId="0F78842A" w:rsidR="007E573C" w:rsidRDefault="00AA7CAC" w:rsidP="002B43EA">
      <w:pPr>
        <w:pStyle w:val="TOC1"/>
        <w:rPr>
          <w:rFonts w:asciiTheme="minorHAnsi" w:eastAsiaTheme="minorEastAsia" w:hAnsiTheme="minorHAnsi" w:cstheme="minorBidi"/>
          <w:sz w:val="22"/>
        </w:rPr>
      </w:pPr>
      <w:hyperlink w:anchor="_Toc45707013" w:history="1">
        <w:r w:rsidR="007E573C" w:rsidRPr="00CF2FCB">
          <w:rPr>
            <w:rStyle w:val="Hyperlink"/>
          </w:rPr>
          <w:t xml:space="preserve">Topic 1: </w:t>
        </w:r>
        <w:bookmarkStart w:id="1" w:name="_Hlk51927692"/>
        <w:r w:rsidR="004B585C">
          <w:rPr>
            <w:rStyle w:val="Hyperlink"/>
          </w:rPr>
          <w:t>Cardiovascular Disability Benefits Questionnaire</w:t>
        </w:r>
        <w:r w:rsidR="00215615">
          <w:rPr>
            <w:rStyle w:val="Hyperlink"/>
          </w:rPr>
          <w:t xml:space="preserve"> (DBQ)</w:t>
        </w:r>
        <w:r w:rsidR="004B585C">
          <w:rPr>
            <w:rStyle w:val="Hyperlink"/>
          </w:rPr>
          <w:t xml:space="preserve"> Sufficiency</w:t>
        </w:r>
        <w:bookmarkEnd w:id="1"/>
        <w:r w:rsidR="007E573C">
          <w:rPr>
            <w:webHidden/>
          </w:rPr>
          <w:tab/>
        </w:r>
        <w:r w:rsidR="007E573C">
          <w:rPr>
            <w:webHidden/>
          </w:rPr>
          <w:fldChar w:fldCharType="begin"/>
        </w:r>
        <w:r w:rsidR="007E573C">
          <w:rPr>
            <w:webHidden/>
          </w:rPr>
          <w:instrText xml:space="preserve"> PAGEREF _Toc45707013 \h </w:instrText>
        </w:r>
        <w:r w:rsidR="007E573C">
          <w:rPr>
            <w:webHidden/>
          </w:rPr>
        </w:r>
        <w:r w:rsidR="007E573C">
          <w:rPr>
            <w:webHidden/>
          </w:rPr>
          <w:fldChar w:fldCharType="separate"/>
        </w:r>
        <w:r w:rsidR="00227BBD">
          <w:rPr>
            <w:webHidden/>
          </w:rPr>
          <w:t>4</w:t>
        </w:r>
        <w:r w:rsidR="007E573C">
          <w:rPr>
            <w:webHidden/>
          </w:rPr>
          <w:fldChar w:fldCharType="end"/>
        </w:r>
      </w:hyperlink>
    </w:p>
    <w:p w14:paraId="2D228CB8" w14:textId="60270D53" w:rsidR="007E573C" w:rsidRDefault="00AA7CAC" w:rsidP="002B43EA">
      <w:pPr>
        <w:pStyle w:val="TOC1"/>
        <w:rPr>
          <w:rFonts w:asciiTheme="minorHAnsi" w:eastAsiaTheme="minorEastAsia" w:hAnsiTheme="minorHAnsi" w:cstheme="minorBidi"/>
          <w:sz w:val="22"/>
        </w:rPr>
      </w:pPr>
      <w:hyperlink w:anchor="_Toc45707014" w:history="1">
        <w:r w:rsidR="007E573C" w:rsidRPr="00CF2FCB">
          <w:rPr>
            <w:rStyle w:val="Hyperlink"/>
          </w:rPr>
          <w:t xml:space="preserve">Topic 2: </w:t>
        </w:r>
        <w:r w:rsidR="004B585C">
          <w:rPr>
            <w:rStyle w:val="Hyperlink"/>
          </w:rPr>
          <w:t>Cardiovascular Disability Evaluation</w:t>
        </w:r>
        <w:r w:rsidR="007E573C">
          <w:rPr>
            <w:webHidden/>
          </w:rPr>
          <w:tab/>
        </w:r>
        <w:r w:rsidR="007E573C">
          <w:rPr>
            <w:webHidden/>
          </w:rPr>
          <w:fldChar w:fldCharType="begin"/>
        </w:r>
        <w:r w:rsidR="007E573C">
          <w:rPr>
            <w:webHidden/>
          </w:rPr>
          <w:instrText xml:space="preserve"> PAGEREF _Toc45707014 \h </w:instrText>
        </w:r>
        <w:r w:rsidR="007E573C">
          <w:rPr>
            <w:webHidden/>
          </w:rPr>
        </w:r>
        <w:r w:rsidR="007E573C">
          <w:rPr>
            <w:webHidden/>
          </w:rPr>
          <w:fldChar w:fldCharType="separate"/>
        </w:r>
        <w:r w:rsidR="00227BBD">
          <w:rPr>
            <w:webHidden/>
          </w:rPr>
          <w:t>6</w:t>
        </w:r>
        <w:r w:rsidR="007E573C">
          <w:rPr>
            <w:webHidden/>
          </w:rPr>
          <w:fldChar w:fldCharType="end"/>
        </w:r>
      </w:hyperlink>
    </w:p>
    <w:p w14:paraId="5B71B4BD" w14:textId="762FA249" w:rsidR="007E573C" w:rsidRDefault="00AA7CAC" w:rsidP="002B43EA">
      <w:pPr>
        <w:pStyle w:val="TOC1"/>
        <w:rPr>
          <w:rFonts w:asciiTheme="minorHAnsi" w:eastAsiaTheme="minorEastAsia" w:hAnsiTheme="minorHAnsi" w:cstheme="minorBidi"/>
          <w:sz w:val="22"/>
        </w:rPr>
      </w:pPr>
      <w:hyperlink w:anchor="_Toc45707016" w:history="1">
        <w:r w:rsidR="00B4201D">
          <w:rPr>
            <w:rStyle w:val="Hyperlink"/>
          </w:rPr>
          <w:t>Practical Exercise 1</w:t>
        </w:r>
        <w:r w:rsidR="007E573C">
          <w:rPr>
            <w:webHidden/>
          </w:rPr>
          <w:tab/>
        </w:r>
        <w:r w:rsidR="00BA1346">
          <w:rPr>
            <w:webHidden/>
          </w:rPr>
          <w:t>8</w:t>
        </w:r>
      </w:hyperlink>
    </w:p>
    <w:p w14:paraId="064567F8" w14:textId="4ABA1B76" w:rsidR="004B585C" w:rsidRPr="004B585C" w:rsidRDefault="004B585C" w:rsidP="004B585C">
      <w:pPr>
        <w:pStyle w:val="TOC1"/>
      </w:pPr>
    </w:p>
    <w:p w14:paraId="026155DA" w14:textId="1B08B64F" w:rsidR="004B585C" w:rsidRPr="004B585C" w:rsidRDefault="004B585C" w:rsidP="004B585C">
      <w:pPr>
        <w:rPr>
          <w:noProof/>
        </w:rPr>
      </w:pPr>
    </w:p>
    <w:p w14:paraId="2C399932" w14:textId="1B99D05A" w:rsidR="007A5600" w:rsidRDefault="007A5600" w:rsidP="004B585C">
      <w:pPr>
        <w:pStyle w:val="TOC1"/>
      </w:pPr>
      <w:r>
        <w:rPr>
          <w:rStyle w:val="Hyperlink"/>
          <w:bCs/>
          <w:szCs w:val="24"/>
        </w:rPr>
        <w:fldChar w:fldCharType="end"/>
      </w:r>
    </w:p>
    <w:p w14:paraId="2C399933" w14:textId="77777777" w:rsidR="007A5600" w:rsidRDefault="007A5600"/>
    <w:p w14:paraId="2C399934" w14:textId="77777777" w:rsidR="007A5600" w:rsidRDefault="007A5600"/>
    <w:p w14:paraId="2C399935" w14:textId="77777777" w:rsidR="007A5600" w:rsidRDefault="007A5600"/>
    <w:p w14:paraId="2C399936" w14:textId="77777777" w:rsidR="007A5600" w:rsidRDefault="007A5600"/>
    <w:p w14:paraId="2C399937" w14:textId="77777777" w:rsidR="007A5600" w:rsidRDefault="007A5600"/>
    <w:p w14:paraId="2C399938" w14:textId="77777777" w:rsidR="007A5600" w:rsidRDefault="007A5600"/>
    <w:p w14:paraId="2C399939" w14:textId="77777777" w:rsidR="007A5600" w:rsidRDefault="007A5600"/>
    <w:p w14:paraId="2C39993A" w14:textId="77777777" w:rsidR="007A5600" w:rsidRDefault="007A5600"/>
    <w:p w14:paraId="2C39993B" w14:textId="77777777" w:rsidR="007A5600" w:rsidRDefault="007A5600">
      <w:pPr>
        <w:overflowPunct/>
        <w:autoSpaceDE/>
        <w:autoSpaceDN/>
        <w:adjustRightInd/>
        <w:spacing w:before="0"/>
      </w:pPr>
      <w:r>
        <w:br w:type="page"/>
      </w:r>
    </w:p>
    <w:p w14:paraId="2C39993C" w14:textId="77777777" w:rsidR="007A5600" w:rsidRDefault="007A5600">
      <w:pPr>
        <w:pStyle w:val="VBATopicHeading1"/>
      </w:pPr>
      <w:bookmarkStart w:id="2" w:name="_Toc45707011"/>
      <w:bookmarkStart w:id="3" w:name="_Toc269888405"/>
      <w:bookmarkStart w:id="4" w:name="_Toc269888748"/>
      <w:bookmarkStart w:id="5" w:name="_Toc278291133"/>
      <w:r>
        <w:lastRenderedPageBreak/>
        <w:t>Objectives</w:t>
      </w:r>
      <w:bookmarkEnd w:id="2"/>
    </w:p>
    <w:p w14:paraId="2C39993D" w14:textId="77777777" w:rsidR="000E3279" w:rsidRDefault="000E3279" w:rsidP="000E3279">
      <w:pPr>
        <w:pStyle w:val="VBATopicHeading1"/>
        <w:jc w:val="left"/>
        <w:rPr>
          <w:rFonts w:ascii="Times New Roman" w:hAnsi="Times New Roman"/>
          <w:b w:val="0"/>
          <w:smallCaps w:val="0"/>
          <w:sz w:val="24"/>
          <w:szCs w:val="20"/>
        </w:rPr>
      </w:pPr>
    </w:p>
    <w:p w14:paraId="2C39993E" w14:textId="736CAB42" w:rsidR="00363FF7" w:rsidRPr="00676ED5" w:rsidRDefault="00363FF7" w:rsidP="00363FF7">
      <w:pPr>
        <w:pStyle w:val="VBABodyText0"/>
      </w:pPr>
      <w:r>
        <w:t xml:space="preserve">Given all available resources to include the live manual, </w:t>
      </w:r>
      <w:r w:rsidR="007409DE">
        <w:t>rating</w:t>
      </w:r>
      <w:r w:rsidR="00D72655">
        <w:t xml:space="preserve"> activity personnel </w:t>
      </w:r>
      <w:r w:rsidRPr="00676ED5">
        <w:t>will be required to accomplish the following lesson objectives.</w:t>
      </w:r>
    </w:p>
    <w:p w14:paraId="2C39993F" w14:textId="77777777" w:rsidR="00363FF7" w:rsidRDefault="00363FF7" w:rsidP="00363FF7">
      <w:pPr>
        <w:pStyle w:val="VBABodyText0"/>
        <w:spacing w:before="0"/>
      </w:pPr>
    </w:p>
    <w:p w14:paraId="70BC4FB1" w14:textId="7F2BE57A" w:rsidR="00AD0205" w:rsidRPr="00765490" w:rsidRDefault="00D733CA" w:rsidP="00EF7A20">
      <w:pPr>
        <w:pStyle w:val="VBAFirstLevelBullet"/>
        <w:numPr>
          <w:ilvl w:val="0"/>
          <w:numId w:val="2"/>
        </w:numPr>
        <w:spacing w:before="120"/>
      </w:pPr>
      <w:bookmarkStart w:id="6" w:name="_Hlk525049327"/>
      <w:r>
        <w:t>D</w:t>
      </w:r>
      <w:r w:rsidR="00AD0205" w:rsidRPr="00765490">
        <w:t>e</w:t>
      </w:r>
      <w:r w:rsidR="00AD0205">
        <w:t>termine</w:t>
      </w:r>
      <w:r w:rsidR="00AD0205" w:rsidRPr="00765490">
        <w:t xml:space="preserve"> </w:t>
      </w:r>
      <w:r w:rsidR="007409DE">
        <w:rPr>
          <w:bCs/>
        </w:rPr>
        <w:t>the sufficiency of the disability benefits questionnaires</w:t>
      </w:r>
      <w:r w:rsidR="00215615">
        <w:rPr>
          <w:bCs/>
        </w:rPr>
        <w:t xml:space="preserve"> (DBQ)</w:t>
      </w:r>
      <w:r w:rsidR="007409DE">
        <w:rPr>
          <w:bCs/>
        </w:rPr>
        <w:t xml:space="preserve"> when evaluating claims for heart disease</w:t>
      </w:r>
      <w:r>
        <w:t>.</w:t>
      </w:r>
    </w:p>
    <w:p w14:paraId="034A1D56" w14:textId="01D7577A" w:rsidR="00AD0205" w:rsidRPr="00765490" w:rsidRDefault="007409DE" w:rsidP="00EF7A20">
      <w:pPr>
        <w:pStyle w:val="VBAFirstLevelBullet"/>
        <w:numPr>
          <w:ilvl w:val="0"/>
          <w:numId w:val="2"/>
        </w:numPr>
        <w:spacing w:before="120"/>
      </w:pPr>
      <w:r>
        <w:t>Determine the appropriate disability evaluation when deciding claims for heart disease</w:t>
      </w:r>
      <w:r w:rsidR="00D733CA">
        <w:t>.</w:t>
      </w:r>
    </w:p>
    <w:bookmarkEnd w:id="6"/>
    <w:p w14:paraId="2C399943" w14:textId="77777777" w:rsidR="00363FF7" w:rsidRDefault="00363FF7" w:rsidP="00363FF7">
      <w:pPr>
        <w:pStyle w:val="VBAFirstLevelBullet"/>
        <w:numPr>
          <w:ilvl w:val="0"/>
          <w:numId w:val="0"/>
        </w:numPr>
      </w:pPr>
    </w:p>
    <w:p w14:paraId="2C399944" w14:textId="60B63ED3" w:rsidR="00363FF7" w:rsidRDefault="007A5600" w:rsidP="00363FF7">
      <w:pPr>
        <w:pStyle w:val="VBATopicHeading1"/>
        <w:jc w:val="left"/>
      </w:pPr>
      <w:r>
        <w:br w:type="page"/>
      </w:r>
    </w:p>
    <w:p w14:paraId="2C399945" w14:textId="77777777" w:rsidR="007A5600" w:rsidRDefault="007A5600" w:rsidP="00363FF7">
      <w:pPr>
        <w:pStyle w:val="VBATopicHeading1"/>
        <w:ind w:left="2880" w:firstLine="720"/>
        <w:jc w:val="left"/>
      </w:pPr>
      <w:bookmarkStart w:id="7" w:name="_Toc45707012"/>
      <w:r>
        <w:lastRenderedPageBreak/>
        <w:t>References</w:t>
      </w:r>
      <w:bookmarkEnd w:id="7"/>
    </w:p>
    <w:p w14:paraId="2C399946" w14:textId="77777777" w:rsidR="00F86C93" w:rsidRDefault="00F86C93" w:rsidP="00F86C93">
      <w:pPr>
        <w:pStyle w:val="VBATopicHeading1"/>
        <w:ind w:left="720"/>
      </w:pPr>
    </w:p>
    <w:p w14:paraId="2C399947" w14:textId="77777777" w:rsidR="00363FF7" w:rsidRDefault="00363FF7" w:rsidP="00363FF7">
      <w:pPr>
        <w:pStyle w:val="VBABodyText0"/>
        <w:spacing w:before="0"/>
        <w:rPr>
          <w:noProof/>
        </w:rPr>
      </w:pPr>
      <w:r w:rsidRPr="00676ED5">
        <w:rPr>
          <w:noProof/>
        </w:rPr>
        <w:t xml:space="preserve">All M21-1 references are found in the </w:t>
      </w:r>
      <w:r>
        <w:rPr>
          <w:noProof/>
        </w:rPr>
        <w:t xml:space="preserve"> </w:t>
      </w:r>
      <w:hyperlink r:id="rId12" w:history="1">
        <w:r w:rsidRPr="00EC4B58">
          <w:rPr>
            <w:rStyle w:val="Hyperlink"/>
            <w:noProof/>
          </w:rPr>
          <w:t>Live Manual Website</w:t>
        </w:r>
      </w:hyperlink>
      <w:r w:rsidRPr="00676ED5">
        <w:rPr>
          <w:noProof/>
        </w:rPr>
        <w:t>.</w:t>
      </w:r>
    </w:p>
    <w:p w14:paraId="2C399948" w14:textId="77777777" w:rsidR="00363FF7" w:rsidRPr="00676ED5" w:rsidRDefault="00363FF7" w:rsidP="00363FF7">
      <w:pPr>
        <w:pStyle w:val="VBABodyText0"/>
        <w:spacing w:before="0"/>
        <w:rPr>
          <w:b/>
          <w:noProof/>
        </w:rPr>
      </w:pPr>
    </w:p>
    <w:p w14:paraId="3556FD36" w14:textId="470C39D9" w:rsidR="007409DE" w:rsidRDefault="007409DE" w:rsidP="007C5239">
      <w:pPr>
        <w:pStyle w:val="VBAFirstLevelBullet"/>
        <w:rPr>
          <w:bCs/>
          <w:color w:val="0000FF"/>
          <w:u w:val="single"/>
        </w:rPr>
      </w:pPr>
      <w:r>
        <w:rPr>
          <w:bCs/>
          <w:color w:val="0000FF"/>
          <w:u w:val="single"/>
        </w:rPr>
        <w:t xml:space="preserve">38 CFR 3.102, Reasonable </w:t>
      </w:r>
      <w:r w:rsidR="00FB1E4E">
        <w:rPr>
          <w:bCs/>
          <w:color w:val="0000FF"/>
          <w:u w:val="single"/>
        </w:rPr>
        <w:t>d</w:t>
      </w:r>
      <w:r>
        <w:rPr>
          <w:bCs/>
          <w:color w:val="0000FF"/>
          <w:u w:val="single"/>
        </w:rPr>
        <w:t xml:space="preserve">oubt </w:t>
      </w:r>
    </w:p>
    <w:p w14:paraId="72E9FCA6" w14:textId="41157CF5" w:rsidR="007409DE" w:rsidRDefault="007409DE" w:rsidP="007C5239">
      <w:pPr>
        <w:pStyle w:val="VBAFirstLevelBullet"/>
        <w:rPr>
          <w:bCs/>
          <w:color w:val="0000FF"/>
          <w:u w:val="single"/>
        </w:rPr>
      </w:pPr>
      <w:r>
        <w:rPr>
          <w:bCs/>
          <w:color w:val="0000FF"/>
          <w:u w:val="single"/>
        </w:rPr>
        <w:t xml:space="preserve">38 CFR 4.7, Choosing </w:t>
      </w:r>
      <w:r w:rsidR="00FB1E4E">
        <w:rPr>
          <w:bCs/>
          <w:color w:val="0000FF"/>
          <w:u w:val="single"/>
        </w:rPr>
        <w:t>b</w:t>
      </w:r>
      <w:r>
        <w:rPr>
          <w:bCs/>
          <w:color w:val="0000FF"/>
          <w:u w:val="single"/>
        </w:rPr>
        <w:t xml:space="preserve">etween </w:t>
      </w:r>
      <w:r w:rsidR="00FB1E4E">
        <w:rPr>
          <w:bCs/>
          <w:color w:val="0000FF"/>
          <w:u w:val="single"/>
        </w:rPr>
        <w:t>t</w:t>
      </w:r>
      <w:r>
        <w:rPr>
          <w:bCs/>
          <w:color w:val="0000FF"/>
          <w:u w:val="single"/>
        </w:rPr>
        <w:t xml:space="preserve">wo </w:t>
      </w:r>
      <w:r w:rsidR="00FB1E4E">
        <w:rPr>
          <w:bCs/>
          <w:color w:val="0000FF"/>
          <w:u w:val="single"/>
        </w:rPr>
        <w:t>l</w:t>
      </w:r>
      <w:r>
        <w:rPr>
          <w:bCs/>
          <w:color w:val="0000FF"/>
          <w:u w:val="single"/>
        </w:rPr>
        <w:t xml:space="preserve">evels of </w:t>
      </w:r>
      <w:r w:rsidR="00FB1E4E">
        <w:rPr>
          <w:bCs/>
          <w:color w:val="0000FF"/>
          <w:u w:val="single"/>
        </w:rPr>
        <w:t>e</w:t>
      </w:r>
      <w:r>
        <w:rPr>
          <w:bCs/>
          <w:color w:val="0000FF"/>
          <w:u w:val="single"/>
        </w:rPr>
        <w:t>valuation</w:t>
      </w:r>
    </w:p>
    <w:p w14:paraId="0883A854" w14:textId="51450ECD" w:rsidR="007409DE" w:rsidRDefault="007409DE" w:rsidP="007C5239">
      <w:pPr>
        <w:pStyle w:val="VBAFirstLevelBullet"/>
        <w:rPr>
          <w:bCs/>
          <w:color w:val="0000FF"/>
          <w:u w:val="single"/>
        </w:rPr>
      </w:pPr>
      <w:r>
        <w:rPr>
          <w:bCs/>
          <w:color w:val="0000FF"/>
          <w:u w:val="single"/>
        </w:rPr>
        <w:t xml:space="preserve">38 CFR 4.104, </w:t>
      </w:r>
      <w:r w:rsidR="00AB4115">
        <w:rPr>
          <w:bCs/>
          <w:color w:val="0000FF"/>
          <w:u w:val="single"/>
        </w:rPr>
        <w:t>Schedule of ratings-cardiovascular system</w:t>
      </w:r>
    </w:p>
    <w:p w14:paraId="3D8A3A5E" w14:textId="573B1DDA" w:rsidR="007409DE" w:rsidRDefault="007409DE" w:rsidP="007C5239">
      <w:pPr>
        <w:pStyle w:val="VBAFirstLevelBullet"/>
        <w:rPr>
          <w:bCs/>
          <w:color w:val="0000FF"/>
          <w:u w:val="single"/>
        </w:rPr>
      </w:pPr>
      <w:r>
        <w:rPr>
          <w:bCs/>
          <w:color w:val="0000FF"/>
          <w:u w:val="single"/>
        </w:rPr>
        <w:t>38 CFR 3.309(e)</w:t>
      </w:r>
      <w:r w:rsidR="00AB4115">
        <w:rPr>
          <w:bCs/>
          <w:color w:val="0000FF"/>
          <w:u w:val="single"/>
        </w:rPr>
        <w:t>, Disease associated with exposure to certain herbicide agents</w:t>
      </w:r>
    </w:p>
    <w:p w14:paraId="6A69748E" w14:textId="52D9120D" w:rsidR="007409DE" w:rsidRPr="007409DE" w:rsidRDefault="007409DE" w:rsidP="00FB1E4E">
      <w:pPr>
        <w:pStyle w:val="VBAFirstLevelBullet"/>
        <w:rPr>
          <w:bCs/>
          <w:color w:val="0000FF"/>
          <w:u w:val="single"/>
        </w:rPr>
      </w:pPr>
      <w:r>
        <w:rPr>
          <w:bCs/>
          <w:color w:val="0000FF"/>
          <w:u w:val="single"/>
        </w:rPr>
        <w:t xml:space="preserve">M21-1 Part IV, Subpart ii.2.C, </w:t>
      </w:r>
      <w:r w:rsidR="00FB1E4E">
        <w:rPr>
          <w:bCs/>
          <w:color w:val="0000FF"/>
          <w:u w:val="single"/>
        </w:rPr>
        <w:t>Service Connection (SC) for disabilities resulting from exposure to environmental hazards or service in the Republic of Vietnam (RVN)</w:t>
      </w:r>
    </w:p>
    <w:p w14:paraId="46C50A53" w14:textId="048F7D19" w:rsidR="00E67F97" w:rsidRPr="003E7942" w:rsidRDefault="00AA7CAC" w:rsidP="00363FF7">
      <w:pPr>
        <w:pStyle w:val="VBAFirstLevelBullet"/>
        <w:rPr>
          <w:rStyle w:val="Hyperlink"/>
          <w:color w:val="auto"/>
          <w:u w:val="none"/>
        </w:rPr>
      </w:pPr>
      <w:hyperlink r:id="rId13" w:history="1">
        <w:r w:rsidR="00E67F97" w:rsidRPr="00F71299">
          <w:rPr>
            <w:color w:val="0000FF"/>
            <w:u w:val="single"/>
          </w:rPr>
          <w:t>Compensation Service Novel Coronavirus (COVID-19) Operational Information Page</w:t>
        </w:r>
      </w:hyperlink>
    </w:p>
    <w:p w14:paraId="296F45ED" w14:textId="784810A9" w:rsidR="003E7942" w:rsidRDefault="003E7942" w:rsidP="003E7942">
      <w:pPr>
        <w:pStyle w:val="VBAFirstLevelBullet"/>
        <w:numPr>
          <w:ilvl w:val="0"/>
          <w:numId w:val="0"/>
        </w:numPr>
        <w:ind w:left="720" w:hanging="360"/>
      </w:pPr>
    </w:p>
    <w:p w14:paraId="6DD3FAC4" w14:textId="77777777" w:rsidR="003E7942" w:rsidRDefault="003E7942" w:rsidP="003E7942">
      <w:pPr>
        <w:pStyle w:val="VBAFirstLevelBullet"/>
        <w:numPr>
          <w:ilvl w:val="0"/>
          <w:numId w:val="0"/>
        </w:numPr>
        <w:ind w:left="720" w:hanging="360"/>
      </w:pPr>
    </w:p>
    <w:p w14:paraId="1E5A054B" w14:textId="77777777" w:rsidR="003E7942" w:rsidRDefault="003E7942" w:rsidP="003E7942">
      <w:pPr>
        <w:pStyle w:val="VBAFirstLevelBullet"/>
        <w:numPr>
          <w:ilvl w:val="0"/>
          <w:numId w:val="0"/>
        </w:numPr>
        <w:ind w:left="720" w:hanging="360"/>
      </w:pPr>
    </w:p>
    <w:p w14:paraId="2C39995C"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2C39995D" w14:textId="77777777" w:rsidR="007A5600" w:rsidRDefault="007A5600"/>
    <w:p w14:paraId="2C39995E" w14:textId="5E395D31" w:rsidR="007A5600" w:rsidRDefault="007A5600"/>
    <w:p w14:paraId="59B8F89E" w14:textId="28269ABE" w:rsidR="00B11A87" w:rsidRDefault="00B11A87"/>
    <w:p w14:paraId="6C0B4097" w14:textId="06B9CB55" w:rsidR="00B11A87" w:rsidRDefault="00B11A87"/>
    <w:p w14:paraId="20BA33B4" w14:textId="225E403B" w:rsidR="00B11A87" w:rsidRDefault="00B11A87"/>
    <w:p w14:paraId="14D2E7FC" w14:textId="77777777" w:rsidR="00B11A87" w:rsidRDefault="00B11A87"/>
    <w:p w14:paraId="2C39995F" w14:textId="77777777" w:rsidR="007A5600" w:rsidRDefault="007A5600"/>
    <w:p w14:paraId="2C399960" w14:textId="77777777" w:rsidR="007A5600" w:rsidRDefault="007A5600"/>
    <w:p w14:paraId="2C399961" w14:textId="77777777" w:rsidR="007A5600" w:rsidRDefault="007A5600"/>
    <w:p w14:paraId="2C399962" w14:textId="77777777" w:rsidR="007A5600" w:rsidRDefault="007A5600"/>
    <w:p w14:paraId="2C399963" w14:textId="77777777" w:rsidR="007A5600" w:rsidRDefault="007A5600"/>
    <w:p w14:paraId="2C399964" w14:textId="77777777" w:rsidR="007A5600" w:rsidRDefault="007A5600"/>
    <w:p w14:paraId="2C399965" w14:textId="77777777" w:rsidR="007A5600" w:rsidRDefault="007A5600"/>
    <w:p w14:paraId="2C399966" w14:textId="77777777" w:rsidR="007A5600" w:rsidRDefault="007A5600"/>
    <w:p w14:paraId="2C399967" w14:textId="77777777" w:rsidR="007A5600" w:rsidRDefault="007A5600"/>
    <w:p w14:paraId="2C39996A" w14:textId="7A1A6C22" w:rsidR="007A5600" w:rsidRDefault="007A5600"/>
    <w:p w14:paraId="62B36064" w14:textId="1685C8E7" w:rsidR="00B11A87" w:rsidRDefault="00B11A87"/>
    <w:p w14:paraId="257900F7" w14:textId="2BBBA70E" w:rsidR="00B11A87" w:rsidRDefault="00B11A87"/>
    <w:p w14:paraId="5904856C" w14:textId="77777777" w:rsidR="00B11A87" w:rsidRDefault="00B11A87"/>
    <w:p w14:paraId="2C39996D" w14:textId="08650DF6" w:rsidR="00975461" w:rsidRPr="00E02637" w:rsidRDefault="00964AF2" w:rsidP="00D72655">
      <w:pPr>
        <w:pStyle w:val="VBATopicHeading1"/>
      </w:pPr>
      <w:bookmarkStart w:id="8" w:name="_Toc269888406"/>
      <w:bookmarkStart w:id="9" w:name="_Toc269888749"/>
      <w:bookmarkStart w:id="10" w:name="_Toc269888789"/>
      <w:bookmarkStart w:id="11" w:name="_Toc426701995"/>
      <w:bookmarkStart w:id="12" w:name="_Toc45707013"/>
      <w:r>
        <w:lastRenderedPageBreak/>
        <w:t>T</w:t>
      </w:r>
      <w:r w:rsidR="00B15651">
        <w:t>o</w:t>
      </w:r>
      <w:r w:rsidR="00E02637" w:rsidRPr="00676ED5">
        <w:t xml:space="preserve">pic 1: </w:t>
      </w:r>
      <w:bookmarkEnd w:id="8"/>
      <w:bookmarkEnd w:id="9"/>
      <w:bookmarkEnd w:id="10"/>
      <w:bookmarkEnd w:id="11"/>
      <w:bookmarkEnd w:id="12"/>
      <w:r w:rsidR="00215615">
        <w:t xml:space="preserve">Cardiovascular </w:t>
      </w:r>
      <w:r w:rsidR="00BE54F6">
        <w:t>D</w:t>
      </w:r>
      <w:r w:rsidR="00215615">
        <w:t xml:space="preserve">isability </w:t>
      </w:r>
      <w:r w:rsidR="00BE54F6">
        <w:t>B</w:t>
      </w:r>
      <w:r w:rsidR="00215615">
        <w:t xml:space="preserve">enefits </w:t>
      </w:r>
      <w:r w:rsidR="00BE54F6">
        <w:t>Q</w:t>
      </w:r>
      <w:r w:rsidR="00215615">
        <w:t>uestionnaire (</w:t>
      </w:r>
      <w:r w:rsidR="00BE54F6">
        <w:t>DBQ</w:t>
      </w:r>
      <w:r w:rsidR="00215615">
        <w:t xml:space="preserve">) </w:t>
      </w:r>
      <w:r w:rsidR="00BE54F6">
        <w:t>S</w:t>
      </w:r>
      <w:r w:rsidR="00215615">
        <w:t>ufficiency</w:t>
      </w:r>
    </w:p>
    <w:p w14:paraId="2E3F6F9A" w14:textId="3F6B630B" w:rsidR="006B6E45" w:rsidRDefault="006B6E45" w:rsidP="00227BBD">
      <w:pPr>
        <w:pStyle w:val="Heading4"/>
        <w:keepLines w:val="0"/>
        <w:spacing w:before="120"/>
        <w:ind w:left="1440"/>
        <w:textAlignment w:val="baseline"/>
        <w:rPr>
          <w:rFonts w:ascii="Times New Roman" w:hAnsi="Times New Roman" w:cs="Times New Roman"/>
          <w:b w:val="0"/>
          <w:i w:val="0"/>
          <w:color w:val="auto"/>
        </w:rPr>
      </w:pPr>
    </w:p>
    <w:p w14:paraId="15C36C33" w14:textId="199E00C5" w:rsidR="00227BBD" w:rsidRDefault="00227BBD" w:rsidP="00227BBD">
      <w:pPr>
        <w:rPr>
          <w:b/>
          <w:bCs/>
        </w:rPr>
      </w:pPr>
      <w:r w:rsidRPr="00227BBD">
        <w:rPr>
          <w:b/>
          <w:bCs/>
        </w:rPr>
        <w:t>Determining Sufficiency of Cardio DBQ</w:t>
      </w:r>
    </w:p>
    <w:p w14:paraId="23C63B28" w14:textId="77777777" w:rsidR="00227BBD" w:rsidRDefault="00227BBD" w:rsidP="00EF7A20">
      <w:pPr>
        <w:pStyle w:val="ListParagraph"/>
        <w:numPr>
          <w:ilvl w:val="0"/>
          <w:numId w:val="3"/>
        </w:numPr>
        <w:spacing w:line="270" w:lineRule="atLeast"/>
        <w:rPr>
          <w:rFonts w:cs="Calibri"/>
          <w:szCs w:val="24"/>
        </w:rPr>
      </w:pPr>
      <w:r w:rsidRPr="00227BBD">
        <w:rPr>
          <w:rFonts w:cs="Calibri"/>
          <w:szCs w:val="24"/>
        </w:rPr>
        <w:t>A disability benefits questionnaire is determined to be insufficient if it does not contain enough findings to render a decision on the claim. This could include missed fields on the disability benefits questionnaire or conflicting or unclear statements by the medical provider.</w:t>
      </w:r>
      <w:r w:rsidRPr="00227BBD">
        <w:rPr>
          <w:rFonts w:cs="Calibri"/>
          <w:szCs w:val="24"/>
        </w:rPr>
        <w:br/>
      </w:r>
    </w:p>
    <w:p w14:paraId="5D904C86" w14:textId="745AC002" w:rsidR="00227BBD" w:rsidRPr="00F32506" w:rsidRDefault="00227BBD" w:rsidP="00EF7A20">
      <w:pPr>
        <w:pStyle w:val="ListParagraph"/>
        <w:numPr>
          <w:ilvl w:val="0"/>
          <w:numId w:val="3"/>
        </w:numPr>
        <w:spacing w:line="270" w:lineRule="atLeast"/>
        <w:rPr>
          <w:rFonts w:cs="Calibri"/>
          <w:szCs w:val="24"/>
        </w:rPr>
      </w:pPr>
      <w:r w:rsidRPr="00227BBD">
        <w:rPr>
          <w:rFonts w:cs="Calibri"/>
          <w:szCs w:val="24"/>
        </w:rPr>
        <w:t>The RVSR must request clarification when necessary when making disability evaluations. If a medical provider indicates one measurement was used to evaluate the heart disease but then provided an additional statement that another measurement was better. The RVSR should request clarification from the medical provider if the disability benefits questionnaire is insufficient.</w:t>
      </w:r>
      <w:r w:rsidRPr="00227BBD">
        <w:rPr>
          <w:rFonts w:cs="Calibri"/>
          <w:szCs w:val="24"/>
          <w:u w:val="single"/>
        </w:rPr>
        <w:t xml:space="preserve"> </w:t>
      </w:r>
    </w:p>
    <w:p w14:paraId="5884F34D" w14:textId="77777777" w:rsidR="00F32506" w:rsidRPr="00F32506" w:rsidRDefault="00F32506" w:rsidP="00F32506">
      <w:pPr>
        <w:pStyle w:val="ListParagraph"/>
        <w:spacing w:line="270" w:lineRule="atLeast"/>
        <w:rPr>
          <w:rFonts w:cs="Calibri"/>
          <w:szCs w:val="24"/>
        </w:rPr>
      </w:pPr>
    </w:p>
    <w:p w14:paraId="2EBEA126" w14:textId="420E71D7" w:rsidR="00227BBD" w:rsidRDefault="00227BBD" w:rsidP="00227BBD">
      <w:pPr>
        <w:rPr>
          <w:b/>
          <w:bCs/>
        </w:rPr>
      </w:pPr>
      <w:r w:rsidRPr="00227BBD">
        <w:rPr>
          <w:b/>
          <w:bCs/>
        </w:rPr>
        <w:t>Reasonable Doubt</w:t>
      </w:r>
    </w:p>
    <w:tbl>
      <w:tblPr>
        <w:tblStyle w:val="TableGrid"/>
        <w:tblW w:w="0" w:type="auto"/>
        <w:tblLook w:val="04A0" w:firstRow="1" w:lastRow="0" w:firstColumn="1" w:lastColumn="0" w:noHBand="0" w:noVBand="1"/>
      </w:tblPr>
      <w:tblGrid>
        <w:gridCol w:w="4675"/>
        <w:gridCol w:w="4675"/>
      </w:tblGrid>
      <w:tr w:rsidR="00227BBD" w14:paraId="35D2A05A" w14:textId="77777777" w:rsidTr="00227BBD">
        <w:tc>
          <w:tcPr>
            <w:tcW w:w="4675" w:type="dxa"/>
          </w:tcPr>
          <w:p w14:paraId="6E75CAAC" w14:textId="77777777" w:rsidR="00227BBD" w:rsidRDefault="00227BBD" w:rsidP="00227BBD">
            <w:pPr>
              <w:spacing w:line="270" w:lineRule="atLeast"/>
              <w:rPr>
                <w:szCs w:val="24"/>
              </w:rPr>
            </w:pPr>
            <w:r w:rsidRPr="00227BBD">
              <w:rPr>
                <w:szCs w:val="24"/>
              </w:rPr>
              <w:t>Reasonable doubt</w:t>
            </w:r>
            <w:r w:rsidRPr="00227BBD">
              <w:rPr>
                <w:b/>
                <w:bCs/>
                <w:szCs w:val="24"/>
              </w:rPr>
              <w:t xml:space="preserve"> </w:t>
            </w:r>
            <w:r w:rsidRPr="00227BBD">
              <w:rPr>
                <w:szCs w:val="24"/>
              </w:rPr>
              <w:t xml:space="preserve">allows claims processors to resolve conflicting evidence in favor of the Veteran if evidence is equal and not due to insuffiency or lack of clarity. </w:t>
            </w:r>
          </w:p>
          <w:p w14:paraId="20E2923D" w14:textId="77777777" w:rsidR="00227BBD" w:rsidRDefault="00227BBD" w:rsidP="00227BBD">
            <w:pPr>
              <w:spacing w:line="270" w:lineRule="atLeast"/>
              <w:rPr>
                <w:szCs w:val="24"/>
              </w:rPr>
            </w:pPr>
            <w:r w:rsidRPr="00227BBD">
              <w:rPr>
                <w:szCs w:val="24"/>
              </w:rPr>
              <w:t>Reasonable doubt does not apply if the evidence is unclear or incomplete, such as in the case of insufficient, missing, or conflicting information on a disability benefits questionnaire.</w:t>
            </w:r>
          </w:p>
          <w:p w14:paraId="0E08AACE" w14:textId="2F1102D5" w:rsidR="00227BBD" w:rsidRPr="00227BBD" w:rsidRDefault="00227BBD" w:rsidP="00227BBD">
            <w:pPr>
              <w:spacing w:line="270" w:lineRule="atLeast"/>
              <w:rPr>
                <w:b/>
                <w:bCs/>
                <w:szCs w:val="24"/>
                <w:u w:val="single"/>
              </w:rPr>
            </w:pPr>
            <w:r w:rsidRPr="00227BBD">
              <w:rPr>
                <w:b/>
                <w:bCs/>
                <w:szCs w:val="24"/>
                <w:u w:val="single"/>
              </w:rPr>
              <w:t xml:space="preserve">In these instances, RVSRs should seek medical clarification before completing a disability evaluation. </w:t>
            </w:r>
          </w:p>
          <w:p w14:paraId="326FBA5A" w14:textId="77777777" w:rsidR="00227BBD" w:rsidRDefault="00227BBD" w:rsidP="00227BBD">
            <w:pPr>
              <w:spacing w:line="270" w:lineRule="atLeast"/>
              <w:rPr>
                <w:szCs w:val="24"/>
              </w:rPr>
            </w:pPr>
          </w:p>
        </w:tc>
        <w:tc>
          <w:tcPr>
            <w:tcW w:w="4675" w:type="dxa"/>
          </w:tcPr>
          <w:p w14:paraId="1E19CA3D" w14:textId="3FA4B8AF" w:rsidR="00227BBD" w:rsidRPr="00227BBD" w:rsidRDefault="00227BBD" w:rsidP="00227BBD">
            <w:pPr>
              <w:spacing w:line="270" w:lineRule="atLeast"/>
              <w:rPr>
                <w:szCs w:val="24"/>
              </w:rPr>
            </w:pPr>
            <w:r w:rsidRPr="00227BBD">
              <w:rPr>
                <w:b/>
                <w:bCs/>
                <w:szCs w:val="24"/>
              </w:rPr>
              <w:t>Note</w:t>
            </w:r>
            <w:r w:rsidRPr="00227BBD">
              <w:rPr>
                <w:b/>
                <w:bCs/>
                <w:i/>
                <w:iCs/>
                <w:szCs w:val="24"/>
              </w:rPr>
              <w:t xml:space="preserve">: </w:t>
            </w:r>
            <w:r w:rsidRPr="00227BBD">
              <w:rPr>
                <w:szCs w:val="24"/>
              </w:rPr>
              <w:t xml:space="preserve">RVSRs evaluate the credibility and probative value of all data and determine the approximate balance of positive and negative evidence for or against a finding. In those </w:t>
            </w:r>
            <w:r w:rsidR="008006E6" w:rsidRPr="00227BBD">
              <w:rPr>
                <w:szCs w:val="24"/>
              </w:rPr>
              <w:t>cases,</w:t>
            </w:r>
            <w:r w:rsidRPr="00227BBD">
              <w:rPr>
                <w:szCs w:val="24"/>
              </w:rPr>
              <w:t xml:space="preserve"> for which there is an approximate balance of positive and negative evidence, the reasonable doubt rule would </w:t>
            </w:r>
            <w:r w:rsidR="008006E6" w:rsidRPr="00227BBD">
              <w:rPr>
                <w:szCs w:val="24"/>
              </w:rPr>
              <w:t>apply,</w:t>
            </w:r>
            <w:r w:rsidRPr="00227BBD">
              <w:rPr>
                <w:szCs w:val="24"/>
              </w:rPr>
              <w:t xml:space="preserve"> and such doubt should be resolved in the Veteran’s favor. 38 CFR 3.102</w:t>
            </w:r>
          </w:p>
          <w:p w14:paraId="034CD6A1" w14:textId="77777777" w:rsidR="00227BBD" w:rsidRDefault="00227BBD" w:rsidP="00227BBD">
            <w:pPr>
              <w:spacing w:line="270" w:lineRule="atLeast"/>
              <w:rPr>
                <w:szCs w:val="24"/>
              </w:rPr>
            </w:pPr>
          </w:p>
        </w:tc>
      </w:tr>
    </w:tbl>
    <w:p w14:paraId="0A5AD302" w14:textId="77777777" w:rsidR="00F32506" w:rsidRDefault="00F32506" w:rsidP="00227BBD">
      <w:pPr>
        <w:spacing w:line="270" w:lineRule="atLeast"/>
        <w:rPr>
          <w:szCs w:val="24"/>
        </w:rPr>
      </w:pPr>
    </w:p>
    <w:p w14:paraId="32EC6763" w14:textId="2A757395" w:rsidR="00227BBD" w:rsidRPr="00F32506" w:rsidRDefault="00227BBD" w:rsidP="00227BBD">
      <w:pPr>
        <w:spacing w:line="270" w:lineRule="atLeast"/>
        <w:rPr>
          <w:b/>
          <w:bCs/>
          <w:szCs w:val="24"/>
        </w:rPr>
      </w:pPr>
      <w:r w:rsidRPr="00F32506">
        <w:rPr>
          <w:b/>
          <w:bCs/>
          <w:szCs w:val="24"/>
        </w:rPr>
        <w:t xml:space="preserve">Higher of </w:t>
      </w:r>
      <w:r w:rsidR="00F32506" w:rsidRPr="00F32506">
        <w:rPr>
          <w:b/>
          <w:bCs/>
          <w:szCs w:val="24"/>
        </w:rPr>
        <w:t>T</w:t>
      </w:r>
      <w:r w:rsidRPr="00F32506">
        <w:rPr>
          <w:b/>
          <w:bCs/>
          <w:szCs w:val="24"/>
        </w:rPr>
        <w:t xml:space="preserve">wo </w:t>
      </w:r>
      <w:r w:rsidR="00F32506" w:rsidRPr="00F32506">
        <w:rPr>
          <w:b/>
          <w:bCs/>
          <w:szCs w:val="24"/>
        </w:rPr>
        <w:t>E</w:t>
      </w:r>
      <w:r w:rsidRPr="00F32506">
        <w:rPr>
          <w:b/>
          <w:bCs/>
          <w:szCs w:val="24"/>
        </w:rPr>
        <w:t>valuations</w:t>
      </w:r>
    </w:p>
    <w:p w14:paraId="6414431B" w14:textId="77777777" w:rsidR="00F32506" w:rsidRDefault="00F32506" w:rsidP="00F32506">
      <w:pPr>
        <w:spacing w:line="270" w:lineRule="atLeast"/>
      </w:pPr>
      <w:r w:rsidRPr="00F32506">
        <w:t>Higher of two evaluations</w:t>
      </w:r>
      <w:r>
        <w:rPr>
          <w:b/>
          <w:bCs/>
        </w:rPr>
        <w:t xml:space="preserve"> </w:t>
      </w:r>
      <w:r w:rsidRPr="00F32506">
        <w:t xml:space="preserve">allows for a higher percentage to be assigned during the evaluation in the Veteran’s favor if warranted by available evidence if there is doubt between which two percentage evaluations to assign. </w:t>
      </w:r>
    </w:p>
    <w:p w14:paraId="41CF4794" w14:textId="3466BAAD" w:rsidR="00F32506" w:rsidRPr="00F32506" w:rsidRDefault="00F32506" w:rsidP="00EF7A20">
      <w:pPr>
        <w:pStyle w:val="ListParagraph"/>
        <w:numPr>
          <w:ilvl w:val="0"/>
          <w:numId w:val="4"/>
        </w:numPr>
        <w:spacing w:line="270" w:lineRule="atLeast"/>
        <w:rPr>
          <w:b/>
          <w:bCs/>
        </w:rPr>
      </w:pPr>
      <w:r w:rsidRPr="00F32506">
        <w:t>However, the evidence must equally (or approximately equally) support two levels of evaluation in order for the higher evaluation to be awarded. RVSRs should not grant the higher of two evaluations.</w:t>
      </w:r>
      <w:r w:rsidRPr="00F32506">
        <w:rPr>
          <w:u w:val="single"/>
        </w:rPr>
        <w:t xml:space="preserve"> </w:t>
      </w:r>
      <w:r w:rsidRPr="00F32506">
        <w:rPr>
          <w:b/>
          <w:bCs/>
          <w:u w:val="single"/>
        </w:rPr>
        <w:t>In these instances, RVSRs should seek medical clarification before completing a disability evaluation</w:t>
      </w:r>
      <w:r w:rsidRPr="00F32506">
        <w:rPr>
          <w:b/>
          <w:bCs/>
        </w:rPr>
        <w:t xml:space="preserve"> </w:t>
      </w:r>
    </w:p>
    <w:p w14:paraId="47F9C62B" w14:textId="21D39D73" w:rsidR="00F32506" w:rsidRDefault="00F32506" w:rsidP="00F32506">
      <w:pPr>
        <w:spacing w:line="270" w:lineRule="atLeast"/>
      </w:pPr>
      <w:r w:rsidRPr="00F32506">
        <w:rPr>
          <w:b/>
          <w:bCs/>
        </w:rPr>
        <w:lastRenderedPageBreak/>
        <w:t>Note:</w:t>
      </w:r>
      <w:r w:rsidRPr="00F32506">
        <w:t xml:space="preserve"> Where there is a question as to which of two evaluations shall be applied, the higher evaluation will be assigned if the disability picture more nearly approximates the criteria required for that rating. Otherwise, the lower rating will be assigned.  </w:t>
      </w:r>
    </w:p>
    <w:p w14:paraId="41F0E813" w14:textId="1EE007EE" w:rsidR="00C76A51" w:rsidRDefault="00C76A51" w:rsidP="00F32506">
      <w:pPr>
        <w:spacing w:line="270" w:lineRule="atLeast"/>
      </w:pPr>
    </w:p>
    <w:p w14:paraId="139D0137" w14:textId="3C271D06" w:rsidR="00C76A51" w:rsidRDefault="00C76A51" w:rsidP="00F32506">
      <w:pPr>
        <w:spacing w:line="270" w:lineRule="atLeast"/>
        <w:rPr>
          <w:b/>
          <w:bCs/>
        </w:rPr>
      </w:pPr>
      <w:r w:rsidRPr="00C76A51">
        <w:rPr>
          <w:b/>
          <w:bCs/>
        </w:rPr>
        <w:t>Determining when to return inadequate exam</w:t>
      </w:r>
    </w:p>
    <w:tbl>
      <w:tblPr>
        <w:tblStyle w:val="TableGrid"/>
        <w:tblW w:w="0" w:type="auto"/>
        <w:tblLook w:val="04A0" w:firstRow="1" w:lastRow="0" w:firstColumn="1" w:lastColumn="0" w:noHBand="0" w:noVBand="1"/>
      </w:tblPr>
      <w:tblGrid>
        <w:gridCol w:w="4675"/>
        <w:gridCol w:w="4675"/>
      </w:tblGrid>
      <w:tr w:rsidR="00C76A51" w14:paraId="1819C2B7" w14:textId="77777777" w:rsidTr="00C76A51">
        <w:tc>
          <w:tcPr>
            <w:tcW w:w="4675" w:type="dxa"/>
          </w:tcPr>
          <w:p w14:paraId="5C847292" w14:textId="052D1F26" w:rsidR="00C76A51" w:rsidRDefault="00C76A51" w:rsidP="00F32506">
            <w:pPr>
              <w:spacing w:line="270" w:lineRule="atLeast"/>
              <w:rPr>
                <w:b/>
                <w:bCs/>
              </w:rPr>
            </w:pPr>
            <w:r>
              <w:rPr>
                <w:b/>
                <w:bCs/>
              </w:rPr>
              <w:t>If…</w:t>
            </w:r>
          </w:p>
        </w:tc>
        <w:tc>
          <w:tcPr>
            <w:tcW w:w="4675" w:type="dxa"/>
          </w:tcPr>
          <w:p w14:paraId="602C21CE" w14:textId="617AF86D" w:rsidR="00C76A51" w:rsidRDefault="00C76A51" w:rsidP="00F32506">
            <w:pPr>
              <w:spacing w:line="270" w:lineRule="atLeast"/>
              <w:rPr>
                <w:b/>
                <w:bCs/>
              </w:rPr>
            </w:pPr>
            <w:r>
              <w:rPr>
                <w:b/>
                <w:bCs/>
              </w:rPr>
              <w:t>Then…</w:t>
            </w:r>
          </w:p>
        </w:tc>
      </w:tr>
      <w:tr w:rsidR="00C76A51" w14:paraId="7C127342" w14:textId="77777777" w:rsidTr="00C76A51">
        <w:tc>
          <w:tcPr>
            <w:tcW w:w="4675" w:type="dxa"/>
          </w:tcPr>
          <w:p w14:paraId="2F4FA905" w14:textId="3523C37D" w:rsidR="00C76A51" w:rsidRPr="00C76A51" w:rsidRDefault="00C76A51" w:rsidP="00F32506">
            <w:pPr>
              <w:spacing w:line="270" w:lineRule="atLeast"/>
            </w:pPr>
            <w:r>
              <w:t>A medical provider may have indicated one measurement was used to evaluate the heart disease but then provided an additional statement that another measurement was better</w:t>
            </w:r>
          </w:p>
        </w:tc>
        <w:tc>
          <w:tcPr>
            <w:tcW w:w="4675" w:type="dxa"/>
          </w:tcPr>
          <w:p w14:paraId="1E13E3AF" w14:textId="1BF151C4" w:rsidR="00C76A51" w:rsidRPr="00C76A51" w:rsidRDefault="008006E6" w:rsidP="00F32506">
            <w:pPr>
              <w:spacing w:line="270" w:lineRule="atLeast"/>
            </w:pPr>
            <w:r>
              <w:t>d</w:t>
            </w:r>
            <w:r w:rsidR="00C76A51">
              <w:t>ecision makers should request clarification from the medical provider if the DBQ is insufficient.</w:t>
            </w:r>
          </w:p>
        </w:tc>
      </w:tr>
      <w:tr w:rsidR="00C76A51" w14:paraId="50F0D0F6" w14:textId="77777777" w:rsidTr="00C76A51">
        <w:tc>
          <w:tcPr>
            <w:tcW w:w="4675" w:type="dxa"/>
          </w:tcPr>
          <w:p w14:paraId="6ADC9E24" w14:textId="147915F6" w:rsidR="00C76A51" w:rsidRPr="008006E6" w:rsidRDefault="008006E6" w:rsidP="00F32506">
            <w:pPr>
              <w:spacing w:line="270" w:lineRule="atLeast"/>
            </w:pPr>
            <w:r>
              <w:t>the evidence is ambiguous or incomplete, such as in the case of insufficient or conflicting information on a DBQ</w:t>
            </w:r>
          </w:p>
        </w:tc>
        <w:tc>
          <w:tcPr>
            <w:tcW w:w="4675" w:type="dxa"/>
          </w:tcPr>
          <w:p w14:paraId="2CABABF6" w14:textId="20F8BFDE" w:rsidR="00C76A51" w:rsidRPr="008006E6" w:rsidRDefault="008006E6" w:rsidP="00F32506">
            <w:pPr>
              <w:spacing w:line="270" w:lineRule="atLeast"/>
            </w:pPr>
            <w:r>
              <w:t>decision makers to seek medical clarification before completing a disability evaluation.</w:t>
            </w:r>
          </w:p>
        </w:tc>
      </w:tr>
      <w:tr w:rsidR="00C76A51" w14:paraId="350BE471" w14:textId="77777777" w:rsidTr="00C76A51">
        <w:tc>
          <w:tcPr>
            <w:tcW w:w="4675" w:type="dxa"/>
          </w:tcPr>
          <w:p w14:paraId="418D49FB" w14:textId="34D4ED85" w:rsidR="00C76A51" w:rsidRPr="008006E6" w:rsidRDefault="008006E6" w:rsidP="00F32506">
            <w:pPr>
              <w:spacing w:line="270" w:lineRule="atLeast"/>
            </w:pPr>
            <w:r>
              <w:t>the DBQ requires clarification</w:t>
            </w:r>
          </w:p>
        </w:tc>
        <w:tc>
          <w:tcPr>
            <w:tcW w:w="4675" w:type="dxa"/>
          </w:tcPr>
          <w:p w14:paraId="645BE924" w14:textId="2209D7A7" w:rsidR="00C76A51" w:rsidRPr="008006E6" w:rsidRDefault="008006E6" w:rsidP="00F32506">
            <w:pPr>
              <w:spacing w:line="270" w:lineRule="atLeast"/>
              <w:rPr>
                <w:u w:val="single"/>
              </w:rPr>
            </w:pPr>
            <w:r>
              <w:t>the decision maker should not inappropriately apply reasonable doubt or “higher of two evaluations”, the examination should be returned for clarification.</w:t>
            </w:r>
          </w:p>
        </w:tc>
      </w:tr>
    </w:tbl>
    <w:p w14:paraId="43913157" w14:textId="77777777" w:rsidR="00C76A51" w:rsidRPr="00C76A51" w:rsidRDefault="00C76A51" w:rsidP="00F32506">
      <w:pPr>
        <w:spacing w:line="270" w:lineRule="atLeast"/>
        <w:rPr>
          <w:b/>
          <w:bCs/>
        </w:rPr>
      </w:pPr>
    </w:p>
    <w:p w14:paraId="76DFD2A6" w14:textId="387200EB" w:rsidR="00F32506" w:rsidRPr="00227BBD" w:rsidRDefault="00F32506" w:rsidP="00227BBD">
      <w:pPr>
        <w:spacing w:line="270" w:lineRule="atLeast"/>
        <w:rPr>
          <w:szCs w:val="24"/>
        </w:rPr>
      </w:pPr>
    </w:p>
    <w:p w14:paraId="3F320E63" w14:textId="25FC9F49" w:rsidR="00227BBD" w:rsidRDefault="00C76A51" w:rsidP="00BE54F6">
      <w:pPr>
        <w:pStyle w:val="VBATopicHeading1"/>
      </w:pPr>
      <w:r>
        <w:t>T</w:t>
      </w:r>
      <w:r w:rsidR="00BE54F6">
        <w:t>opic</w:t>
      </w:r>
      <w:r>
        <w:t xml:space="preserve"> 2: C</w:t>
      </w:r>
      <w:r w:rsidR="00BE54F6">
        <w:t>ardiovascular</w:t>
      </w:r>
      <w:r>
        <w:t xml:space="preserve"> D</w:t>
      </w:r>
      <w:r w:rsidR="00BE54F6">
        <w:t>isability</w:t>
      </w:r>
      <w:r>
        <w:t xml:space="preserve"> E</w:t>
      </w:r>
      <w:r w:rsidR="00BE54F6">
        <w:t>valuation</w:t>
      </w:r>
    </w:p>
    <w:p w14:paraId="6C70D5CE" w14:textId="3FC7383F" w:rsidR="008006E6" w:rsidRDefault="008006E6" w:rsidP="00C76A51">
      <w:pPr>
        <w:jc w:val="center"/>
        <w:rPr>
          <w:b/>
          <w:bCs/>
        </w:rPr>
      </w:pPr>
    </w:p>
    <w:p w14:paraId="58C59ED4" w14:textId="62D7C024" w:rsidR="008006E6" w:rsidRPr="008006E6" w:rsidRDefault="008006E6" w:rsidP="008006E6">
      <w:pPr>
        <w:rPr>
          <w:b/>
          <w:bCs/>
        </w:rPr>
      </w:pPr>
      <w:r w:rsidRPr="008006E6">
        <w:rPr>
          <w:b/>
          <w:bCs/>
        </w:rPr>
        <w:t>Proper Cardiovascular Evaluation</w:t>
      </w:r>
    </w:p>
    <w:p w14:paraId="668FBADD" w14:textId="77777777" w:rsidR="008006E6" w:rsidRDefault="008006E6" w:rsidP="008006E6">
      <w:pPr>
        <w:spacing w:line="270" w:lineRule="atLeast"/>
      </w:pPr>
      <w:r w:rsidRPr="008006E6">
        <w:t xml:space="preserve">When evaluating heart conditions, METs testing is required, with some exceptions. </w:t>
      </w:r>
    </w:p>
    <w:p w14:paraId="3BD024F9" w14:textId="77777777" w:rsidR="008006E6" w:rsidRDefault="008006E6" w:rsidP="00EF7A20">
      <w:pPr>
        <w:pStyle w:val="ListParagraph"/>
        <w:numPr>
          <w:ilvl w:val="0"/>
          <w:numId w:val="5"/>
        </w:numPr>
        <w:spacing w:line="270" w:lineRule="atLeast"/>
      </w:pPr>
      <w:r w:rsidRPr="008006E6">
        <w:t xml:space="preserve">When METs testing cannot be conducted for health reasons, the medical provider may provide an estimate of the METs by interviewing the Veteran to determine the lowest activity level at which the veteran reports symptoms of heart disease. </w:t>
      </w:r>
    </w:p>
    <w:p w14:paraId="2519B65E" w14:textId="7339CE96" w:rsidR="008006E6" w:rsidRDefault="008006E6" w:rsidP="00EF7A20">
      <w:pPr>
        <w:pStyle w:val="ListParagraph"/>
        <w:numPr>
          <w:ilvl w:val="0"/>
          <w:numId w:val="5"/>
        </w:numPr>
        <w:spacing w:line="270" w:lineRule="atLeast"/>
      </w:pPr>
      <w:r w:rsidRPr="008006E6">
        <w:t>In some situations, however, Veterans may have both service</w:t>
      </w:r>
      <w:r>
        <w:t xml:space="preserve"> </w:t>
      </w:r>
      <w:r w:rsidRPr="008006E6">
        <w:t>connected disabilities and disabilities not related to service. Disabilities that are not related to service may also have an impact on METs results. The medical provider must state in the examination that the estimated METs are due solely to the Veteran’s claimed service</w:t>
      </w:r>
      <w:r>
        <w:t xml:space="preserve"> </w:t>
      </w:r>
      <w:r w:rsidRPr="008006E6">
        <w:t>connected heart disability.</w:t>
      </w:r>
    </w:p>
    <w:p w14:paraId="0BB74589" w14:textId="77777777" w:rsidR="008006E6" w:rsidRDefault="008006E6" w:rsidP="008006E6">
      <w:pPr>
        <w:pStyle w:val="ListParagraph"/>
        <w:spacing w:line="270" w:lineRule="atLeast"/>
        <w:ind w:left="360"/>
      </w:pPr>
    </w:p>
    <w:p w14:paraId="6E4805F0" w14:textId="1082566A" w:rsidR="008006E6" w:rsidRPr="008006E6" w:rsidRDefault="008006E6" w:rsidP="008006E6">
      <w:pPr>
        <w:spacing w:line="270" w:lineRule="atLeast"/>
      </w:pPr>
      <w:r w:rsidRPr="008006E6">
        <w:rPr>
          <w:b/>
          <w:bCs/>
        </w:rPr>
        <w:t>Important</w:t>
      </w:r>
      <w:r>
        <w:t>: The chart below explains the general criteria for evaluating heart disease.</w:t>
      </w:r>
    </w:p>
    <w:p w14:paraId="09F313E7" w14:textId="20958B94" w:rsidR="008006E6" w:rsidRPr="008006E6" w:rsidRDefault="008006E6" w:rsidP="008006E6">
      <w:r w:rsidRPr="00CD303D">
        <w:rPr>
          <w:rFonts w:ascii="Arial" w:hAnsi="Arial" w:cs="Arial"/>
          <w:b/>
          <w:bCs/>
          <w:noProof/>
        </w:rPr>
        <w:lastRenderedPageBreak/>
        <w:drawing>
          <wp:inline distT="0" distB="0" distL="0" distR="0" wp14:anchorId="24188183" wp14:editId="609A12E1">
            <wp:extent cx="5943600" cy="4196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96715"/>
                    </a:xfrm>
                    <a:prstGeom prst="rect">
                      <a:avLst/>
                    </a:prstGeom>
                    <a:noFill/>
                  </pic:spPr>
                </pic:pic>
              </a:graphicData>
            </a:graphic>
          </wp:inline>
        </w:drawing>
      </w:r>
    </w:p>
    <w:p w14:paraId="1356E352" w14:textId="77777777" w:rsidR="008006E6" w:rsidRPr="008006E6" w:rsidRDefault="008006E6" w:rsidP="008006E6">
      <w:pPr>
        <w:rPr>
          <w:b/>
          <w:bCs/>
          <w:szCs w:val="24"/>
        </w:rPr>
      </w:pPr>
      <w:r w:rsidRPr="008006E6">
        <w:rPr>
          <w:b/>
          <w:bCs/>
          <w:szCs w:val="24"/>
        </w:rPr>
        <w:t>Note:</w:t>
      </w:r>
    </w:p>
    <w:p w14:paraId="075B78FD" w14:textId="77777777" w:rsidR="008006E6" w:rsidRPr="008006E6" w:rsidRDefault="008006E6" w:rsidP="008006E6">
      <w:pPr>
        <w:rPr>
          <w:szCs w:val="24"/>
        </w:rPr>
      </w:pPr>
      <w:r w:rsidRPr="008006E6">
        <w:rPr>
          <w:szCs w:val="24"/>
        </w:rPr>
        <w:t>In addition to this refresher training the OIG recommended that the Under Secretary for Benefits implement a plan to:</w:t>
      </w:r>
    </w:p>
    <w:p w14:paraId="5B3D3E3A" w14:textId="77777777" w:rsidR="008006E6" w:rsidRPr="008006E6" w:rsidRDefault="008006E6" w:rsidP="00EF7A20">
      <w:pPr>
        <w:numPr>
          <w:ilvl w:val="0"/>
          <w:numId w:val="6"/>
        </w:numPr>
        <w:overflowPunct/>
        <w:autoSpaceDE/>
        <w:autoSpaceDN/>
        <w:adjustRightInd/>
        <w:spacing w:before="0" w:after="160" w:line="259" w:lineRule="auto"/>
        <w:rPr>
          <w:szCs w:val="24"/>
        </w:rPr>
      </w:pPr>
      <w:r w:rsidRPr="008006E6">
        <w:rPr>
          <w:szCs w:val="24"/>
        </w:rPr>
        <w:t>Incorporate the system-generated instructions for medical providers directly into the heart disability benefits questionnaire (instead of separately on the examination re quest) and determine whether additional revisions are necessary to ensure medical providers’ findings are sufficient for evaluation purposes.</w:t>
      </w:r>
    </w:p>
    <w:p w14:paraId="288D89F6" w14:textId="3C1518E4" w:rsidR="004E1999" w:rsidRDefault="008006E6" w:rsidP="00EF7A20">
      <w:pPr>
        <w:numPr>
          <w:ilvl w:val="0"/>
          <w:numId w:val="6"/>
        </w:numPr>
        <w:overflowPunct/>
        <w:autoSpaceDE/>
        <w:autoSpaceDN/>
        <w:adjustRightInd/>
        <w:spacing w:before="0" w:after="160" w:line="259" w:lineRule="auto"/>
        <w:rPr>
          <w:szCs w:val="24"/>
        </w:rPr>
      </w:pPr>
      <w:r w:rsidRPr="008006E6">
        <w:rPr>
          <w:szCs w:val="24"/>
        </w:rPr>
        <w:t xml:space="preserve">Ensure medical providers who complete heart disability benefits questionnaires are made aware of common problem areas related to the questionnaire format and system-generated instructions and are provided guidance on how to avoid giving conflicting or insufficient information. </w:t>
      </w:r>
    </w:p>
    <w:p w14:paraId="1068B16E" w14:textId="77777777" w:rsidR="00637222" w:rsidRPr="00637222" w:rsidRDefault="00637222" w:rsidP="00637222">
      <w:pPr>
        <w:overflowPunct/>
        <w:autoSpaceDE/>
        <w:autoSpaceDN/>
        <w:adjustRightInd/>
        <w:spacing w:before="0" w:after="160" w:line="259" w:lineRule="auto"/>
        <w:ind w:left="720"/>
        <w:rPr>
          <w:szCs w:val="24"/>
        </w:rPr>
      </w:pPr>
    </w:p>
    <w:p w14:paraId="780B0499" w14:textId="58F26C65" w:rsidR="004E1999" w:rsidRDefault="004E1999" w:rsidP="008006E6">
      <w:pPr>
        <w:overflowPunct/>
        <w:autoSpaceDE/>
        <w:autoSpaceDN/>
        <w:adjustRightInd/>
        <w:spacing w:before="0"/>
        <w:jc w:val="both"/>
        <w:rPr>
          <w:b/>
          <w:bCs/>
        </w:rPr>
      </w:pPr>
      <w:r w:rsidRPr="004E1999">
        <w:rPr>
          <w:b/>
          <w:bCs/>
        </w:rPr>
        <w:t>Interpreting Cardiovascular DBQ</w:t>
      </w:r>
    </w:p>
    <w:p w14:paraId="67354A36" w14:textId="026CEC90" w:rsidR="004E1999" w:rsidRDefault="004E1999" w:rsidP="008006E6">
      <w:pPr>
        <w:overflowPunct/>
        <w:autoSpaceDE/>
        <w:autoSpaceDN/>
        <w:adjustRightInd/>
        <w:spacing w:before="0"/>
        <w:jc w:val="both"/>
        <w:rPr>
          <w:b/>
          <w:bCs/>
        </w:rPr>
      </w:pPr>
    </w:p>
    <w:p w14:paraId="27BBF5DA" w14:textId="75DC4F80" w:rsidR="004E1999" w:rsidRDefault="004E1999" w:rsidP="008006E6">
      <w:pPr>
        <w:overflowPunct/>
        <w:autoSpaceDE/>
        <w:autoSpaceDN/>
        <w:adjustRightInd/>
        <w:spacing w:before="0"/>
        <w:jc w:val="both"/>
      </w:pPr>
      <w:r>
        <w:t>The diagnosis section, shown below, contains a list of several heart related diagnoses that a medical provider can select that may not be relevant to the decision.</w:t>
      </w:r>
    </w:p>
    <w:p w14:paraId="1FE2C96E" w14:textId="6F2A6025" w:rsidR="004E1999" w:rsidRDefault="004E1999" w:rsidP="008006E6">
      <w:pPr>
        <w:overflowPunct/>
        <w:autoSpaceDE/>
        <w:autoSpaceDN/>
        <w:adjustRightInd/>
        <w:spacing w:before="0"/>
        <w:jc w:val="both"/>
      </w:pPr>
    </w:p>
    <w:p w14:paraId="47B76D84" w14:textId="77777777" w:rsidR="004E1999" w:rsidRDefault="004E1999" w:rsidP="008006E6">
      <w:pPr>
        <w:overflowPunct/>
        <w:autoSpaceDE/>
        <w:autoSpaceDN/>
        <w:adjustRightInd/>
        <w:spacing w:before="0"/>
        <w:jc w:val="both"/>
      </w:pPr>
    </w:p>
    <w:p w14:paraId="39852E95" w14:textId="01EE31E2" w:rsidR="004E1999" w:rsidRDefault="004E1999" w:rsidP="008006E6">
      <w:pPr>
        <w:overflowPunct/>
        <w:autoSpaceDE/>
        <w:autoSpaceDN/>
        <w:adjustRightInd/>
        <w:spacing w:before="0"/>
        <w:jc w:val="both"/>
      </w:pPr>
      <w:r>
        <w:lastRenderedPageBreak/>
        <w:t>Table 1:</w:t>
      </w:r>
    </w:p>
    <w:p w14:paraId="29FC6207" w14:textId="52495F7D" w:rsidR="004E1999" w:rsidRPr="004E1999" w:rsidRDefault="004E1999" w:rsidP="008006E6">
      <w:pPr>
        <w:overflowPunct/>
        <w:autoSpaceDE/>
        <w:autoSpaceDN/>
        <w:adjustRightInd/>
        <w:spacing w:before="0"/>
        <w:jc w:val="both"/>
      </w:pPr>
      <w:r w:rsidRPr="00CD303D">
        <w:rPr>
          <w:rFonts w:ascii="Arial" w:hAnsi="Arial" w:cs="Arial"/>
          <w:noProof/>
        </w:rPr>
        <w:drawing>
          <wp:inline distT="0" distB="0" distL="0" distR="0" wp14:anchorId="63E1310C" wp14:editId="0D96D9B3">
            <wp:extent cx="5943600" cy="3479800"/>
            <wp:effectExtent l="0" t="0" r="0" b="6350"/>
            <wp:docPr id="9" name="Picture 8" descr="A screenshot of a cell phone&#10;&#10;Description automatically generated">
              <a:extLst xmlns:a="http://schemas.openxmlformats.org/drawingml/2006/main">
                <a:ext uri="{FF2B5EF4-FFF2-40B4-BE49-F238E27FC236}">
                  <a16:creationId xmlns:a16="http://schemas.microsoft.com/office/drawing/2014/main" id="{2B2259D0-6E11-4D85-80D0-AFE395831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ell phone&#10;&#10;Description automatically generated">
                      <a:extLst>
                        <a:ext uri="{FF2B5EF4-FFF2-40B4-BE49-F238E27FC236}">
                          <a16:creationId xmlns:a16="http://schemas.microsoft.com/office/drawing/2014/main" id="{2B2259D0-6E11-4D85-80D0-AFE395831AB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43600" cy="3479800"/>
                    </a:xfrm>
                    <a:prstGeom prst="rect">
                      <a:avLst/>
                    </a:prstGeom>
                  </pic:spPr>
                </pic:pic>
              </a:graphicData>
            </a:graphic>
          </wp:inline>
        </w:drawing>
      </w:r>
    </w:p>
    <w:p w14:paraId="5D4C39B1" w14:textId="77777777" w:rsidR="004E1999" w:rsidRDefault="004E1999" w:rsidP="008006E6">
      <w:pPr>
        <w:overflowPunct/>
        <w:autoSpaceDE/>
        <w:autoSpaceDN/>
        <w:adjustRightInd/>
        <w:spacing w:before="0"/>
        <w:jc w:val="both"/>
      </w:pPr>
    </w:p>
    <w:p w14:paraId="242D9936" w14:textId="77777777" w:rsidR="004E1999" w:rsidRDefault="004E1999" w:rsidP="004E1999">
      <w:pPr>
        <w:spacing w:line="270" w:lineRule="atLeast"/>
      </w:pPr>
      <w:r w:rsidRPr="004E1999">
        <w:t xml:space="preserve">Medical providers have the opportunity to select several diagnoses listed on the DBQ. </w:t>
      </w:r>
    </w:p>
    <w:p w14:paraId="13A82024" w14:textId="77CFED4C" w:rsidR="004E1999" w:rsidRPr="004E1999" w:rsidRDefault="004E1999" w:rsidP="00EF7A20">
      <w:pPr>
        <w:pStyle w:val="ListParagraph"/>
        <w:numPr>
          <w:ilvl w:val="0"/>
          <w:numId w:val="4"/>
        </w:numPr>
        <w:spacing w:line="270" w:lineRule="atLeast"/>
        <w:rPr>
          <w:b/>
          <w:bCs/>
        </w:rPr>
      </w:pPr>
      <w:r w:rsidRPr="004E1999">
        <w:t>However, providing a new diagnosis of a heart condition not claimed by the Veteran or that is not service</w:t>
      </w:r>
      <w:r>
        <w:t xml:space="preserve"> </w:t>
      </w:r>
      <w:r w:rsidRPr="004E1999">
        <w:t>connected could be problematic. New diagnoses require VBA</w:t>
      </w:r>
      <w:r w:rsidRPr="004E1999">
        <w:rPr>
          <w:b/>
          <w:bCs/>
        </w:rPr>
        <w:t xml:space="preserve"> to obtain clarification to determine whether these conditions affect the MET level or whether any of the conditions should be considered for service</w:t>
      </w:r>
      <w:r>
        <w:rPr>
          <w:b/>
          <w:bCs/>
        </w:rPr>
        <w:t xml:space="preserve"> </w:t>
      </w:r>
      <w:r w:rsidRPr="004E1999">
        <w:rPr>
          <w:b/>
          <w:bCs/>
        </w:rPr>
        <w:t>connection.</w:t>
      </w:r>
    </w:p>
    <w:p w14:paraId="7B1E9280" w14:textId="5EE722AC" w:rsidR="00637222" w:rsidRDefault="004E1999" w:rsidP="004E1999">
      <w:pPr>
        <w:spacing w:line="270" w:lineRule="atLeast"/>
      </w:pPr>
      <w:r w:rsidRPr="004E1999">
        <w:t xml:space="preserve">The unrelated diagnoses sometimes conflict with responses to a later question on the DBQ regarding METs due solely to the heart condition as shown below. </w:t>
      </w:r>
    </w:p>
    <w:p w14:paraId="3DE47564" w14:textId="1B001814" w:rsidR="004E1999" w:rsidRPr="004E1999" w:rsidRDefault="004E1999" w:rsidP="004E1999">
      <w:pPr>
        <w:spacing w:line="270" w:lineRule="atLeast"/>
        <w:rPr>
          <w:b/>
          <w:bCs/>
        </w:rPr>
      </w:pPr>
      <w:r w:rsidRPr="004E1999">
        <w:rPr>
          <w:b/>
          <w:bCs/>
        </w:rPr>
        <w:t>Example:</w:t>
      </w:r>
    </w:p>
    <w:p w14:paraId="6DA889FC" w14:textId="75C276C3" w:rsidR="004E1999" w:rsidRPr="004E1999" w:rsidRDefault="004E1999" w:rsidP="004E1999">
      <w:pPr>
        <w:spacing w:line="270" w:lineRule="atLeast"/>
      </w:pPr>
      <w:r w:rsidRPr="00CD303D">
        <w:rPr>
          <w:rFonts w:ascii="Arial" w:hAnsi="Arial" w:cs="Arial"/>
          <w:noProof/>
        </w:rPr>
        <w:drawing>
          <wp:inline distT="0" distB="0" distL="0" distR="0" wp14:anchorId="40531E89" wp14:editId="3BAE3A38">
            <wp:extent cx="5943600" cy="2285365"/>
            <wp:effectExtent l="0" t="0" r="0" b="635"/>
            <wp:docPr id="5" name="Picture 4">
              <a:extLst xmlns:a="http://schemas.openxmlformats.org/drawingml/2006/main">
                <a:ext uri="{FF2B5EF4-FFF2-40B4-BE49-F238E27FC236}">
                  <a16:creationId xmlns:a16="http://schemas.microsoft.com/office/drawing/2014/main" id="{3626809B-5B8D-4EEA-9F29-B1ABBD23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626809B-5B8D-4EEA-9F29-B1ABBD23E807}"/>
                        </a:ext>
                      </a:extLst>
                    </pic:cNvPr>
                    <pic:cNvPicPr>
                      <a:picLocks noChangeAspect="1"/>
                    </pic:cNvPicPr>
                  </pic:nvPicPr>
                  <pic:blipFill>
                    <a:blip r:embed="rId16"/>
                    <a:stretch>
                      <a:fillRect/>
                    </a:stretch>
                  </pic:blipFill>
                  <pic:spPr>
                    <a:xfrm>
                      <a:off x="0" y="0"/>
                      <a:ext cx="5943600" cy="2285365"/>
                    </a:xfrm>
                    <a:prstGeom prst="rect">
                      <a:avLst/>
                    </a:prstGeom>
                  </pic:spPr>
                </pic:pic>
              </a:graphicData>
            </a:graphic>
          </wp:inline>
        </w:drawing>
      </w:r>
    </w:p>
    <w:p w14:paraId="6EFD0EC6" w14:textId="77777777" w:rsidR="00B4201D" w:rsidRDefault="0067537C" w:rsidP="00B4201D">
      <w:pPr>
        <w:pStyle w:val="Heading1"/>
      </w:pPr>
      <w:r>
        <w:br w:type="page"/>
      </w:r>
      <w:r w:rsidR="00B4201D">
        <w:lastRenderedPageBreak/>
        <w:t>Practical Exercise</w:t>
      </w:r>
    </w:p>
    <w:p w14:paraId="18829101" w14:textId="260A5A1C" w:rsidR="00B4201D" w:rsidRPr="00B4201D" w:rsidRDefault="00B4201D" w:rsidP="00B4201D">
      <w:pPr>
        <w:rPr>
          <w:i/>
        </w:rPr>
      </w:pPr>
      <w:r w:rsidRPr="00914FB2">
        <w:rPr>
          <w:i/>
        </w:rPr>
        <w:t>Directions: Answer the following questions.</w:t>
      </w:r>
      <w:r>
        <w:rPr>
          <w:i/>
        </w:rPr>
        <w:t xml:space="preserve"> You may use your Student Handout.</w:t>
      </w:r>
      <w:r>
        <w:rPr>
          <w:i/>
        </w:rPr>
        <w:br/>
      </w:r>
    </w:p>
    <w:p w14:paraId="3596F896" w14:textId="774222ED" w:rsidR="00B4201D" w:rsidRPr="0068015F" w:rsidRDefault="00B4201D" w:rsidP="00EF7A20">
      <w:pPr>
        <w:numPr>
          <w:ilvl w:val="0"/>
          <w:numId w:val="7"/>
        </w:numPr>
        <w:spacing w:line="360" w:lineRule="auto"/>
        <w:contextualSpacing/>
        <w:rPr>
          <w:iCs/>
        </w:rPr>
      </w:pPr>
      <w:r w:rsidRPr="00B4201D">
        <w:rPr>
          <w:b/>
          <w:bCs/>
          <w:iCs/>
        </w:rPr>
        <w:t>Scenario:</w:t>
      </w:r>
      <w:r w:rsidRPr="00B4201D">
        <w:rPr>
          <w:iCs/>
        </w:rPr>
        <w:t xml:space="preserve"> </w:t>
      </w:r>
      <w:r w:rsidRPr="00B4201D">
        <w:t xml:space="preserve">A Veteran filed a claim for service connection for ischemic heart disease. A medical provider completed a disability benefits questionnaire to assess this condition. The medical provider listed four heart conditions in the diagnosis section, including atrial fibrillation, which was not linked to the Veteran’s service nor claimed by the veteran. The medical provider then reported the METs level due to the heart conditions listed in the diagnosis section, including atrial fibrillation. Thus, there was a conflict on the disability benefits questionnaire findings because the METs included a condition not claimed nor related to the veteran’s military service. </w:t>
      </w:r>
    </w:p>
    <w:p w14:paraId="3F42DB27" w14:textId="02DE4728" w:rsidR="0068015F" w:rsidRDefault="0068015F" w:rsidP="0068015F">
      <w:pPr>
        <w:spacing w:line="360" w:lineRule="auto"/>
        <w:ind w:left="720"/>
        <w:contextualSpacing/>
        <w:rPr>
          <w:b/>
          <w:bCs/>
          <w:iCs/>
        </w:rPr>
      </w:pPr>
    </w:p>
    <w:p w14:paraId="245C70CC" w14:textId="77777777" w:rsidR="0068015F" w:rsidRPr="00B4201D" w:rsidRDefault="0068015F" w:rsidP="0068015F">
      <w:pPr>
        <w:spacing w:line="360" w:lineRule="auto"/>
        <w:ind w:left="720"/>
        <w:contextualSpacing/>
        <w:rPr>
          <w:iCs/>
        </w:rPr>
      </w:pPr>
    </w:p>
    <w:p w14:paraId="1F97728C" w14:textId="095FFC7C" w:rsidR="00B4201D" w:rsidRDefault="00B4201D" w:rsidP="00EF7A20">
      <w:pPr>
        <w:numPr>
          <w:ilvl w:val="0"/>
          <w:numId w:val="7"/>
        </w:numPr>
        <w:spacing w:line="360" w:lineRule="auto"/>
        <w:contextualSpacing/>
        <w:rPr>
          <w:iCs/>
        </w:rPr>
      </w:pPr>
      <w:r w:rsidRPr="00B4201D">
        <w:rPr>
          <w:b/>
          <w:bCs/>
          <w:iCs/>
        </w:rPr>
        <w:t>Scenario:</w:t>
      </w:r>
      <w:r w:rsidRPr="00B4201D">
        <w:rPr>
          <w:iCs/>
        </w:rPr>
        <w:t xml:space="preserve"> A medical provider documented a MET level of greater than three to five on the disability benefits questionnaire and indicated it was not due to the heart condition in the diagnosis section. The medical provider then gave the same MET level of greater than three to five that was due to the heart condition in the second METs testing section of the disability benefits questionnaire. The medical provider listed in the rationale two other medical conditions but did not indicate whether or to what extent these other conditions affected the METs. The medical provider also stated that the LVEF was a more accurate finding of cardiovascular manifestations. </w:t>
      </w:r>
      <w:bookmarkStart w:id="13" w:name="_Hlk51859058"/>
      <w:r w:rsidRPr="00B4201D">
        <w:rPr>
          <w:iCs/>
        </w:rPr>
        <w:t xml:space="preserve">Due to these multiple instances of unclear information, the RVSR should return the disability benefits questionnaire to the medical provider for clarification on what measurement to use instead of evaluating the heart condition based on the MET level provided. </w:t>
      </w:r>
      <w:bookmarkEnd w:id="13"/>
    </w:p>
    <w:p w14:paraId="4265D845" w14:textId="5826A3E2" w:rsidR="0068015F" w:rsidRDefault="0068015F" w:rsidP="0068015F">
      <w:pPr>
        <w:spacing w:line="360" w:lineRule="auto"/>
        <w:contextualSpacing/>
        <w:rPr>
          <w:iCs/>
        </w:rPr>
      </w:pPr>
    </w:p>
    <w:p w14:paraId="5D6A069E" w14:textId="77777777" w:rsidR="0068015F" w:rsidRPr="00B4201D" w:rsidRDefault="0068015F" w:rsidP="0068015F">
      <w:pPr>
        <w:spacing w:line="360" w:lineRule="auto"/>
        <w:contextualSpacing/>
        <w:rPr>
          <w:iCs/>
        </w:rPr>
      </w:pPr>
    </w:p>
    <w:p w14:paraId="53FE2AF0" w14:textId="77777777" w:rsidR="00B4201D" w:rsidRPr="00B4201D" w:rsidRDefault="00B4201D" w:rsidP="00EF7A20">
      <w:pPr>
        <w:pStyle w:val="ListParagraph"/>
        <w:numPr>
          <w:ilvl w:val="0"/>
          <w:numId w:val="7"/>
        </w:numPr>
        <w:spacing w:line="360" w:lineRule="auto"/>
        <w:contextualSpacing/>
        <w:textAlignment w:val="auto"/>
        <w:rPr>
          <w:szCs w:val="24"/>
        </w:rPr>
      </w:pPr>
      <w:r w:rsidRPr="00B4201D">
        <w:rPr>
          <w:b/>
          <w:bCs/>
          <w:szCs w:val="24"/>
        </w:rPr>
        <w:t>Scenario</w:t>
      </w:r>
      <w:r w:rsidRPr="00B4201D">
        <w:rPr>
          <w:i/>
          <w:iCs/>
          <w:szCs w:val="24"/>
        </w:rPr>
        <w:t xml:space="preserve">: </w:t>
      </w:r>
      <w:r w:rsidRPr="00B4201D">
        <w:rPr>
          <w:szCs w:val="24"/>
        </w:rPr>
        <w:t>A medical provider reported a Veteran’s cardiac dilatation on a disability benefits questionnaire and associated the dilatation with a condition not related to the Veteran’s military service. A VBA decision maker assigned a 30-percent evaluation for the dilatation.</w:t>
      </w:r>
    </w:p>
    <w:p w14:paraId="13F58513" w14:textId="77777777" w:rsidR="00DD01C7" w:rsidRDefault="00DD01C7" w:rsidP="00DD01C7">
      <w:pPr>
        <w:overflowPunct/>
        <w:autoSpaceDE/>
        <w:autoSpaceDN/>
        <w:adjustRightInd/>
        <w:spacing w:before="0"/>
        <w:jc w:val="center"/>
      </w:pPr>
    </w:p>
    <w:sectPr w:rsidR="00DD01C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13F6" w14:textId="77777777" w:rsidR="00AA7CAC" w:rsidRDefault="00AA7CAC">
      <w:pPr>
        <w:spacing w:before="0"/>
      </w:pPr>
      <w:r>
        <w:separator/>
      </w:r>
    </w:p>
  </w:endnote>
  <w:endnote w:type="continuationSeparator" w:id="0">
    <w:p w14:paraId="2A8D76D3" w14:textId="77777777" w:rsidR="00AA7CAC" w:rsidRDefault="00AA7C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9B26" w14:textId="6971A50A" w:rsidR="007409DE" w:rsidRDefault="007409DE" w:rsidP="009A350D">
    <w:pPr>
      <w:pStyle w:val="VBAFooter"/>
    </w:pPr>
    <w:r>
      <w:tab/>
    </w:r>
    <w:r>
      <w:tab/>
    </w:r>
    <w:r>
      <w:tab/>
    </w:r>
    <w:r>
      <w:tab/>
    </w:r>
  </w:p>
  <w:p w14:paraId="2C399B27" w14:textId="262DA50C" w:rsidR="007409DE" w:rsidRDefault="00F50D45">
    <w:r>
      <w:t>October</w:t>
    </w:r>
    <w:r w:rsidR="007409DE">
      <w:t xml:space="preserve"> 2020</w:t>
    </w:r>
    <w:r w:rsidR="007409DE">
      <w:tab/>
    </w:r>
    <w:r w:rsidR="007409DE">
      <w:tab/>
    </w:r>
    <w:r w:rsidR="007409DE">
      <w:tab/>
    </w:r>
    <w:r w:rsidR="007409DE">
      <w:tab/>
    </w:r>
    <w:r w:rsidR="007409DE">
      <w:tab/>
    </w:r>
    <w:r w:rsidR="007409DE">
      <w:tab/>
    </w:r>
    <w:r w:rsidR="007409DE">
      <w:tab/>
    </w:r>
    <w:r w:rsidR="007409DE">
      <w:tab/>
    </w:r>
    <w:r w:rsidR="007409DE">
      <w:tab/>
    </w:r>
    <w:r w:rsidR="007409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27E0" w14:textId="77777777" w:rsidR="00AA7CAC" w:rsidRDefault="00AA7CAC">
      <w:pPr>
        <w:spacing w:before="0"/>
      </w:pPr>
      <w:r>
        <w:separator/>
      </w:r>
    </w:p>
  </w:footnote>
  <w:footnote w:type="continuationSeparator" w:id="0">
    <w:p w14:paraId="3E271444" w14:textId="77777777" w:rsidR="00AA7CAC" w:rsidRDefault="00AA7CA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3A9B"/>
    <w:multiLevelType w:val="hybridMultilevel"/>
    <w:tmpl w:val="1C7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75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5C7FB6"/>
    <w:multiLevelType w:val="hybridMultilevel"/>
    <w:tmpl w:val="B6A4222C"/>
    <w:lvl w:ilvl="0" w:tplc="58FC5076">
      <w:start w:val="1"/>
      <w:numFmt w:val="bullet"/>
      <w:pStyle w:val="VBAFirstLeve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63F09"/>
    <w:multiLevelType w:val="hybridMultilevel"/>
    <w:tmpl w:val="20605542"/>
    <w:lvl w:ilvl="0" w:tplc="5FB63872">
      <w:start w:val="1"/>
      <w:numFmt w:val="decimal"/>
      <w:lvlText w:val="%1."/>
      <w:lvlJc w:val="left"/>
      <w:pPr>
        <w:tabs>
          <w:tab w:val="num" w:pos="720"/>
        </w:tabs>
        <w:ind w:left="720" w:hanging="360"/>
      </w:pPr>
    </w:lvl>
    <w:lvl w:ilvl="1" w:tplc="E8EC4626" w:tentative="1">
      <w:start w:val="1"/>
      <w:numFmt w:val="decimal"/>
      <w:lvlText w:val="%2."/>
      <w:lvlJc w:val="left"/>
      <w:pPr>
        <w:tabs>
          <w:tab w:val="num" w:pos="1440"/>
        </w:tabs>
        <w:ind w:left="1440" w:hanging="360"/>
      </w:pPr>
    </w:lvl>
    <w:lvl w:ilvl="2" w:tplc="710E8EAC" w:tentative="1">
      <w:start w:val="1"/>
      <w:numFmt w:val="decimal"/>
      <w:lvlText w:val="%3."/>
      <w:lvlJc w:val="left"/>
      <w:pPr>
        <w:tabs>
          <w:tab w:val="num" w:pos="2160"/>
        </w:tabs>
        <w:ind w:left="2160" w:hanging="360"/>
      </w:pPr>
    </w:lvl>
    <w:lvl w:ilvl="3" w:tplc="EA4C05CE" w:tentative="1">
      <w:start w:val="1"/>
      <w:numFmt w:val="decimal"/>
      <w:lvlText w:val="%4."/>
      <w:lvlJc w:val="left"/>
      <w:pPr>
        <w:tabs>
          <w:tab w:val="num" w:pos="2880"/>
        </w:tabs>
        <w:ind w:left="2880" w:hanging="360"/>
      </w:pPr>
    </w:lvl>
    <w:lvl w:ilvl="4" w:tplc="1DB27C6C" w:tentative="1">
      <w:start w:val="1"/>
      <w:numFmt w:val="decimal"/>
      <w:lvlText w:val="%5."/>
      <w:lvlJc w:val="left"/>
      <w:pPr>
        <w:tabs>
          <w:tab w:val="num" w:pos="3600"/>
        </w:tabs>
        <w:ind w:left="3600" w:hanging="360"/>
      </w:pPr>
    </w:lvl>
    <w:lvl w:ilvl="5" w:tplc="AF70E6D6" w:tentative="1">
      <w:start w:val="1"/>
      <w:numFmt w:val="decimal"/>
      <w:lvlText w:val="%6."/>
      <w:lvlJc w:val="left"/>
      <w:pPr>
        <w:tabs>
          <w:tab w:val="num" w:pos="4320"/>
        </w:tabs>
        <w:ind w:left="4320" w:hanging="360"/>
      </w:pPr>
    </w:lvl>
    <w:lvl w:ilvl="6" w:tplc="2D22F16A" w:tentative="1">
      <w:start w:val="1"/>
      <w:numFmt w:val="decimal"/>
      <w:lvlText w:val="%7."/>
      <w:lvlJc w:val="left"/>
      <w:pPr>
        <w:tabs>
          <w:tab w:val="num" w:pos="5040"/>
        </w:tabs>
        <w:ind w:left="5040" w:hanging="360"/>
      </w:pPr>
    </w:lvl>
    <w:lvl w:ilvl="7" w:tplc="1AE66A94" w:tentative="1">
      <w:start w:val="1"/>
      <w:numFmt w:val="decimal"/>
      <w:lvlText w:val="%8."/>
      <w:lvlJc w:val="left"/>
      <w:pPr>
        <w:tabs>
          <w:tab w:val="num" w:pos="5760"/>
        </w:tabs>
        <w:ind w:left="5760" w:hanging="360"/>
      </w:pPr>
    </w:lvl>
    <w:lvl w:ilvl="8" w:tplc="40CC4374" w:tentative="1">
      <w:start w:val="1"/>
      <w:numFmt w:val="decimal"/>
      <w:lvlText w:val="%9."/>
      <w:lvlJc w:val="left"/>
      <w:pPr>
        <w:tabs>
          <w:tab w:val="num" w:pos="6480"/>
        </w:tabs>
        <w:ind w:left="6480" w:hanging="360"/>
      </w:pPr>
    </w:lvl>
  </w:abstractNum>
  <w:abstractNum w:abstractNumId="4" w15:restartNumberingAfterBreak="0">
    <w:nsid w:val="60920976"/>
    <w:multiLevelType w:val="hybridMultilevel"/>
    <w:tmpl w:val="563A7322"/>
    <w:lvl w:ilvl="0" w:tplc="5156BA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215BF"/>
    <w:multiLevelType w:val="hybridMultilevel"/>
    <w:tmpl w:val="10060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E7B60"/>
    <w:multiLevelType w:val="hybridMultilevel"/>
    <w:tmpl w:val="482C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13397"/>
    <w:rsid w:val="00026404"/>
    <w:rsid w:val="00036574"/>
    <w:rsid w:val="00050D75"/>
    <w:rsid w:val="00066FF0"/>
    <w:rsid w:val="00070A86"/>
    <w:rsid w:val="000935B7"/>
    <w:rsid w:val="00094116"/>
    <w:rsid w:val="000B44D3"/>
    <w:rsid w:val="000B6547"/>
    <w:rsid w:val="000E0F19"/>
    <w:rsid w:val="000E1533"/>
    <w:rsid w:val="000E153E"/>
    <w:rsid w:val="000E3279"/>
    <w:rsid w:val="000F1908"/>
    <w:rsid w:val="001026F8"/>
    <w:rsid w:val="00113112"/>
    <w:rsid w:val="00122949"/>
    <w:rsid w:val="00126241"/>
    <w:rsid w:val="00126766"/>
    <w:rsid w:val="0013058B"/>
    <w:rsid w:val="00134DE9"/>
    <w:rsid w:val="00160296"/>
    <w:rsid w:val="001948B1"/>
    <w:rsid w:val="001A6EF1"/>
    <w:rsid w:val="001B2110"/>
    <w:rsid w:val="001C38D3"/>
    <w:rsid w:val="001C792F"/>
    <w:rsid w:val="001D3F2D"/>
    <w:rsid w:val="001D7F94"/>
    <w:rsid w:val="00201440"/>
    <w:rsid w:val="002048F0"/>
    <w:rsid w:val="00215615"/>
    <w:rsid w:val="00216ECE"/>
    <w:rsid w:val="00222626"/>
    <w:rsid w:val="00227BBD"/>
    <w:rsid w:val="00233523"/>
    <w:rsid w:val="00240D0D"/>
    <w:rsid w:val="00244857"/>
    <w:rsid w:val="0026085B"/>
    <w:rsid w:val="002724D0"/>
    <w:rsid w:val="00275381"/>
    <w:rsid w:val="0027550D"/>
    <w:rsid w:val="00280A4F"/>
    <w:rsid w:val="00280F01"/>
    <w:rsid w:val="002B2A8B"/>
    <w:rsid w:val="002B43EA"/>
    <w:rsid w:val="002C0FD1"/>
    <w:rsid w:val="002C14F9"/>
    <w:rsid w:val="002E23B4"/>
    <w:rsid w:val="002E2DA0"/>
    <w:rsid w:val="00301E42"/>
    <w:rsid w:val="00317FCE"/>
    <w:rsid w:val="003220FC"/>
    <w:rsid w:val="003245EE"/>
    <w:rsid w:val="003267B9"/>
    <w:rsid w:val="00335191"/>
    <w:rsid w:val="00363FF7"/>
    <w:rsid w:val="003746FA"/>
    <w:rsid w:val="00375E4E"/>
    <w:rsid w:val="00381694"/>
    <w:rsid w:val="003A3859"/>
    <w:rsid w:val="003A5085"/>
    <w:rsid w:val="003B11BD"/>
    <w:rsid w:val="003C3F7E"/>
    <w:rsid w:val="003E7942"/>
    <w:rsid w:val="003F2600"/>
    <w:rsid w:val="003F7729"/>
    <w:rsid w:val="003F7B4B"/>
    <w:rsid w:val="00406F6F"/>
    <w:rsid w:val="00411EA9"/>
    <w:rsid w:val="004417C8"/>
    <w:rsid w:val="00443618"/>
    <w:rsid w:val="00452D71"/>
    <w:rsid w:val="004840A4"/>
    <w:rsid w:val="004942C1"/>
    <w:rsid w:val="004B585C"/>
    <w:rsid w:val="004B6034"/>
    <w:rsid w:val="004C773F"/>
    <w:rsid w:val="004D5641"/>
    <w:rsid w:val="004E1999"/>
    <w:rsid w:val="004E4FF2"/>
    <w:rsid w:val="004E7793"/>
    <w:rsid w:val="004E7CE6"/>
    <w:rsid w:val="00506879"/>
    <w:rsid w:val="005175F0"/>
    <w:rsid w:val="0052286D"/>
    <w:rsid w:val="005361DF"/>
    <w:rsid w:val="005506F8"/>
    <w:rsid w:val="0059633D"/>
    <w:rsid w:val="005C607E"/>
    <w:rsid w:val="005E6CC5"/>
    <w:rsid w:val="005F29AA"/>
    <w:rsid w:val="005F7A20"/>
    <w:rsid w:val="006019B1"/>
    <w:rsid w:val="00636F9C"/>
    <w:rsid w:val="00637222"/>
    <w:rsid w:val="0067537C"/>
    <w:rsid w:val="0068015F"/>
    <w:rsid w:val="006A3A26"/>
    <w:rsid w:val="006B0C0F"/>
    <w:rsid w:val="006B6E45"/>
    <w:rsid w:val="006E4922"/>
    <w:rsid w:val="006F4067"/>
    <w:rsid w:val="007004DB"/>
    <w:rsid w:val="007409DE"/>
    <w:rsid w:val="00746E2D"/>
    <w:rsid w:val="00773678"/>
    <w:rsid w:val="007A5600"/>
    <w:rsid w:val="007C5239"/>
    <w:rsid w:val="007E573C"/>
    <w:rsid w:val="008006E6"/>
    <w:rsid w:val="0084606E"/>
    <w:rsid w:val="008530AA"/>
    <w:rsid w:val="0085419A"/>
    <w:rsid w:val="0086481A"/>
    <w:rsid w:val="00871FC0"/>
    <w:rsid w:val="008745BB"/>
    <w:rsid w:val="008748C3"/>
    <w:rsid w:val="00884C51"/>
    <w:rsid w:val="00886B96"/>
    <w:rsid w:val="00892F75"/>
    <w:rsid w:val="008E35D6"/>
    <w:rsid w:val="00911F30"/>
    <w:rsid w:val="00933970"/>
    <w:rsid w:val="009448AE"/>
    <w:rsid w:val="00964AF2"/>
    <w:rsid w:val="00975461"/>
    <w:rsid w:val="009A350D"/>
    <w:rsid w:val="009A3B28"/>
    <w:rsid w:val="009A671D"/>
    <w:rsid w:val="009B1BAE"/>
    <w:rsid w:val="009E58EE"/>
    <w:rsid w:val="009F781A"/>
    <w:rsid w:val="009F7FB0"/>
    <w:rsid w:val="00A009C9"/>
    <w:rsid w:val="00A26F18"/>
    <w:rsid w:val="00A27048"/>
    <w:rsid w:val="00A45B0F"/>
    <w:rsid w:val="00A63F7F"/>
    <w:rsid w:val="00A7520A"/>
    <w:rsid w:val="00A90943"/>
    <w:rsid w:val="00AA1A39"/>
    <w:rsid w:val="00AA4D3F"/>
    <w:rsid w:val="00AA7CAC"/>
    <w:rsid w:val="00AB4115"/>
    <w:rsid w:val="00AB5717"/>
    <w:rsid w:val="00AC4DD2"/>
    <w:rsid w:val="00AD0205"/>
    <w:rsid w:val="00AD7B6E"/>
    <w:rsid w:val="00AE16FD"/>
    <w:rsid w:val="00AE7072"/>
    <w:rsid w:val="00AF0899"/>
    <w:rsid w:val="00AF1085"/>
    <w:rsid w:val="00B11A87"/>
    <w:rsid w:val="00B11B27"/>
    <w:rsid w:val="00B15651"/>
    <w:rsid w:val="00B2395F"/>
    <w:rsid w:val="00B35975"/>
    <w:rsid w:val="00B4201D"/>
    <w:rsid w:val="00B53DB9"/>
    <w:rsid w:val="00B60CD0"/>
    <w:rsid w:val="00B64F3F"/>
    <w:rsid w:val="00B708AB"/>
    <w:rsid w:val="00B70953"/>
    <w:rsid w:val="00B74830"/>
    <w:rsid w:val="00BA1346"/>
    <w:rsid w:val="00BA41E3"/>
    <w:rsid w:val="00BB2F7A"/>
    <w:rsid w:val="00BB6836"/>
    <w:rsid w:val="00BC52D3"/>
    <w:rsid w:val="00BD181F"/>
    <w:rsid w:val="00BE54F6"/>
    <w:rsid w:val="00BE79B6"/>
    <w:rsid w:val="00C057D8"/>
    <w:rsid w:val="00C07FCC"/>
    <w:rsid w:val="00C20188"/>
    <w:rsid w:val="00C21290"/>
    <w:rsid w:val="00C46DAE"/>
    <w:rsid w:val="00C52460"/>
    <w:rsid w:val="00C66A27"/>
    <w:rsid w:val="00C7114B"/>
    <w:rsid w:val="00C71CAF"/>
    <w:rsid w:val="00C74033"/>
    <w:rsid w:val="00C76A51"/>
    <w:rsid w:val="00C906A2"/>
    <w:rsid w:val="00C90C9E"/>
    <w:rsid w:val="00CD4130"/>
    <w:rsid w:val="00CF3A4D"/>
    <w:rsid w:val="00D05745"/>
    <w:rsid w:val="00D24F9E"/>
    <w:rsid w:val="00D37D21"/>
    <w:rsid w:val="00D5118E"/>
    <w:rsid w:val="00D5612E"/>
    <w:rsid w:val="00D72655"/>
    <w:rsid w:val="00D733CA"/>
    <w:rsid w:val="00D73B87"/>
    <w:rsid w:val="00D80EB0"/>
    <w:rsid w:val="00D815AC"/>
    <w:rsid w:val="00D90DC8"/>
    <w:rsid w:val="00D95553"/>
    <w:rsid w:val="00DA38DE"/>
    <w:rsid w:val="00DB66D8"/>
    <w:rsid w:val="00DD01C7"/>
    <w:rsid w:val="00DD7224"/>
    <w:rsid w:val="00DD7792"/>
    <w:rsid w:val="00DF0578"/>
    <w:rsid w:val="00E02637"/>
    <w:rsid w:val="00E04BC6"/>
    <w:rsid w:val="00E214D0"/>
    <w:rsid w:val="00E2202A"/>
    <w:rsid w:val="00E35C8B"/>
    <w:rsid w:val="00E45692"/>
    <w:rsid w:val="00E5630E"/>
    <w:rsid w:val="00E624CC"/>
    <w:rsid w:val="00E6504E"/>
    <w:rsid w:val="00E66B07"/>
    <w:rsid w:val="00E67F97"/>
    <w:rsid w:val="00E727A3"/>
    <w:rsid w:val="00EA52D3"/>
    <w:rsid w:val="00EC4154"/>
    <w:rsid w:val="00ED6B78"/>
    <w:rsid w:val="00EE1829"/>
    <w:rsid w:val="00EE747B"/>
    <w:rsid w:val="00EF7A20"/>
    <w:rsid w:val="00F0448A"/>
    <w:rsid w:val="00F04839"/>
    <w:rsid w:val="00F1300F"/>
    <w:rsid w:val="00F172BF"/>
    <w:rsid w:val="00F233CD"/>
    <w:rsid w:val="00F250E0"/>
    <w:rsid w:val="00F27112"/>
    <w:rsid w:val="00F2740C"/>
    <w:rsid w:val="00F32506"/>
    <w:rsid w:val="00F47561"/>
    <w:rsid w:val="00F50D45"/>
    <w:rsid w:val="00F569DE"/>
    <w:rsid w:val="00F65B65"/>
    <w:rsid w:val="00F7736D"/>
    <w:rsid w:val="00F805E4"/>
    <w:rsid w:val="00F86C93"/>
    <w:rsid w:val="00FA7D2C"/>
    <w:rsid w:val="00FB054E"/>
    <w:rsid w:val="00FB1E4E"/>
    <w:rsid w:val="00FC39BA"/>
    <w:rsid w:val="00FC4AF3"/>
    <w:rsid w:val="00FD45DE"/>
    <w:rsid w:val="00FD75C2"/>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9926"/>
  <w15:docId w15:val="{2330490C-3BEB-4E49-BBD6-7F752922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4">
    <w:name w:val="heading 4"/>
    <w:basedOn w:val="Normal"/>
    <w:next w:val="Normal"/>
    <w:link w:val="Heading4Char"/>
    <w:unhideWhenUsed/>
    <w:qFormat/>
    <w:rsid w:val="00E026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VBALessonTopicTitle">
    <w:name w:val="VBA Lesson Topic Title"/>
    <w:basedOn w:val="Heading1"/>
    <w:qFormat/>
    <w:rsid w:val="00E02637"/>
    <w:pPr>
      <w:spacing w:before="120" w:after="120"/>
      <w:textAlignment w:val="baseline"/>
    </w:pPr>
    <w:rPr>
      <w:color w:val="0070C0"/>
    </w:rPr>
  </w:style>
  <w:style w:type="character" w:customStyle="1" w:styleId="Heading4Char">
    <w:name w:val="Heading 4 Char"/>
    <w:basedOn w:val="DefaultParagraphFont"/>
    <w:link w:val="Heading4"/>
    <w:rsid w:val="00E02637"/>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E02637"/>
    <w:pPr>
      <w:ind w:left="720"/>
      <w:textAlignment w:val="baseline"/>
    </w:pPr>
  </w:style>
  <w:style w:type="paragraph" w:customStyle="1" w:styleId="VBATimeReq">
    <w:name w:val="VBA Time Req"/>
    <w:basedOn w:val="Normal"/>
    <w:qFormat/>
    <w:rsid w:val="00E02637"/>
    <w:pPr>
      <w:textAlignment w:val="baseline"/>
    </w:pPr>
    <w:rPr>
      <w:color w:val="0070C0"/>
    </w:rPr>
  </w:style>
  <w:style w:type="paragraph" w:customStyle="1" w:styleId="VBALevel3Heading">
    <w:name w:val="VBA Level 3 Heading"/>
    <w:basedOn w:val="Normal"/>
    <w:qFormat/>
    <w:rsid w:val="00E02637"/>
    <w:pPr>
      <w:textAlignment w:val="baseline"/>
    </w:pPr>
    <w:rPr>
      <w:i/>
      <w:color w:val="0070C0"/>
    </w:rPr>
  </w:style>
  <w:style w:type="character" w:styleId="Strong">
    <w:name w:val="Strong"/>
    <w:basedOn w:val="DefaultParagraphFont"/>
    <w:uiPriority w:val="22"/>
    <w:qFormat/>
    <w:rsid w:val="00E02637"/>
    <w:rPr>
      <w:b/>
      <w:bCs/>
    </w:rPr>
  </w:style>
  <w:style w:type="paragraph" w:styleId="BodyText">
    <w:name w:val="Body Text"/>
    <w:basedOn w:val="Normal"/>
    <w:link w:val="BodyTextChar"/>
    <w:semiHidden/>
    <w:rsid w:val="00363FF7"/>
    <w:pPr>
      <w:widowControl w:val="0"/>
      <w:spacing w:after="120"/>
      <w:textAlignment w:val="baseline"/>
    </w:pPr>
  </w:style>
  <w:style w:type="character" w:customStyle="1" w:styleId="BodyTextChar">
    <w:name w:val="Body Text Char"/>
    <w:basedOn w:val="DefaultParagraphFont"/>
    <w:link w:val="BodyText"/>
    <w:semiHidden/>
    <w:rsid w:val="00363FF7"/>
    <w:rPr>
      <w:rFonts w:eastAsia="Times New Roman"/>
      <w:sz w:val="24"/>
    </w:rPr>
  </w:style>
  <w:style w:type="paragraph" w:styleId="BlockText">
    <w:name w:val="Block Text"/>
    <w:basedOn w:val="Normal"/>
    <w:qFormat/>
    <w:rsid w:val="00275381"/>
    <w:pPr>
      <w:overflowPunct/>
      <w:autoSpaceDE/>
      <w:autoSpaceDN/>
      <w:adjustRightInd/>
      <w:spacing w:before="0"/>
    </w:pPr>
    <w:rPr>
      <w:color w:val="000000"/>
      <w:szCs w:val="24"/>
    </w:rPr>
  </w:style>
  <w:style w:type="paragraph" w:styleId="CommentSubject">
    <w:name w:val="annotation subject"/>
    <w:basedOn w:val="CommentText"/>
    <w:next w:val="CommentText"/>
    <w:link w:val="CommentSubjectChar"/>
    <w:uiPriority w:val="99"/>
    <w:semiHidden/>
    <w:unhideWhenUsed/>
    <w:rsid w:val="003E7942"/>
    <w:rPr>
      <w:b/>
      <w:bCs/>
      <w:sz w:val="20"/>
    </w:rPr>
  </w:style>
  <w:style w:type="character" w:customStyle="1" w:styleId="CommentTextChar1">
    <w:name w:val="Comment Text Char1"/>
    <w:basedOn w:val="DefaultParagraphFont"/>
    <w:link w:val="CommentText"/>
    <w:semiHidden/>
    <w:rsid w:val="003E7942"/>
    <w:rPr>
      <w:rFonts w:eastAsia="Times New Roman"/>
      <w:sz w:val="24"/>
    </w:rPr>
  </w:style>
  <w:style w:type="character" w:customStyle="1" w:styleId="CommentSubjectChar">
    <w:name w:val="Comment Subject Char"/>
    <w:basedOn w:val="CommentTextChar1"/>
    <w:link w:val="CommentSubject"/>
    <w:uiPriority w:val="99"/>
    <w:semiHidden/>
    <w:rsid w:val="003E7942"/>
    <w:rPr>
      <w:rFonts w:eastAsia="Times New Roman"/>
      <w:b/>
      <w:bCs/>
      <w:sz w:val="24"/>
    </w:rPr>
  </w:style>
  <w:style w:type="character" w:styleId="UnresolvedMention">
    <w:name w:val="Unresolved Mention"/>
    <w:basedOn w:val="DefaultParagraphFont"/>
    <w:uiPriority w:val="99"/>
    <w:semiHidden/>
    <w:unhideWhenUsed/>
    <w:rsid w:val="003F2600"/>
    <w:rPr>
      <w:color w:val="808080"/>
      <w:shd w:val="clear" w:color="auto" w:fill="E6E6E6"/>
    </w:rPr>
  </w:style>
  <w:style w:type="paragraph" w:styleId="Caption">
    <w:name w:val="caption"/>
    <w:basedOn w:val="Normal"/>
    <w:next w:val="Normal"/>
    <w:uiPriority w:val="35"/>
    <w:unhideWhenUsed/>
    <w:qFormat/>
    <w:rsid w:val="00B53DB9"/>
    <w:pPr>
      <w:spacing w:before="0" w:after="200"/>
    </w:pPr>
    <w:rPr>
      <w:i/>
      <w:iCs/>
      <w:color w:val="1F497D" w:themeColor="text2"/>
      <w:sz w:val="18"/>
      <w:szCs w:val="18"/>
    </w:rPr>
  </w:style>
  <w:style w:type="character" w:styleId="FollowedHyperlink">
    <w:name w:val="FollowedHyperlink"/>
    <w:basedOn w:val="DefaultParagraphFont"/>
    <w:uiPriority w:val="99"/>
    <w:semiHidden/>
    <w:unhideWhenUsed/>
    <w:rsid w:val="008748C3"/>
    <w:rPr>
      <w:color w:val="800080" w:themeColor="followedHyperlink"/>
      <w:u w:val="single"/>
    </w:rPr>
  </w:style>
  <w:style w:type="paragraph" w:styleId="Revision">
    <w:name w:val="Revision"/>
    <w:hidden/>
    <w:uiPriority w:val="99"/>
    <w:semiHidden/>
    <w:rsid w:val="00D95553"/>
    <w:rPr>
      <w:rFonts w:eastAsia="Times New Roman"/>
      <w:sz w:val="24"/>
    </w:rPr>
  </w:style>
  <w:style w:type="table" w:styleId="TableGrid">
    <w:name w:val="Table Grid"/>
    <w:basedOn w:val="TableNormal"/>
    <w:uiPriority w:val="59"/>
    <w:rsid w:val="0022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baw.vba.va.gov/bl/21/coron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RO317-532843564-10979</_dlc_DocId>
    <_dlc_DocIdUrl xmlns="b62c6c12-24c5-4d47-ac4d-c5cc93bcdf7b">
      <Url>https://vaww.vashare.vba.va.gov/sites/SPTNCIO/focusedveterans/training/VSRvirtualtraining/_layouts/15/DocIdRedir.aspx?ID=RO317-532843564-10979</Url>
      <Description>RO317-532843564-10979</Description>
    </_dlc_DocIdUrl>
  </documentManagement>
</p:properties>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CBAD5F0D-429B-418D-89C6-8C17D4A98FFF}">
  <ds:schemaRefs>
    <ds:schemaRef ds:uri="http://schemas.microsoft.com/sharepoint/events"/>
  </ds:schemaRefs>
</ds:datastoreItem>
</file>

<file path=customXml/itemProps3.xml><?xml version="1.0" encoding="utf-8"?>
<ds:datastoreItem xmlns:ds="http://schemas.openxmlformats.org/officeDocument/2006/customXml" ds:itemID="{BAD83C55-BADE-4DFB-ACC3-2AFC0680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FEA1C-4D18-43CE-9EAF-8CC3136FC529}">
  <ds:schemaRefs>
    <ds:schemaRef ds:uri="http://schemas.openxmlformats.org/officeDocument/2006/bibliography"/>
  </ds:schemaRefs>
</ds:datastoreItem>
</file>

<file path=customXml/itemProps5.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Template>
  <TotalTime>6</TotalTime>
  <Pages>9</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Accuracy of Disability Benefit Evaluations for Veterans' Service-Connected Heart Diseases Handout</vt:lpstr>
    </vt:vector>
  </TitlesOfParts>
  <Company>Veterans Benefits Administration</Company>
  <LinksUpToDate>false</LinksUpToDate>
  <CharactersWithSpaces>9133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of Disability Benefit Evaluations for Veterans' Service-Connected Heart Diseases Handout</dc:title>
  <dc:subject>RVSR, RQRS</dc:subject>
  <dc:creator>Department of Veterans Affairs, Veterans Benefits Administration, Compensation Service, STAFF</dc:creator>
  <cp:keywords/>
  <dc:description/>
  <cp:lastModifiedBy>Kathy Poole</cp:lastModifiedBy>
  <cp:revision>5</cp:revision>
  <dcterms:created xsi:type="dcterms:W3CDTF">2020-09-28T15:09:00Z</dcterms:created>
  <dcterms:modified xsi:type="dcterms:W3CDTF">2020-09-29T18:19:00Z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a164101e-6d82-4464-91a1-03eefc29f355</vt:lpwstr>
  </property>
  <property fmtid="{D5CDD505-2E9C-101B-9397-08002B2CF9AE}" pid="3" name="ContentTypeId">
    <vt:lpwstr>0x0101009F1CC5F55C510B4DB65A26F19BCB6ECF</vt:lpwstr>
  </property>
  <property fmtid="{D5CDD505-2E9C-101B-9397-08002B2CF9AE}" pid="4" name="Language">
    <vt:lpwstr>en</vt:lpwstr>
  </property>
  <property fmtid="{D5CDD505-2E9C-101B-9397-08002B2CF9AE}" pid="5" name="Type">
    <vt:lpwstr>Guide</vt:lpwstr>
  </property>
</Properties>
</file>