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3B736" w14:textId="6FF1AAD2" w:rsidR="00041195" w:rsidRPr="00B21AE7" w:rsidRDefault="00035622" w:rsidP="00041195">
      <w:pPr>
        <w:pStyle w:val="VBALessonPlanName"/>
        <w:rPr>
          <w:color w:val="auto"/>
        </w:rPr>
      </w:pPr>
      <w:bookmarkStart w:id="0" w:name="_Hlk46919040"/>
      <w:bookmarkStart w:id="1" w:name="_Toc276556863"/>
      <w:r w:rsidRPr="00035622">
        <w:rPr>
          <w:color w:val="auto"/>
        </w:rPr>
        <w:t>Rater Disability Evaluations and Pyramiding</w:t>
      </w:r>
      <w:r w:rsidR="00041195">
        <w:rPr>
          <w:color w:val="auto"/>
        </w:rPr>
        <w:t xml:space="preserve"> </w:t>
      </w:r>
      <w:r>
        <w:rPr>
          <w:color w:val="auto"/>
        </w:rPr>
        <w:t>(</w:t>
      </w:r>
      <w:r w:rsidR="00041195">
        <w:rPr>
          <w:color w:val="auto"/>
        </w:rPr>
        <w:t>Overview</w:t>
      </w:r>
      <w:r>
        <w:rPr>
          <w:color w:val="auto"/>
        </w:rPr>
        <w:t>)</w:t>
      </w:r>
    </w:p>
    <w:bookmarkEnd w:id="0"/>
    <w:p w14:paraId="468C7570" w14:textId="77777777" w:rsidR="007A5600" w:rsidRDefault="007A5600">
      <w:pPr>
        <w:pStyle w:val="VBALessonPlanTitle"/>
        <w:rPr>
          <w:color w:val="auto"/>
        </w:rPr>
      </w:pPr>
      <w:r>
        <w:rPr>
          <w:color w:val="auto"/>
        </w:rPr>
        <w:t>Trainee Handout</w:t>
      </w:r>
      <w:bookmarkEnd w:id="1"/>
    </w:p>
    <w:p w14:paraId="468C7571" w14:textId="77777777" w:rsidR="007A5600" w:rsidRDefault="007A5600">
      <w:pPr>
        <w:pStyle w:val="VBATopicHeading1"/>
      </w:pPr>
      <w:bookmarkStart w:id="2" w:name="_Toc276556864"/>
    </w:p>
    <w:p w14:paraId="468C7572" w14:textId="77777777" w:rsidR="007A5600" w:rsidRDefault="007A5600">
      <w:pPr>
        <w:jc w:val="center"/>
        <w:textAlignment w:val="baseline"/>
        <w:rPr>
          <w:rFonts w:ascii="Times New Roman Bold" w:hAnsi="Times New Roman Bold"/>
          <w:b/>
          <w:sz w:val="28"/>
          <w:szCs w:val="28"/>
        </w:rPr>
      </w:pPr>
      <w:r>
        <w:rPr>
          <w:rFonts w:ascii="Times New Roman Bold" w:hAnsi="Times New Roman Bold"/>
          <w:b/>
          <w:sz w:val="28"/>
          <w:szCs w:val="28"/>
        </w:rPr>
        <w:t>Table of Contents</w:t>
      </w:r>
      <w:bookmarkEnd w:id="2"/>
    </w:p>
    <w:p w14:paraId="1B64F589" w14:textId="77777777" w:rsidR="00041195" w:rsidRPr="005871CC" w:rsidRDefault="00041195" w:rsidP="00041195">
      <w:pPr>
        <w:textAlignment w:val="baseline"/>
      </w:pPr>
    </w:p>
    <w:p w14:paraId="0B2C5127" w14:textId="28C7ACF2" w:rsidR="00041195" w:rsidRDefault="00041195" w:rsidP="00041195">
      <w:pPr>
        <w:tabs>
          <w:tab w:val="right" w:leader="dot" w:pos="9350"/>
        </w:tabs>
        <w:overflowPunct/>
        <w:autoSpaceDE/>
        <w:autoSpaceDN/>
        <w:adjustRightInd/>
        <w:spacing w:after="120" w:line="276" w:lineRule="auto"/>
        <w:jc w:val="center"/>
        <w:rPr>
          <w:noProof/>
          <w:szCs w:val="22"/>
        </w:rPr>
      </w:pPr>
      <w:r w:rsidRPr="005871CC">
        <w:rPr>
          <w:noProof/>
          <w:szCs w:val="24"/>
        </w:rPr>
        <w:fldChar w:fldCharType="begin"/>
      </w:r>
      <w:r w:rsidRPr="005871CC">
        <w:rPr>
          <w:noProof/>
          <w:szCs w:val="24"/>
        </w:rPr>
        <w:instrText xml:space="preserve"> TOC \o "1-1" \h \z \u </w:instrText>
      </w:r>
      <w:r w:rsidRPr="005871CC">
        <w:rPr>
          <w:noProof/>
          <w:szCs w:val="24"/>
        </w:rPr>
        <w:fldChar w:fldCharType="separate"/>
      </w:r>
      <w:hyperlink w:anchor="Ob1" w:history="1">
        <w:r w:rsidRPr="005871CC">
          <w:rPr>
            <w:noProof/>
            <w:szCs w:val="22"/>
          </w:rPr>
          <w:t xml:space="preserve">Lesson </w:t>
        </w:r>
        <w:r>
          <w:rPr>
            <w:noProof/>
            <w:szCs w:val="22"/>
          </w:rPr>
          <w:t>Objectives</w:t>
        </w:r>
        <w:r w:rsidRPr="005871CC">
          <w:rPr>
            <w:noProof/>
            <w:webHidden/>
            <w:szCs w:val="22"/>
          </w:rPr>
          <w:tab/>
        </w:r>
        <w:r w:rsidRPr="005871CC">
          <w:rPr>
            <w:noProof/>
            <w:webHidden/>
            <w:szCs w:val="22"/>
          </w:rPr>
          <w:fldChar w:fldCharType="begin"/>
        </w:r>
        <w:r w:rsidRPr="005871CC">
          <w:rPr>
            <w:noProof/>
            <w:webHidden/>
            <w:szCs w:val="22"/>
          </w:rPr>
          <w:instrText xml:space="preserve"> PAGEREF _Toc44079380 \h </w:instrText>
        </w:r>
        <w:r w:rsidRPr="005871CC">
          <w:rPr>
            <w:noProof/>
            <w:webHidden/>
            <w:szCs w:val="22"/>
          </w:rPr>
        </w:r>
        <w:r w:rsidRPr="005871CC">
          <w:rPr>
            <w:noProof/>
            <w:webHidden/>
            <w:szCs w:val="22"/>
          </w:rPr>
          <w:fldChar w:fldCharType="separate"/>
        </w:r>
        <w:r w:rsidRPr="005871CC">
          <w:rPr>
            <w:noProof/>
            <w:webHidden/>
            <w:szCs w:val="22"/>
          </w:rPr>
          <w:t>2</w:t>
        </w:r>
        <w:r w:rsidRPr="005871CC">
          <w:rPr>
            <w:noProof/>
            <w:webHidden/>
            <w:szCs w:val="22"/>
          </w:rPr>
          <w:fldChar w:fldCharType="end"/>
        </w:r>
      </w:hyperlink>
    </w:p>
    <w:p w14:paraId="3E320A7A" w14:textId="7A09175E" w:rsidR="00041195" w:rsidRPr="005871CC" w:rsidRDefault="00F20A79" w:rsidP="00041195">
      <w:pPr>
        <w:tabs>
          <w:tab w:val="right" w:leader="dot" w:pos="9350"/>
        </w:tabs>
        <w:overflowPunct/>
        <w:autoSpaceDE/>
        <w:autoSpaceDN/>
        <w:adjustRightInd/>
        <w:spacing w:after="120" w:line="276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RF1" w:history="1">
        <w:r w:rsidR="00041195" w:rsidRPr="00CB1B8A">
          <w:rPr>
            <w:rStyle w:val="Hyperlink"/>
            <w:noProof/>
            <w:szCs w:val="22"/>
          </w:rPr>
          <w:t>Reference</w:t>
        </w:r>
        <w:r w:rsidR="00937686" w:rsidRPr="00CB1B8A">
          <w:rPr>
            <w:rStyle w:val="Hyperlink"/>
            <w:noProof/>
            <w:szCs w:val="22"/>
          </w:rPr>
          <w:t>s</w:t>
        </w:r>
      </w:hyperlink>
      <w:r w:rsidR="00041195">
        <w:rPr>
          <w:noProof/>
          <w:szCs w:val="22"/>
        </w:rPr>
        <w:tab/>
        <w:t>3</w:t>
      </w:r>
    </w:p>
    <w:p w14:paraId="20C8C4D6" w14:textId="67CD1380" w:rsidR="00041195" w:rsidRPr="005871CC" w:rsidRDefault="00F20A79" w:rsidP="00041195">
      <w:pPr>
        <w:tabs>
          <w:tab w:val="right" w:leader="dot" w:pos="9350"/>
        </w:tabs>
        <w:overflowPunct/>
        <w:autoSpaceDE/>
        <w:autoSpaceDN/>
        <w:adjustRightInd/>
        <w:spacing w:after="120" w:line="276" w:lineRule="auto"/>
        <w:jc w:val="center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TP1" w:history="1">
        <w:r w:rsidR="00041195" w:rsidRPr="005871CC">
          <w:rPr>
            <w:noProof/>
            <w:szCs w:val="22"/>
          </w:rPr>
          <w:t xml:space="preserve">Topic 1: </w:t>
        </w:r>
        <w:r w:rsidR="00041195" w:rsidRPr="00102D04">
          <w:rPr>
            <w:noProof/>
            <w:szCs w:val="22"/>
          </w:rPr>
          <w:t>Pyramiding</w:t>
        </w:r>
        <w:r w:rsidR="00CB1B8A">
          <w:rPr>
            <w:noProof/>
            <w:szCs w:val="22"/>
          </w:rPr>
          <w:t xml:space="preserve"> </w:t>
        </w:r>
        <w:r w:rsidR="00041195" w:rsidRPr="005871CC">
          <w:rPr>
            <w:noProof/>
            <w:webHidden/>
            <w:szCs w:val="22"/>
          </w:rPr>
          <w:tab/>
        </w:r>
        <w:r w:rsidR="00041195">
          <w:rPr>
            <w:noProof/>
            <w:webHidden/>
            <w:szCs w:val="22"/>
          </w:rPr>
          <w:t>4</w:t>
        </w:r>
      </w:hyperlink>
    </w:p>
    <w:p w14:paraId="51340967" w14:textId="3CFB767A" w:rsidR="00041195" w:rsidRPr="005871CC" w:rsidRDefault="00F20A79" w:rsidP="00041195">
      <w:pPr>
        <w:tabs>
          <w:tab w:val="right" w:leader="dot" w:pos="9350"/>
        </w:tabs>
        <w:overflowPunct/>
        <w:autoSpaceDE/>
        <w:autoSpaceDN/>
        <w:adjustRightInd/>
        <w:spacing w:after="120" w:line="276" w:lineRule="auto"/>
        <w:jc w:val="center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TP2" w:history="1">
        <w:r w:rsidR="00041195" w:rsidRPr="005871CC">
          <w:rPr>
            <w:noProof/>
            <w:szCs w:val="22"/>
          </w:rPr>
          <w:t>Topic 2:</w:t>
        </w:r>
        <w:r w:rsidR="00041195">
          <w:rPr>
            <w:noProof/>
            <w:szCs w:val="22"/>
          </w:rPr>
          <w:t xml:space="preserve"> Re</w:t>
        </w:r>
        <w:r w:rsidR="00F626BA">
          <w:rPr>
            <w:noProof/>
            <w:szCs w:val="22"/>
          </w:rPr>
          <w:t xml:space="preserve">view of VBMS-R </w:t>
        </w:r>
        <w:r w:rsidR="00041195">
          <w:rPr>
            <w:noProof/>
            <w:szCs w:val="22"/>
          </w:rPr>
          <w:t>Conflicts Tab</w:t>
        </w:r>
        <w:r w:rsidR="00041195" w:rsidRPr="005871CC">
          <w:rPr>
            <w:noProof/>
            <w:webHidden/>
            <w:szCs w:val="22"/>
          </w:rPr>
          <w:tab/>
        </w:r>
        <w:r w:rsidR="00EC5432">
          <w:rPr>
            <w:noProof/>
            <w:webHidden/>
            <w:szCs w:val="22"/>
          </w:rPr>
          <w:t>9</w:t>
        </w:r>
      </w:hyperlink>
    </w:p>
    <w:p w14:paraId="54598F15" w14:textId="351F605D" w:rsidR="00041195" w:rsidRDefault="00F20A79" w:rsidP="00041195">
      <w:pPr>
        <w:tabs>
          <w:tab w:val="right" w:leader="dot" w:pos="9350"/>
        </w:tabs>
        <w:overflowPunct/>
        <w:autoSpaceDE/>
        <w:autoSpaceDN/>
        <w:adjustRightInd/>
        <w:spacing w:after="120" w:line="276" w:lineRule="auto"/>
        <w:jc w:val="center"/>
        <w:rPr>
          <w:noProof/>
          <w:szCs w:val="22"/>
        </w:rPr>
      </w:pPr>
      <w:hyperlink w:anchor="PE" w:history="1">
        <w:r w:rsidR="00041195" w:rsidRPr="005871CC">
          <w:rPr>
            <w:noProof/>
            <w:szCs w:val="22"/>
          </w:rPr>
          <w:t>Practical Exercise</w:t>
        </w:r>
        <w:r w:rsidR="00041195" w:rsidRPr="005871CC">
          <w:rPr>
            <w:noProof/>
            <w:webHidden/>
            <w:szCs w:val="22"/>
          </w:rPr>
          <w:tab/>
        </w:r>
        <w:r w:rsidR="00EC5432">
          <w:rPr>
            <w:noProof/>
            <w:webHidden/>
            <w:szCs w:val="22"/>
          </w:rPr>
          <w:t>11</w:t>
        </w:r>
      </w:hyperlink>
    </w:p>
    <w:p w14:paraId="0FC0ABE0" w14:textId="1B878FC9" w:rsidR="005F1257" w:rsidRPr="005871CC" w:rsidRDefault="005F1257" w:rsidP="005F1257">
      <w:pPr>
        <w:pStyle w:val="TOC1"/>
        <w:rPr>
          <w:rFonts w:eastAsiaTheme="minorEastAsia"/>
        </w:rPr>
      </w:pPr>
      <w:r>
        <w:rPr>
          <w:rFonts w:eastAsiaTheme="minorEastAsia"/>
        </w:rPr>
        <w:t>Rater Disability Evaluations and Pyramiding Assessment TMS ID # 3946990</w:t>
      </w:r>
      <w:r>
        <w:rPr>
          <w:rFonts w:eastAsiaTheme="minorEastAsia"/>
        </w:rPr>
        <w:tab/>
        <w:t>14</w:t>
      </w:r>
    </w:p>
    <w:p w14:paraId="0AD2EA3B" w14:textId="2EDCB9EB" w:rsidR="00041195" w:rsidRDefault="00041195" w:rsidP="00041195">
      <w:pPr>
        <w:tabs>
          <w:tab w:val="right" w:leader="dot" w:pos="9350"/>
        </w:tabs>
        <w:overflowPunct/>
        <w:autoSpaceDE/>
        <w:autoSpaceDN/>
        <w:adjustRightInd/>
        <w:spacing w:after="120" w:line="276" w:lineRule="auto"/>
        <w:jc w:val="center"/>
        <w:rPr>
          <w:noProof/>
          <w:szCs w:val="22"/>
        </w:rPr>
      </w:pPr>
    </w:p>
    <w:p w14:paraId="5870857E" w14:textId="77777777" w:rsidR="00041195" w:rsidRDefault="00041195" w:rsidP="00041195">
      <w:pPr>
        <w:overflowPunct/>
        <w:autoSpaceDE/>
        <w:autoSpaceDN/>
        <w:adjustRightInd/>
        <w:spacing w:before="0"/>
        <w:rPr>
          <w:noProof/>
          <w:szCs w:val="22"/>
        </w:rPr>
      </w:pPr>
      <w:r>
        <w:rPr>
          <w:noProof/>
          <w:szCs w:val="22"/>
        </w:rPr>
        <w:br w:type="page"/>
      </w:r>
    </w:p>
    <w:p w14:paraId="468C7586" w14:textId="4B0CF35C" w:rsidR="007A5600" w:rsidRDefault="00041195" w:rsidP="00CB1B8A">
      <w:pPr>
        <w:pStyle w:val="VBATopicHeading1"/>
      </w:pPr>
      <w:r w:rsidRPr="005871CC">
        <w:rPr>
          <w:bCs/>
          <w:szCs w:val="24"/>
        </w:rPr>
        <w:lastRenderedPageBreak/>
        <w:fldChar w:fldCharType="end"/>
      </w:r>
      <w:bookmarkStart w:id="3" w:name="Ob1"/>
      <w:bookmarkStart w:id="4" w:name="_Toc436922582"/>
      <w:bookmarkStart w:id="5" w:name="_Toc269888405"/>
      <w:bookmarkStart w:id="6" w:name="_Toc269888748"/>
      <w:bookmarkStart w:id="7" w:name="_Toc278291133"/>
      <w:bookmarkEnd w:id="3"/>
      <w:r w:rsidR="007A5600">
        <w:t>Objectives</w:t>
      </w:r>
      <w:bookmarkEnd w:id="4"/>
    </w:p>
    <w:p w14:paraId="5749D99F" w14:textId="69CA9FF4" w:rsidR="00041195" w:rsidRPr="005871CC" w:rsidRDefault="00041195" w:rsidP="00041195">
      <w:pPr>
        <w:spacing w:after="240"/>
        <w:textAlignment w:val="baseline"/>
      </w:pPr>
      <w:r w:rsidRPr="005871CC">
        <w:t>In order to accomplish the purpose of this lesson, the RVSR, DRO</w:t>
      </w:r>
      <w:r>
        <w:t>, or RQRS</w:t>
      </w:r>
      <w:r w:rsidRPr="005871CC">
        <w:t xml:space="preserve"> will be required to accomplish the following lesson objectives.</w:t>
      </w:r>
      <w:r>
        <w:t xml:space="preserve"> </w:t>
      </w:r>
      <w:r w:rsidRPr="005871CC">
        <w:t>The</w:t>
      </w:r>
      <w:r w:rsidRPr="005871CC">
        <w:rPr>
          <w:b/>
        </w:rPr>
        <w:t xml:space="preserve"> </w:t>
      </w:r>
      <w:r w:rsidRPr="005871CC">
        <w:t>RVSR, DRO</w:t>
      </w:r>
      <w:r>
        <w:t>, or RQRS</w:t>
      </w:r>
      <w:r w:rsidRPr="005871CC">
        <w:t xml:space="preserve"> will be able to:  </w:t>
      </w:r>
    </w:p>
    <w:p w14:paraId="6B73907B" w14:textId="77777777" w:rsidR="007125CB" w:rsidRDefault="007125CB" w:rsidP="007125CB">
      <w:pPr>
        <w:pStyle w:val="ListParagraph"/>
        <w:numPr>
          <w:ilvl w:val="0"/>
          <w:numId w:val="45"/>
        </w:numPr>
        <w:spacing w:before="0"/>
        <w:ind w:left="360" w:hanging="90"/>
        <w:textAlignment w:val="baseline"/>
      </w:pPr>
      <w:r w:rsidRPr="007125CB">
        <w:t>Define pyramiding</w:t>
      </w:r>
    </w:p>
    <w:p w14:paraId="7182354B" w14:textId="77777777" w:rsidR="007125CB" w:rsidRDefault="007125CB" w:rsidP="007125CB">
      <w:pPr>
        <w:pStyle w:val="ListParagraph"/>
        <w:numPr>
          <w:ilvl w:val="0"/>
          <w:numId w:val="45"/>
        </w:numPr>
        <w:spacing w:before="0"/>
        <w:ind w:left="360" w:hanging="90"/>
        <w:textAlignment w:val="baseline"/>
      </w:pPr>
      <w:r w:rsidRPr="007125CB">
        <w:t>Identify the prohibition against pyramiding</w:t>
      </w:r>
    </w:p>
    <w:p w14:paraId="52A55508" w14:textId="32E915A9" w:rsidR="007125CB" w:rsidRPr="007125CB" w:rsidRDefault="007125CB" w:rsidP="007125CB">
      <w:pPr>
        <w:pStyle w:val="ListParagraph"/>
        <w:numPr>
          <w:ilvl w:val="0"/>
          <w:numId w:val="45"/>
        </w:numPr>
        <w:spacing w:before="0"/>
        <w:ind w:hanging="450"/>
        <w:textAlignment w:val="baseline"/>
        <w:rPr>
          <w:b/>
          <w:smallCaps/>
        </w:rPr>
      </w:pPr>
      <w:r w:rsidRPr="007125CB">
        <w:t>Recognize specific pyramiding principles and how they are applicable to each of the bod</w:t>
      </w:r>
      <w:r>
        <w:t xml:space="preserve">y systems </w:t>
      </w:r>
      <w:r w:rsidRPr="007125CB">
        <w:t xml:space="preserve"> </w:t>
      </w:r>
    </w:p>
    <w:p w14:paraId="468C7587" w14:textId="5A4E0127" w:rsidR="000E3279" w:rsidRPr="007125CB" w:rsidRDefault="007125CB" w:rsidP="007125CB">
      <w:pPr>
        <w:pStyle w:val="ListParagraph"/>
        <w:numPr>
          <w:ilvl w:val="0"/>
          <w:numId w:val="45"/>
        </w:numPr>
        <w:spacing w:before="0"/>
        <w:ind w:left="360" w:hanging="90"/>
        <w:textAlignment w:val="baseline"/>
        <w:rPr>
          <w:b/>
          <w:smallCaps/>
        </w:rPr>
      </w:pPr>
      <w:r w:rsidRPr="007125CB">
        <w:t xml:space="preserve">Discuss how the </w:t>
      </w:r>
      <w:r w:rsidR="000F4BD3" w:rsidRPr="006D443F">
        <w:rPr>
          <w:b/>
          <w:bCs/>
        </w:rPr>
        <w:t>C</w:t>
      </w:r>
      <w:r w:rsidRPr="006D443F">
        <w:rPr>
          <w:b/>
          <w:bCs/>
        </w:rPr>
        <w:t>onflicts tab</w:t>
      </w:r>
      <w:r w:rsidRPr="006D443F">
        <w:t xml:space="preserve"> </w:t>
      </w:r>
      <w:r w:rsidRPr="007125CB">
        <w:t>in VBMS R assists with preventing Pyramiding</w:t>
      </w:r>
    </w:p>
    <w:p w14:paraId="468C7588" w14:textId="68F2159B" w:rsidR="007A5600" w:rsidRDefault="007A5600" w:rsidP="000E3279">
      <w:pPr>
        <w:pStyle w:val="VBATopicHeading1"/>
      </w:pPr>
      <w:r>
        <w:br w:type="page"/>
      </w:r>
    </w:p>
    <w:p w14:paraId="402781B6" w14:textId="77777777" w:rsidR="00937686" w:rsidRDefault="00937686" w:rsidP="00937686">
      <w:pPr>
        <w:pStyle w:val="VBATopicHeading1"/>
      </w:pPr>
      <w:bookmarkStart w:id="8" w:name="RF1"/>
      <w:bookmarkStart w:id="9" w:name="_Toc457647069"/>
      <w:bookmarkEnd w:id="5"/>
      <w:bookmarkEnd w:id="6"/>
      <w:bookmarkEnd w:id="7"/>
      <w:bookmarkEnd w:id="8"/>
      <w:r>
        <w:lastRenderedPageBreak/>
        <w:t>References</w:t>
      </w:r>
      <w:bookmarkEnd w:id="9"/>
    </w:p>
    <w:p w14:paraId="46A805A6" w14:textId="4CE73730" w:rsidR="00937686" w:rsidRDefault="00937686" w:rsidP="00937686">
      <w:pPr>
        <w:spacing w:before="0"/>
        <w:textAlignment w:val="baseline"/>
        <w:rPr>
          <w:noProof/>
        </w:rPr>
      </w:pPr>
      <w:r w:rsidRPr="00CF0F66">
        <w:rPr>
          <w:noProof/>
        </w:rPr>
        <w:t xml:space="preserve">All M21-1 references are found in the </w:t>
      </w:r>
      <w:hyperlink r:id="rId12" w:history="1">
        <w:r w:rsidR="00CD3997" w:rsidRPr="00CD3997">
          <w:rPr>
            <w:noProof/>
            <w:color w:val="0000FF"/>
            <w:u w:val="single"/>
          </w:rPr>
          <w:t>Adjudication Procedures Manual</w:t>
        </w:r>
      </w:hyperlink>
      <w:r w:rsidRPr="00CF0F66">
        <w:rPr>
          <w:noProof/>
        </w:rPr>
        <w:t>.</w:t>
      </w:r>
    </w:p>
    <w:p w14:paraId="36ED85AD" w14:textId="77777777" w:rsidR="00937686" w:rsidRPr="00CF0F66" w:rsidRDefault="00937686" w:rsidP="00937686">
      <w:pPr>
        <w:spacing w:before="0"/>
        <w:textAlignment w:val="baseline"/>
        <w:rPr>
          <w:b/>
          <w:noProof/>
        </w:rPr>
      </w:pPr>
    </w:p>
    <w:p w14:paraId="512E058E" w14:textId="77777777" w:rsidR="00937686" w:rsidRPr="00197BB9" w:rsidRDefault="00937686" w:rsidP="00937686">
      <w:pPr>
        <w:pStyle w:val="VBAFirstLevelBullet"/>
        <w:numPr>
          <w:ilvl w:val="0"/>
          <w:numId w:val="18"/>
        </w:numPr>
        <w:rPr>
          <w:rStyle w:val="Hyperlink"/>
        </w:rPr>
      </w:pPr>
      <w:r>
        <w:fldChar w:fldCharType="begin"/>
      </w:r>
      <w:r>
        <w:instrText xml:space="preserve"> HYPERLINK "https://www.ecfr.gov/cgi-bin/text-idx?SID=ad275643432556b9dda942343fb89296&amp;mc=true&amp;node=pt38.1.4&amp;rgn=div5" \l "se38.1.4_114" </w:instrText>
      </w:r>
      <w:r>
        <w:fldChar w:fldCharType="separate"/>
      </w:r>
      <w:r w:rsidRPr="00197BB9">
        <w:rPr>
          <w:rStyle w:val="Hyperlink"/>
        </w:rPr>
        <w:t>38 CFR 4.14, Avoidance of Pyramiding</w:t>
      </w:r>
    </w:p>
    <w:p w14:paraId="6D97EBE7" w14:textId="77777777" w:rsidR="00937686" w:rsidRPr="008844FC" w:rsidRDefault="00937686" w:rsidP="00937686">
      <w:pPr>
        <w:pStyle w:val="VBAFirstLevelBullet"/>
        <w:numPr>
          <w:ilvl w:val="0"/>
          <w:numId w:val="18"/>
        </w:numPr>
      </w:pPr>
      <w:r>
        <w:fldChar w:fldCharType="end"/>
      </w:r>
      <w:hyperlink r:id="rId13" w:history="1">
        <w:r w:rsidRPr="008844FC">
          <w:rPr>
            <w:rStyle w:val="Hyperlink"/>
          </w:rPr>
          <w:t>38 CFR 4.55, Principles of Combined Ratings for Muscle Injuries</w:t>
        </w:r>
      </w:hyperlink>
    </w:p>
    <w:p w14:paraId="7841FC85" w14:textId="77777777" w:rsidR="00937686" w:rsidRDefault="00F20A79" w:rsidP="00937686">
      <w:pPr>
        <w:pStyle w:val="VBAFirstLevelBullet"/>
        <w:numPr>
          <w:ilvl w:val="0"/>
          <w:numId w:val="18"/>
        </w:numPr>
      </w:pPr>
      <w:hyperlink r:id="rId14" w:anchor="se38.1.4_156" w:history="1">
        <w:r w:rsidR="00937686" w:rsidRPr="008844FC">
          <w:rPr>
            <w:rStyle w:val="Hyperlink"/>
          </w:rPr>
          <w:t>38 CFR 4.56, Evaluation of Muscle Disabilities</w:t>
        </w:r>
      </w:hyperlink>
    </w:p>
    <w:p w14:paraId="1681610C" w14:textId="77777777" w:rsidR="00937686" w:rsidRPr="005871CC" w:rsidRDefault="00F20A79" w:rsidP="00937686">
      <w:pPr>
        <w:pStyle w:val="VBAFirstLevelBullet"/>
        <w:numPr>
          <w:ilvl w:val="0"/>
          <w:numId w:val="18"/>
        </w:numPr>
        <w:rPr>
          <w:rStyle w:val="Hyperlink"/>
          <w:color w:val="auto"/>
          <w:u w:val="none"/>
        </w:rPr>
      </w:pPr>
      <w:hyperlink r:id="rId15" w:anchor="se38.1.4_173" w:history="1">
        <w:r w:rsidR="00937686" w:rsidRPr="008844FC">
          <w:rPr>
            <w:rStyle w:val="Hyperlink"/>
          </w:rPr>
          <w:t>38 CFR 4.73, Schedule of Ratings-Muscle Injuries</w:t>
        </w:r>
      </w:hyperlink>
    </w:p>
    <w:p w14:paraId="7C74BE08" w14:textId="77777777" w:rsidR="00937686" w:rsidRPr="008844FC" w:rsidRDefault="00F20A79" w:rsidP="00937686">
      <w:pPr>
        <w:pStyle w:val="VBAFirstLevelBullet"/>
        <w:numPr>
          <w:ilvl w:val="0"/>
          <w:numId w:val="18"/>
        </w:numPr>
      </w:pPr>
      <w:hyperlink r:id="rId16" w:history="1">
        <w:r w:rsidR="00937686" w:rsidRPr="008844FC">
          <w:rPr>
            <w:rStyle w:val="Hyperlink"/>
          </w:rPr>
          <w:t>38 CFR 4.96, Special Provisions Regarding Evaluation of Respiratory Conditions</w:t>
        </w:r>
      </w:hyperlink>
    </w:p>
    <w:p w14:paraId="25AB2D59" w14:textId="77777777" w:rsidR="00937686" w:rsidRPr="008844FC" w:rsidRDefault="00F20A79" w:rsidP="00937686">
      <w:pPr>
        <w:pStyle w:val="VBAFirstLevelBullet"/>
        <w:numPr>
          <w:ilvl w:val="0"/>
          <w:numId w:val="18"/>
        </w:numPr>
      </w:pPr>
      <w:hyperlink r:id="rId17" w:history="1">
        <w:r w:rsidR="00937686" w:rsidRPr="008844FC">
          <w:rPr>
            <w:rStyle w:val="Hyperlink"/>
          </w:rPr>
          <w:t>38 CFR 4.115, Nephritis</w:t>
        </w:r>
      </w:hyperlink>
    </w:p>
    <w:p w14:paraId="32F76D4D" w14:textId="77777777" w:rsidR="00937686" w:rsidRPr="008844FC" w:rsidRDefault="00F20A79" w:rsidP="00937686">
      <w:pPr>
        <w:pStyle w:val="VBAFirstLevelBullet"/>
        <w:numPr>
          <w:ilvl w:val="0"/>
          <w:numId w:val="18"/>
        </w:numPr>
      </w:pPr>
      <w:hyperlink r:id="rId18" w:history="1">
        <w:r w:rsidR="00937686" w:rsidRPr="008844FC">
          <w:rPr>
            <w:rStyle w:val="Hyperlink"/>
          </w:rPr>
          <w:t xml:space="preserve">38 </w:t>
        </w:r>
      </w:hyperlink>
      <w:hyperlink r:id="rId19" w:history="1">
        <w:r w:rsidR="00937686" w:rsidRPr="008844FC">
          <w:rPr>
            <w:rStyle w:val="Hyperlink"/>
          </w:rPr>
          <w:t>CFR 4.114, Schedule of Ratings – Digestive System</w:t>
        </w:r>
      </w:hyperlink>
    </w:p>
    <w:p w14:paraId="5928DEC4" w14:textId="77777777" w:rsidR="00937686" w:rsidRPr="008844FC" w:rsidRDefault="00F20A79" w:rsidP="00937686">
      <w:pPr>
        <w:pStyle w:val="VBAFirstLevelBullet"/>
        <w:numPr>
          <w:ilvl w:val="0"/>
          <w:numId w:val="18"/>
        </w:numPr>
      </w:pPr>
      <w:hyperlink r:id="rId20" w:history="1">
        <w:r w:rsidR="00937686" w:rsidRPr="008844FC">
          <w:rPr>
            <w:rStyle w:val="Hyperlink"/>
          </w:rPr>
          <w:t>38 CFR 3.310(d), Traumatic Brain Injury</w:t>
        </w:r>
      </w:hyperlink>
    </w:p>
    <w:p w14:paraId="0FF6DD19" w14:textId="77777777" w:rsidR="00937686" w:rsidRPr="008844FC" w:rsidRDefault="00F20A79" w:rsidP="00937686">
      <w:pPr>
        <w:pStyle w:val="VBAFirstLevelBullet"/>
        <w:numPr>
          <w:ilvl w:val="0"/>
          <w:numId w:val="18"/>
        </w:numPr>
      </w:pPr>
      <w:hyperlink r:id="rId21" w:history="1">
        <w:r w:rsidR="00937686" w:rsidRPr="008844FC">
          <w:rPr>
            <w:rStyle w:val="Hyperlink"/>
          </w:rPr>
          <w:t xml:space="preserve">38 CFR 4.126, Evaluation of </w:t>
        </w:r>
      </w:hyperlink>
      <w:hyperlink r:id="rId22" w:history="1">
        <w:r w:rsidR="00937686" w:rsidRPr="008844FC">
          <w:rPr>
            <w:rStyle w:val="Hyperlink"/>
          </w:rPr>
          <w:t xml:space="preserve">Disability from </w:t>
        </w:r>
      </w:hyperlink>
      <w:hyperlink r:id="rId23" w:history="1">
        <w:r w:rsidR="00937686" w:rsidRPr="008844FC">
          <w:rPr>
            <w:rStyle w:val="Hyperlink"/>
          </w:rPr>
          <w:t>Mental Disorders</w:t>
        </w:r>
      </w:hyperlink>
    </w:p>
    <w:p w14:paraId="0C8CBE09" w14:textId="77777777" w:rsidR="00937686" w:rsidRPr="008844FC" w:rsidRDefault="00F20A79" w:rsidP="00937686">
      <w:pPr>
        <w:pStyle w:val="VBAFirstLevelBullet"/>
        <w:numPr>
          <w:ilvl w:val="0"/>
          <w:numId w:val="18"/>
        </w:numPr>
      </w:pPr>
      <w:hyperlink r:id="rId24" w:history="1">
        <w:r w:rsidR="00937686" w:rsidRPr="008844FC">
          <w:rPr>
            <w:rStyle w:val="Hyperlink"/>
          </w:rPr>
          <w:t>38 CFR 4.150, Dental and Oral Conditions</w:t>
        </w:r>
      </w:hyperlink>
    </w:p>
    <w:p w14:paraId="0E630A5B" w14:textId="77777777" w:rsidR="00937686" w:rsidRDefault="00F20A79" w:rsidP="00937686">
      <w:pPr>
        <w:pStyle w:val="VBAFirstLevelBullet"/>
        <w:numPr>
          <w:ilvl w:val="0"/>
          <w:numId w:val="18"/>
        </w:numPr>
      </w:pPr>
      <w:hyperlink r:id="rId25" w:history="1">
        <w:r w:rsidR="00937686" w:rsidRPr="004E624C">
          <w:rPr>
            <w:rStyle w:val="Hyperlink"/>
          </w:rPr>
          <w:t>M21-1 Part III, Subpart iv, 4.A</w:t>
        </w:r>
      </w:hyperlink>
      <w:r w:rsidR="00937686" w:rsidRPr="008844FC">
        <w:t>, Musculoskeletal Conditions</w:t>
      </w:r>
    </w:p>
    <w:p w14:paraId="0891098C" w14:textId="77777777" w:rsidR="00937686" w:rsidRDefault="00F20A79" w:rsidP="00937686">
      <w:pPr>
        <w:pStyle w:val="VBAFirstLevelBullet"/>
        <w:numPr>
          <w:ilvl w:val="0"/>
          <w:numId w:val="18"/>
        </w:numPr>
      </w:pPr>
      <w:hyperlink r:id="rId26" w:history="1">
        <w:r w:rsidR="00937686" w:rsidRPr="004E624C">
          <w:rPr>
            <w:rStyle w:val="Hyperlink"/>
          </w:rPr>
          <w:t>M21-1 Part III, Subpart iv, 4.C</w:t>
        </w:r>
      </w:hyperlink>
      <w:r w:rsidR="00937686" w:rsidRPr="008844FC">
        <w:t>, Considering Impairments of Both Visual Acuity and Visual Field</w:t>
      </w:r>
    </w:p>
    <w:p w14:paraId="3F27F416" w14:textId="77777777" w:rsidR="00937686" w:rsidRPr="008844FC" w:rsidRDefault="00F20A79" w:rsidP="00937686">
      <w:pPr>
        <w:pStyle w:val="VBAFirstLevelBullet"/>
        <w:numPr>
          <w:ilvl w:val="0"/>
          <w:numId w:val="18"/>
        </w:numPr>
      </w:pPr>
      <w:hyperlink r:id="rId27" w:history="1">
        <w:r w:rsidR="00937686" w:rsidRPr="00CE5D99">
          <w:rPr>
            <w:rStyle w:val="Hyperlink"/>
          </w:rPr>
          <w:t>M21-1 Part III, Subpart iv, 4.F</w:t>
        </w:r>
      </w:hyperlink>
      <w:r w:rsidR="00937686">
        <w:t>, Respiratory Conditions</w:t>
      </w:r>
    </w:p>
    <w:p w14:paraId="7ACBBA9E" w14:textId="77777777" w:rsidR="00937686" w:rsidRPr="008844FC" w:rsidRDefault="00F20A79" w:rsidP="00937686">
      <w:pPr>
        <w:pStyle w:val="VBAFirstLevelBullet"/>
        <w:numPr>
          <w:ilvl w:val="0"/>
          <w:numId w:val="18"/>
        </w:numPr>
      </w:pPr>
      <w:hyperlink r:id="rId28" w:history="1">
        <w:r w:rsidR="00937686" w:rsidRPr="00CE5D99">
          <w:rPr>
            <w:rStyle w:val="Hyperlink"/>
          </w:rPr>
          <w:t>M21-1 Part III, Subpart iv, 4.L</w:t>
        </w:r>
      </w:hyperlink>
      <w:r w:rsidR="00937686" w:rsidRPr="008844FC">
        <w:t>, Skin Conditions</w:t>
      </w:r>
    </w:p>
    <w:p w14:paraId="74C33C4D" w14:textId="77777777" w:rsidR="00937686" w:rsidRDefault="00F20A79" w:rsidP="00937686">
      <w:pPr>
        <w:pStyle w:val="VBAFirstLevelBullet"/>
        <w:numPr>
          <w:ilvl w:val="0"/>
          <w:numId w:val="18"/>
        </w:numPr>
      </w:pPr>
      <w:hyperlink r:id="rId29" w:history="1">
        <w:r w:rsidR="00937686" w:rsidRPr="00CE5D99">
          <w:rPr>
            <w:rStyle w:val="Hyperlink"/>
          </w:rPr>
          <w:t>M21-1 Part III, Subpart iv, 4.N,</w:t>
        </w:r>
      </w:hyperlink>
      <w:r w:rsidR="00937686" w:rsidRPr="008844FC">
        <w:t xml:space="preserve"> Neurological Conditions and Convulsive Disorders</w:t>
      </w:r>
    </w:p>
    <w:p w14:paraId="00ED4E63" w14:textId="77777777" w:rsidR="00937686" w:rsidRDefault="00F20A79" w:rsidP="00937686">
      <w:pPr>
        <w:pStyle w:val="VBAFirstLevelBullet"/>
        <w:numPr>
          <w:ilvl w:val="0"/>
          <w:numId w:val="18"/>
        </w:numPr>
      </w:pPr>
      <w:hyperlink r:id="rId30" w:history="1">
        <w:r w:rsidR="00937686" w:rsidRPr="00FA6E6A">
          <w:rPr>
            <w:rStyle w:val="Hyperlink"/>
          </w:rPr>
          <w:t>M21-1 Part III, Subpart iv, 6.D</w:t>
        </w:r>
      </w:hyperlink>
      <w:r w:rsidR="00937686" w:rsidRPr="008844FC">
        <w:t>, Sample Draft Code-sheet, Amputation Rule</w:t>
      </w:r>
    </w:p>
    <w:p w14:paraId="2AE4DB8C" w14:textId="7937BFA4" w:rsidR="00937686" w:rsidRPr="00372043" w:rsidRDefault="00F20A79" w:rsidP="00937686">
      <w:pPr>
        <w:pStyle w:val="VBAFirstLevelBullet"/>
        <w:numPr>
          <w:ilvl w:val="0"/>
          <w:numId w:val="18"/>
        </w:numPr>
      </w:pPr>
      <w:hyperlink r:id="rId31" w:history="1">
        <w:r w:rsidR="00937686" w:rsidRPr="00372043">
          <w:rPr>
            <w:rStyle w:val="Hyperlink"/>
            <w:lang w:val="fr-FR"/>
          </w:rPr>
          <w:t xml:space="preserve">M21-1, Part III, Subpart iv </w:t>
        </w:r>
        <w:r w:rsidR="00937686" w:rsidRPr="00372043">
          <w:rPr>
            <w:rStyle w:val="Hyperlink"/>
          </w:rPr>
          <w:t xml:space="preserve">6.C </w:t>
        </w:r>
      </w:hyperlink>
      <w:r w:rsidR="003A62E7">
        <w:rPr>
          <w:rStyle w:val="Hyperlink"/>
        </w:rPr>
        <w:t>,</w:t>
      </w:r>
      <w:r w:rsidR="00937686" w:rsidRPr="00372043">
        <w:t xml:space="preserve"> Completing the Rating Decision Narrative </w:t>
      </w:r>
    </w:p>
    <w:p w14:paraId="468C75A4" w14:textId="28C74A73" w:rsidR="007A5600" w:rsidRPr="00041195" w:rsidRDefault="00937686" w:rsidP="00937686">
      <w:pPr>
        <w:pStyle w:val="ListParagraph"/>
        <w:numPr>
          <w:ilvl w:val="0"/>
          <w:numId w:val="18"/>
        </w:numPr>
      </w:pPr>
      <w:r w:rsidRPr="00372043">
        <w:t xml:space="preserve">Decision Assessment Document (DAD), </w:t>
      </w:r>
      <w:hyperlink r:id="rId32" w:history="1">
        <w:r w:rsidRPr="00372043">
          <w:rPr>
            <w:rStyle w:val="Hyperlink"/>
          </w:rPr>
          <w:t>Esteban v. Brown, No. 92-693</w:t>
        </w:r>
      </w:hyperlink>
      <w:r w:rsidRPr="00372043">
        <w:t xml:space="preserve">  - Pyramiding</w:t>
      </w:r>
      <w:r w:rsidR="007A5600" w:rsidRPr="00937686">
        <w:rPr>
          <w:color w:val="0070C0"/>
        </w:rPr>
        <w:br w:type="page"/>
      </w:r>
    </w:p>
    <w:p w14:paraId="74AA2EDD" w14:textId="77777777" w:rsidR="00041195" w:rsidRPr="009A29B0" w:rsidRDefault="00041195" w:rsidP="00937686">
      <w:pPr>
        <w:pStyle w:val="VBATopicHeading1"/>
        <w:spacing w:before="120"/>
        <w:rPr>
          <w:bCs/>
          <w:i/>
        </w:rPr>
      </w:pPr>
      <w:bookmarkStart w:id="10" w:name="TP1"/>
      <w:bookmarkStart w:id="11" w:name="_Toc457647071"/>
      <w:bookmarkEnd w:id="10"/>
      <w:r w:rsidRPr="009A29B0">
        <w:lastRenderedPageBreak/>
        <w:t xml:space="preserve">Topic </w:t>
      </w:r>
      <w:r>
        <w:t>1</w:t>
      </w:r>
      <w:r w:rsidRPr="009A29B0">
        <w:t xml:space="preserve">: </w:t>
      </w:r>
      <w:r>
        <w:t>Pyramiding</w:t>
      </w:r>
      <w:bookmarkEnd w:id="11"/>
    </w:p>
    <w:p w14:paraId="56C75984" w14:textId="77777777" w:rsidR="00041195" w:rsidRPr="00ED2598" w:rsidRDefault="00041195" w:rsidP="00937686">
      <w:pPr>
        <w:tabs>
          <w:tab w:val="left" w:pos="590"/>
        </w:tabs>
        <w:spacing w:after="240"/>
        <w:textAlignment w:val="baseline"/>
        <w:rPr>
          <w:szCs w:val="24"/>
        </w:rPr>
      </w:pPr>
      <w:r>
        <w:t>It remains the RVSR’s responsibility to ensure that when rating a Veterans case that you remain vigilant against pyramiding situations and to r</w:t>
      </w:r>
      <w:r w:rsidRPr="00ED2598">
        <w:rPr>
          <w:szCs w:val="24"/>
        </w:rPr>
        <w:t>ecognize specific pyramiding principles applicable to each of the body systems.</w:t>
      </w:r>
    </w:p>
    <w:p w14:paraId="2E97EB1D" w14:textId="402CF7C0" w:rsidR="00041195" w:rsidRPr="00ED2598" w:rsidRDefault="00041195" w:rsidP="00041195">
      <w:pPr>
        <w:spacing w:after="240"/>
        <w:textAlignment w:val="baseline"/>
        <w:rPr>
          <w:b/>
          <w:szCs w:val="24"/>
        </w:rPr>
      </w:pPr>
      <w:r w:rsidRPr="00ED2598">
        <w:rPr>
          <w:b/>
          <w:szCs w:val="24"/>
        </w:rPr>
        <w:t>38 CFR 4.14, Avoidance of Pyramiding</w:t>
      </w:r>
      <w:r>
        <w:rPr>
          <w:b/>
          <w:szCs w:val="24"/>
        </w:rPr>
        <w:t>:</w:t>
      </w:r>
    </w:p>
    <w:p w14:paraId="15238BC2" w14:textId="77777777" w:rsidR="00041195" w:rsidRDefault="00041195" w:rsidP="00937686">
      <w:pPr>
        <w:spacing w:after="240"/>
        <w:textAlignment w:val="baseline"/>
        <w:rPr>
          <w:szCs w:val="24"/>
        </w:rPr>
      </w:pPr>
      <w:r w:rsidRPr="00ED2598">
        <w:rPr>
          <w:szCs w:val="24"/>
        </w:rPr>
        <w:t>The evaluation of the same disability under various diagnoses is to be avoided. Disability from injuries to the muscles, nerves, and joints of an extremity may overlap to a great extent, so that special rules are included in the appropriate bodily system for their evaluation. Dyspnea, tachycardia, nervousness, fatigability, etc., may result from many causes; some may be service connected, others, not. Both the use of manifestations not resulting from service-connected disease or injury in establishing the service-connected evaluation, and the evaluation of the same manifestation under different diagnoses are to be avoided.</w:t>
      </w:r>
    </w:p>
    <w:p w14:paraId="1A35EF0A" w14:textId="448868E5" w:rsidR="00041195" w:rsidRDefault="00041195" w:rsidP="00041195">
      <w:pPr>
        <w:textAlignment w:val="baseline"/>
        <w:rPr>
          <w:b/>
        </w:rPr>
      </w:pPr>
      <w:r w:rsidRPr="00ED2598">
        <w:rPr>
          <w:b/>
        </w:rPr>
        <w:t>Pyramiding: Joints and Pain</w:t>
      </w:r>
      <w:r>
        <w:rPr>
          <w:b/>
        </w:rPr>
        <w:t>:</w:t>
      </w:r>
    </w:p>
    <w:p w14:paraId="6163F079" w14:textId="77777777" w:rsidR="00041195" w:rsidRPr="00ED2598" w:rsidRDefault="00F20A79" w:rsidP="00937686">
      <w:pPr>
        <w:spacing w:after="240"/>
        <w:textAlignment w:val="baseline"/>
      </w:pPr>
      <w:hyperlink r:id="rId33" w:history="1">
        <w:r w:rsidR="00041195" w:rsidRPr="00ED2598">
          <w:rPr>
            <w:bCs/>
            <w:u w:val="single"/>
          </w:rPr>
          <w:t>38 CFR 4.59</w:t>
        </w:r>
      </w:hyperlink>
      <w:r w:rsidR="00041195" w:rsidRPr="00ED2598">
        <w:t xml:space="preserve"> does </w:t>
      </w:r>
      <w:r w:rsidR="00041195" w:rsidRPr="00ED2598">
        <w:rPr>
          <w:u w:val="single"/>
        </w:rPr>
        <w:t>not</w:t>
      </w:r>
      <w:r w:rsidR="00041195" w:rsidRPr="00ED2598">
        <w:t xml:space="preserve"> permit separate compensable evaluations for each painful joint motion.</w:t>
      </w:r>
    </w:p>
    <w:p w14:paraId="520D4A84" w14:textId="77777777" w:rsidR="00041195" w:rsidRPr="00ED2598" w:rsidRDefault="00041195" w:rsidP="00937686">
      <w:pPr>
        <w:spacing w:after="240"/>
        <w:textAlignment w:val="baseline"/>
      </w:pPr>
      <w:r w:rsidRPr="00ED2598">
        <w:t xml:space="preserve">When each qualifying joint motion is painful but motion is not actually limited to a compensable degree under its applicable 52XX-series DC, </w:t>
      </w:r>
      <w:r w:rsidRPr="00ED2598">
        <w:rPr>
          <w:u w:val="single"/>
        </w:rPr>
        <w:t>only one compensable evaluation can be assigned</w:t>
      </w:r>
      <w:r w:rsidRPr="00663D1A">
        <w:t>.</w:t>
      </w:r>
    </w:p>
    <w:p w14:paraId="62F08DC1" w14:textId="77777777" w:rsidR="00041195" w:rsidRDefault="00041195" w:rsidP="00937686">
      <w:pPr>
        <w:spacing w:after="240"/>
        <w:textAlignment w:val="baseline"/>
      </w:pPr>
      <w:r w:rsidRPr="00ED2598">
        <w:t xml:space="preserve">When more than one qualifying joint motion is actually limited to a compensable degree and there is painful but otherwise non-compensable limitation of the complementary movement(s), </w:t>
      </w:r>
      <w:r w:rsidRPr="00ED2598">
        <w:rPr>
          <w:u w:val="single"/>
        </w:rPr>
        <w:t>only one compensable evaluation can be assigned</w:t>
      </w:r>
      <w:r w:rsidRPr="00663D1A">
        <w:t>.</w:t>
      </w:r>
    </w:p>
    <w:p w14:paraId="04267882" w14:textId="24EE7C3A" w:rsidR="00041195" w:rsidRPr="00ED2598" w:rsidRDefault="00041195" w:rsidP="00937686">
      <w:pPr>
        <w:spacing w:after="240"/>
        <w:textAlignment w:val="baseline"/>
        <w:rPr>
          <w:b/>
        </w:rPr>
      </w:pPr>
      <w:r w:rsidRPr="00ED2598">
        <w:rPr>
          <w:b/>
        </w:rPr>
        <w:t>Pyramiding: Musculoskeletal Conditions</w:t>
      </w:r>
      <w:r>
        <w:rPr>
          <w:b/>
        </w:rPr>
        <w:t>:</w:t>
      </w:r>
    </w:p>
    <w:p w14:paraId="67DEB1CE" w14:textId="77777777" w:rsidR="00041195" w:rsidRPr="00ED2598" w:rsidRDefault="00041195" w:rsidP="00041195">
      <w:pPr>
        <w:spacing w:after="240"/>
        <w:textAlignment w:val="baseline"/>
      </w:pPr>
      <w:r w:rsidRPr="00ED2598">
        <w:rPr>
          <w:b/>
          <w:bCs/>
        </w:rPr>
        <w:t>Degenerative Arthritis</w:t>
      </w:r>
      <w:r w:rsidRPr="00ED2598">
        <w:t xml:space="preserve">: Separate evaluations under diagnostic code 5003 with any other joint evaluation based on limitation of motion or painful motion, </w:t>
      </w:r>
      <w:r w:rsidRPr="00ED2598">
        <w:rPr>
          <w:u w:val="single"/>
        </w:rPr>
        <w:t>due to degenerative arthritis</w:t>
      </w:r>
      <w:r w:rsidRPr="00663D1A">
        <w:t>,</w:t>
      </w:r>
      <w:r w:rsidRPr="00ED2598">
        <w:t xml:space="preserve"> is </w:t>
      </w:r>
      <w:r w:rsidRPr="00ED2598">
        <w:rPr>
          <w:u w:val="single"/>
        </w:rPr>
        <w:t>prohibited</w:t>
      </w:r>
      <w:r w:rsidRPr="00ED2598">
        <w:t>.</w:t>
      </w:r>
    </w:p>
    <w:p w14:paraId="65581017" w14:textId="77777777" w:rsidR="00041195" w:rsidRPr="00ED2598" w:rsidRDefault="00041195" w:rsidP="00041195">
      <w:pPr>
        <w:spacing w:before="0" w:after="240"/>
        <w:textAlignment w:val="baseline"/>
      </w:pPr>
      <w:r w:rsidRPr="00ED2598">
        <w:rPr>
          <w:b/>
          <w:bCs/>
        </w:rPr>
        <w:t>Forearm</w:t>
      </w:r>
      <w:r w:rsidRPr="00ED2598">
        <w:rPr>
          <w:b/>
        </w:rPr>
        <w:t>:</w:t>
      </w:r>
      <w:r>
        <w:t xml:space="preserve"> </w:t>
      </w:r>
      <w:r w:rsidRPr="00ED2598">
        <w:t xml:space="preserve">Do </w:t>
      </w:r>
      <w:r w:rsidRPr="00ED2598">
        <w:rPr>
          <w:u w:val="single"/>
        </w:rPr>
        <w:t>not</w:t>
      </w:r>
      <w:r w:rsidRPr="00ED2598">
        <w:t xml:space="preserve"> assign a compensable evaluation for both limitation of pronation and limitation of supination of the forearm in the same extremity.</w:t>
      </w:r>
    </w:p>
    <w:p w14:paraId="7E6E1D8A" w14:textId="77777777" w:rsidR="00041195" w:rsidRPr="00ED2598" w:rsidRDefault="00041195" w:rsidP="00937686">
      <w:pPr>
        <w:spacing w:after="240"/>
        <w:textAlignment w:val="baseline"/>
      </w:pPr>
      <w:r w:rsidRPr="00ED2598">
        <w:rPr>
          <w:b/>
          <w:bCs/>
        </w:rPr>
        <w:t>Fibromyalgia</w:t>
      </w:r>
      <w:r w:rsidRPr="00ED2598">
        <w:rPr>
          <w:b/>
        </w:rPr>
        <w:t>:</w:t>
      </w:r>
      <w:r>
        <w:t xml:space="preserve"> </w:t>
      </w:r>
      <w:r w:rsidRPr="00ED2598">
        <w:t>The criteria for the evaluation of fibromyalgia does not exclude assignment of separate evaluations when secondary disabilities are</w:t>
      </w:r>
      <w:r>
        <w:t xml:space="preserve"> diagnosed.</w:t>
      </w:r>
      <w:r w:rsidRPr="00ED2598">
        <w:t xml:space="preserve"> The same signs and symptoms; however, </w:t>
      </w:r>
      <w:r w:rsidRPr="00ED2598">
        <w:rPr>
          <w:u w:val="single"/>
        </w:rPr>
        <w:t>cannot</w:t>
      </w:r>
      <w:r w:rsidRPr="00ED2598">
        <w:t xml:space="preserve"> be used to assign separate evaluations under different DCs.</w:t>
      </w:r>
    </w:p>
    <w:p w14:paraId="4DBA29A6" w14:textId="77777777" w:rsidR="00041195" w:rsidRPr="00ED2598" w:rsidRDefault="00041195" w:rsidP="00041195">
      <w:pPr>
        <w:spacing w:after="240"/>
        <w:textAlignment w:val="baseline"/>
      </w:pPr>
      <w:r w:rsidRPr="00ED2598">
        <w:rPr>
          <w:b/>
          <w:bCs/>
        </w:rPr>
        <w:t>IVDS</w:t>
      </w:r>
      <w:r w:rsidRPr="00ED2598">
        <w:rPr>
          <w:b/>
        </w:rPr>
        <w:t>:</w:t>
      </w:r>
      <w:r w:rsidRPr="00ED2598">
        <w:t xml:space="preserve"> If the evaluation of IVDS is based on incapacitating episodes, a separate evaluation may </w:t>
      </w:r>
      <w:r w:rsidRPr="00ED2598">
        <w:rPr>
          <w:u w:val="single"/>
        </w:rPr>
        <w:t>not</w:t>
      </w:r>
      <w:r w:rsidRPr="00ED2598">
        <w:t xml:space="preserve"> be assigned for limitation of motion, radiculopathy, or any other associated objective neurological abnormality.</w:t>
      </w:r>
    </w:p>
    <w:p w14:paraId="79DC9374" w14:textId="77777777" w:rsidR="00041195" w:rsidRPr="00ED2598" w:rsidRDefault="00041195" w:rsidP="00937686">
      <w:pPr>
        <w:spacing w:after="240"/>
        <w:textAlignment w:val="baseline"/>
      </w:pPr>
      <w:r w:rsidRPr="00ED2598">
        <w:rPr>
          <w:b/>
          <w:bCs/>
        </w:rPr>
        <w:t>Arthroplasty</w:t>
      </w:r>
      <w:r w:rsidRPr="00ED2598">
        <w:rPr>
          <w:b/>
        </w:rPr>
        <w:t>:</w:t>
      </w:r>
      <w:r w:rsidRPr="00ED2598">
        <w:t xml:space="preserve"> Once joint replacement occurs, separate evaluations for range of motion and/or instability in the joint is </w:t>
      </w:r>
      <w:r w:rsidRPr="00ED2598">
        <w:rPr>
          <w:u w:val="single"/>
        </w:rPr>
        <w:t>prohibited</w:t>
      </w:r>
      <w:r w:rsidRPr="00ED2598">
        <w:t>.</w:t>
      </w:r>
    </w:p>
    <w:p w14:paraId="1E11B44A" w14:textId="77777777" w:rsidR="00041195" w:rsidRDefault="00041195" w:rsidP="00041195">
      <w:pPr>
        <w:spacing w:before="0"/>
        <w:textAlignment w:val="baseline"/>
      </w:pPr>
      <w:r w:rsidRPr="00ED2598">
        <w:rPr>
          <w:b/>
          <w:bCs/>
        </w:rPr>
        <w:lastRenderedPageBreak/>
        <w:t>Meniscus (semilunar cartilage)</w:t>
      </w:r>
      <w:r w:rsidRPr="00ED2598">
        <w:rPr>
          <w:b/>
        </w:rPr>
        <w:t>:</w:t>
      </w:r>
      <w:r>
        <w:t xml:space="preserve"> </w:t>
      </w:r>
      <w:r w:rsidRPr="00ED2598">
        <w:t xml:space="preserve">Do </w:t>
      </w:r>
      <w:r w:rsidRPr="00ED2598">
        <w:rPr>
          <w:u w:val="single"/>
        </w:rPr>
        <w:t>not</w:t>
      </w:r>
      <w:r w:rsidRPr="00ED2598">
        <w:t xml:space="preserve"> assign separate evaluations for a meniscus disability (DC 5258/DC 5259) and limitation of motion in the same knee OR with subluxation/lateral instability.</w:t>
      </w:r>
    </w:p>
    <w:p w14:paraId="5F7C98CB" w14:textId="77777777" w:rsidR="00041195" w:rsidRPr="00ED2598" w:rsidRDefault="00041195" w:rsidP="00041195">
      <w:pPr>
        <w:spacing w:after="240"/>
        <w:textAlignment w:val="baseline"/>
      </w:pPr>
      <w:r w:rsidRPr="00ED2598">
        <w:rPr>
          <w:b/>
          <w:bCs/>
        </w:rPr>
        <w:t>Shin Splints</w:t>
      </w:r>
      <w:r w:rsidRPr="00ED2598">
        <w:rPr>
          <w:b/>
        </w:rPr>
        <w:t>:</w:t>
      </w:r>
      <w:r>
        <w:t xml:space="preserve"> </w:t>
      </w:r>
      <w:r w:rsidRPr="00ED2598">
        <w:t xml:space="preserve">If the evaluation of shin splints is based on impairment of the knee and/or ankle joint, do </w:t>
      </w:r>
      <w:r w:rsidRPr="00ED2598">
        <w:rPr>
          <w:u w:val="single"/>
        </w:rPr>
        <w:t>not</w:t>
      </w:r>
      <w:r w:rsidRPr="00ED2598">
        <w:t xml:space="preserve"> assign separate evaluations for shin splints and the applicable joint(s).</w:t>
      </w:r>
    </w:p>
    <w:p w14:paraId="49FE818E" w14:textId="77777777" w:rsidR="00041195" w:rsidRPr="00ED2598" w:rsidRDefault="00041195" w:rsidP="00041195">
      <w:pPr>
        <w:spacing w:after="240"/>
        <w:textAlignment w:val="baseline"/>
      </w:pPr>
      <w:r w:rsidRPr="00ED2598">
        <w:rPr>
          <w:b/>
          <w:bCs/>
        </w:rPr>
        <w:t>Ankle Instability</w:t>
      </w:r>
      <w:r w:rsidRPr="00ED2598">
        <w:rPr>
          <w:b/>
        </w:rPr>
        <w:t>:</w:t>
      </w:r>
      <w:r>
        <w:t xml:space="preserve"> </w:t>
      </w:r>
      <w:r w:rsidRPr="00ED2598">
        <w:t xml:space="preserve">Separate evaluations for limitation of motion and instability of the ankle are </w:t>
      </w:r>
      <w:r w:rsidRPr="00ED2598">
        <w:rPr>
          <w:u w:val="single"/>
        </w:rPr>
        <w:t>prohibited</w:t>
      </w:r>
      <w:r w:rsidRPr="00ED2598">
        <w:t>.</w:t>
      </w:r>
    </w:p>
    <w:p w14:paraId="43BD0E4F" w14:textId="77777777" w:rsidR="00041195" w:rsidRDefault="00041195" w:rsidP="00041195">
      <w:pPr>
        <w:textAlignment w:val="baseline"/>
      </w:pPr>
      <w:r w:rsidRPr="00ED2598">
        <w:rPr>
          <w:b/>
          <w:bCs/>
        </w:rPr>
        <w:t>Pes Planus/Plantar Fasciitis</w:t>
      </w:r>
      <w:r w:rsidRPr="00ED2598">
        <w:rPr>
          <w:b/>
        </w:rPr>
        <w:t>:</w:t>
      </w:r>
      <w:r w:rsidRPr="00ED2598">
        <w:t xml:space="preserve"> When SC is established for both pes planus and plantar fasciitis, the symptoms of both symptoms are evaluated together under DC 5276 and </w:t>
      </w:r>
      <w:r w:rsidRPr="00ED2598">
        <w:rPr>
          <w:u w:val="single"/>
        </w:rPr>
        <w:t>cannot</w:t>
      </w:r>
      <w:r w:rsidRPr="00ED2598">
        <w:t xml:space="preserve"> be separately evaluated.</w:t>
      </w:r>
    </w:p>
    <w:p w14:paraId="4FD091A2" w14:textId="77777777" w:rsidR="00041195" w:rsidRPr="00ED2598" w:rsidRDefault="00041195" w:rsidP="00041195">
      <w:pPr>
        <w:spacing w:after="240"/>
        <w:textAlignment w:val="baseline"/>
      </w:pPr>
      <w:r w:rsidRPr="00ED2598">
        <w:rPr>
          <w:b/>
          <w:bCs/>
        </w:rPr>
        <w:t>Muscles</w:t>
      </w:r>
      <w:r w:rsidRPr="00ED2598">
        <w:rPr>
          <w:b/>
        </w:rPr>
        <w:t>:</w:t>
      </w:r>
      <w:r>
        <w:t xml:space="preserve"> </w:t>
      </w:r>
      <w:r w:rsidRPr="00ED2598">
        <w:t xml:space="preserve">A separate evaluation </w:t>
      </w:r>
      <w:r w:rsidRPr="00ED2598">
        <w:rPr>
          <w:u w:val="single"/>
        </w:rPr>
        <w:t>cannot</w:t>
      </w:r>
      <w:r w:rsidRPr="00ED2598">
        <w:t xml:space="preserve"> be assigned for each muscle within a single muscle group.</w:t>
      </w:r>
    </w:p>
    <w:p w14:paraId="0F6FE320" w14:textId="77777777" w:rsidR="00041195" w:rsidRPr="00B67B73" w:rsidRDefault="00041195" w:rsidP="00041195">
      <w:pPr>
        <w:spacing w:before="0" w:after="240"/>
        <w:textAlignment w:val="baseline"/>
        <w:rPr>
          <w:u w:val="single"/>
        </w:rPr>
      </w:pPr>
      <w:r w:rsidRPr="00ED2598">
        <w:rPr>
          <w:b/>
          <w:bCs/>
        </w:rPr>
        <w:t>Muscles/Joints</w:t>
      </w:r>
      <w:r w:rsidRPr="00ED2598">
        <w:rPr>
          <w:b/>
        </w:rPr>
        <w:t>:</w:t>
      </w:r>
      <w:r w:rsidRPr="00ED2598">
        <w:t xml:space="preserve"> </w:t>
      </w:r>
      <w:r w:rsidRPr="00B67B73">
        <w:rPr>
          <w:u w:val="single"/>
        </w:rPr>
        <w:t>38 CFR 4.55, Principles of Combined Ratings for Muscle Injuries</w:t>
      </w:r>
    </w:p>
    <w:p w14:paraId="5268EBFC" w14:textId="77777777" w:rsidR="00041195" w:rsidRDefault="00041195" w:rsidP="00937686">
      <w:pPr>
        <w:spacing w:after="240"/>
        <w:textAlignment w:val="baseline"/>
      </w:pPr>
      <w:r w:rsidRPr="00ED2598">
        <w:rPr>
          <w:b/>
          <w:bCs/>
        </w:rPr>
        <w:t>Muscles/Peripheral Nerves</w:t>
      </w:r>
      <w:r w:rsidRPr="00ED2598">
        <w:rPr>
          <w:b/>
        </w:rPr>
        <w:t>:</w:t>
      </w:r>
      <w:r>
        <w:t xml:space="preserve"> </w:t>
      </w:r>
      <w:r w:rsidRPr="00ED2598">
        <w:t xml:space="preserve">A muscle injury and a peripheral nerve paralysis of the same body part, whether associated with the muscle injury OR originating from other etiologies, may </w:t>
      </w:r>
      <w:r w:rsidRPr="00ED2598">
        <w:rPr>
          <w:u w:val="single"/>
        </w:rPr>
        <w:t>not</w:t>
      </w:r>
      <w:r w:rsidRPr="00ED2598">
        <w:t xml:space="preserve"> be rated separately </w:t>
      </w:r>
      <w:r w:rsidRPr="00ED2598">
        <w:rPr>
          <w:u w:val="single"/>
        </w:rPr>
        <w:t>unless</w:t>
      </w:r>
      <w:r w:rsidRPr="00ED2598">
        <w:t xml:space="preserve"> entirely different functions are affected.</w:t>
      </w:r>
    </w:p>
    <w:p w14:paraId="64781D1C" w14:textId="47497F3E" w:rsidR="00041195" w:rsidRPr="00ED2598" w:rsidRDefault="00041195" w:rsidP="00041195">
      <w:pPr>
        <w:textAlignment w:val="baseline"/>
        <w:rPr>
          <w:b/>
        </w:rPr>
      </w:pPr>
      <w:r w:rsidRPr="00ED2598">
        <w:rPr>
          <w:b/>
        </w:rPr>
        <w:t>Pyramiding: Skin and Scars</w:t>
      </w:r>
      <w:r w:rsidR="00C73700">
        <w:rPr>
          <w:b/>
        </w:rPr>
        <w:t>:</w:t>
      </w:r>
    </w:p>
    <w:p w14:paraId="13C2E0DC" w14:textId="77777777" w:rsidR="00041195" w:rsidRPr="00ED2598" w:rsidRDefault="00041195" w:rsidP="00041195">
      <w:pPr>
        <w:spacing w:after="240"/>
        <w:textAlignment w:val="baseline"/>
      </w:pPr>
      <w:r w:rsidRPr="00197D34">
        <w:rPr>
          <w:b/>
          <w:bCs/>
        </w:rPr>
        <w:t>Disfigurement</w:t>
      </w:r>
      <w:r w:rsidRPr="00197D34">
        <w:rPr>
          <w:b/>
        </w:rPr>
        <w:t>:</w:t>
      </w:r>
      <w:r>
        <w:t xml:space="preserve"> </w:t>
      </w:r>
      <w:r w:rsidRPr="00ED2598">
        <w:t xml:space="preserve">Multiple scars may </w:t>
      </w:r>
      <w:r w:rsidRPr="00ED2598">
        <w:rPr>
          <w:u w:val="single"/>
        </w:rPr>
        <w:t>not</w:t>
      </w:r>
      <w:r w:rsidRPr="00ED2598">
        <w:t xml:space="preserve"> be added together to meet the width of scarring requirement under characteristics of disfigurement.</w:t>
      </w:r>
    </w:p>
    <w:p w14:paraId="36391571" w14:textId="77777777" w:rsidR="00041195" w:rsidRPr="00ED2598" w:rsidRDefault="00041195" w:rsidP="00041195">
      <w:pPr>
        <w:spacing w:before="0"/>
        <w:textAlignment w:val="baseline"/>
      </w:pPr>
      <w:r w:rsidRPr="00197D34">
        <w:rPr>
          <w:b/>
          <w:bCs/>
        </w:rPr>
        <w:t>Painful Scar(s)</w:t>
      </w:r>
      <w:r w:rsidRPr="00197D34">
        <w:rPr>
          <w:b/>
        </w:rPr>
        <w:t>:</w:t>
      </w:r>
      <w:r>
        <w:t xml:space="preserve"> </w:t>
      </w:r>
      <w:r w:rsidRPr="00ED2598">
        <w:t>A separate evaluation for a painful scar under DC 7804 may be assigned when the functional impairment is:</w:t>
      </w:r>
    </w:p>
    <w:p w14:paraId="46F853E6" w14:textId="77777777" w:rsidR="00041195" w:rsidRPr="00ED2598" w:rsidRDefault="00041195" w:rsidP="00041195">
      <w:pPr>
        <w:spacing w:before="0"/>
        <w:textAlignment w:val="baseline"/>
      </w:pPr>
    </w:p>
    <w:p w14:paraId="3FB7776C" w14:textId="77777777" w:rsidR="00041195" w:rsidRPr="00ED2598" w:rsidRDefault="00041195" w:rsidP="00C73700">
      <w:pPr>
        <w:numPr>
          <w:ilvl w:val="0"/>
          <w:numId w:val="19"/>
        </w:numPr>
        <w:spacing w:after="60"/>
        <w:textAlignment w:val="baseline"/>
      </w:pPr>
      <w:r w:rsidRPr="00ED2598">
        <w:t xml:space="preserve">distinct and separate from the functional impairment addressed by another DC, and is </w:t>
      </w:r>
      <w:r w:rsidRPr="00ED2598">
        <w:rPr>
          <w:u w:val="single"/>
        </w:rPr>
        <w:t>not</w:t>
      </w:r>
      <w:r w:rsidRPr="00ED2598">
        <w:t xml:space="preserve">, </w:t>
      </w:r>
    </w:p>
    <w:p w14:paraId="7C6D2E0B" w14:textId="77777777" w:rsidR="00041195" w:rsidRPr="00ED2598" w:rsidRDefault="00041195" w:rsidP="00C73700">
      <w:pPr>
        <w:numPr>
          <w:ilvl w:val="0"/>
          <w:numId w:val="19"/>
        </w:numPr>
        <w:spacing w:before="60" w:after="60"/>
        <w:textAlignment w:val="baseline"/>
      </w:pPr>
      <w:r w:rsidRPr="00ED2598">
        <w:t xml:space="preserve">duplicative or overlapping with symptomatology addressed under another DC. </w:t>
      </w:r>
    </w:p>
    <w:p w14:paraId="40324E88" w14:textId="77777777" w:rsidR="00041195" w:rsidRPr="00ED2598" w:rsidRDefault="00041195" w:rsidP="00C73700">
      <w:pPr>
        <w:pStyle w:val="ListParagraph"/>
        <w:numPr>
          <w:ilvl w:val="0"/>
          <w:numId w:val="19"/>
        </w:numPr>
        <w:spacing w:before="60" w:after="60"/>
        <w:textAlignment w:val="baseline"/>
      </w:pPr>
      <w:r w:rsidRPr="00041195">
        <w:rPr>
          <w:b/>
          <w:bCs/>
        </w:rPr>
        <w:t>Scars associated with Muscle Injury</w:t>
      </w:r>
      <w:r w:rsidRPr="00ED2598">
        <w:t xml:space="preserve">: If there is scarring that results in functional loss under DC 7805 that is compensable, do </w:t>
      </w:r>
      <w:r w:rsidRPr="00041195">
        <w:rPr>
          <w:u w:val="single"/>
        </w:rPr>
        <w:t>not</w:t>
      </w:r>
      <w:r w:rsidRPr="00ED2598">
        <w:t xml:space="preserve"> assign a separate evaluation if the body part affected and the functional impairment resulting from the scar are the same as the part and function affected by the muscle injury.</w:t>
      </w:r>
    </w:p>
    <w:p w14:paraId="22B7E749" w14:textId="77777777" w:rsidR="00041195" w:rsidRPr="00ED2598" w:rsidRDefault="00041195" w:rsidP="00C73700">
      <w:pPr>
        <w:pStyle w:val="ListParagraph"/>
        <w:numPr>
          <w:ilvl w:val="0"/>
          <w:numId w:val="19"/>
        </w:numPr>
        <w:spacing w:before="60" w:after="60"/>
        <w:textAlignment w:val="baseline"/>
      </w:pPr>
      <w:r w:rsidRPr="00041195">
        <w:rPr>
          <w:b/>
          <w:bCs/>
        </w:rPr>
        <w:t>Alternative Rating Criteria</w:t>
      </w:r>
      <w:r>
        <w:t xml:space="preserve">: </w:t>
      </w:r>
      <w:r w:rsidRPr="00ED2598">
        <w:t>When evaluating skin conditions where the DC offers variable methods to evaluate the disability, assign only a single evaluation using the criteria that</w:t>
      </w:r>
      <w:r>
        <w:t xml:space="preserve"> results in the higher rating. </w:t>
      </w:r>
      <w:r w:rsidRPr="00041195">
        <w:rPr>
          <w:u w:val="single"/>
        </w:rPr>
        <w:t>Do not</w:t>
      </w:r>
      <w:r w:rsidRPr="00ED2598">
        <w:t xml:space="preserve"> assign separate evaluations.</w:t>
      </w:r>
    </w:p>
    <w:p w14:paraId="703DDE64" w14:textId="77777777" w:rsidR="00937686" w:rsidRDefault="00937686">
      <w:pPr>
        <w:overflowPunct/>
        <w:autoSpaceDE/>
        <w:autoSpaceDN/>
        <w:adjustRightInd/>
        <w:spacing w:before="0"/>
      </w:pPr>
      <w:r>
        <w:br w:type="page"/>
      </w:r>
    </w:p>
    <w:p w14:paraId="569156CE" w14:textId="78B255EA" w:rsidR="00041195" w:rsidRDefault="00041195" w:rsidP="00C73700">
      <w:pPr>
        <w:pStyle w:val="ListParagraph"/>
        <w:spacing w:after="120"/>
        <w:ind w:left="0"/>
        <w:textAlignment w:val="baseline"/>
        <w:rPr>
          <w:b/>
          <w:bCs/>
        </w:rPr>
      </w:pPr>
      <w:r w:rsidRPr="00937686">
        <w:rPr>
          <w:b/>
          <w:bCs/>
        </w:rPr>
        <w:lastRenderedPageBreak/>
        <w:t>Example:</w:t>
      </w:r>
    </w:p>
    <w:p w14:paraId="6C96F894" w14:textId="77777777" w:rsidR="00C73700" w:rsidRPr="00937686" w:rsidRDefault="00C73700" w:rsidP="00C73700">
      <w:pPr>
        <w:pStyle w:val="ListParagraph"/>
        <w:spacing w:before="60"/>
        <w:ind w:left="360"/>
        <w:textAlignment w:val="baseline"/>
        <w:rPr>
          <w:b/>
          <w:bCs/>
        </w:rPr>
      </w:pPr>
    </w:p>
    <w:p w14:paraId="6A4E6A57" w14:textId="77777777" w:rsidR="00041195" w:rsidRPr="00ED2598" w:rsidRDefault="00041195" w:rsidP="00C73700">
      <w:pPr>
        <w:pStyle w:val="ListParagraph"/>
        <w:spacing w:after="240"/>
        <w:ind w:left="360"/>
        <w:jc w:val="center"/>
        <w:textAlignment w:val="baseline"/>
      </w:pPr>
      <w:r w:rsidRPr="00ED2598">
        <w:rPr>
          <w:noProof/>
        </w:rPr>
        <w:drawing>
          <wp:inline distT="0" distB="0" distL="0" distR="0" wp14:anchorId="5D527148" wp14:editId="72E44DF9">
            <wp:extent cx="5648325" cy="1895475"/>
            <wp:effectExtent l="19050" t="19050" r="28575" b="285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51132" cy="1896417"/>
                    </a:xfrm>
                    <a:prstGeom prst="rect">
                      <a:avLst/>
                    </a:prstGeom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</w:p>
    <w:p w14:paraId="4747EE86" w14:textId="77777777" w:rsidR="00041195" w:rsidRPr="00ED2598" w:rsidRDefault="00041195" w:rsidP="00C73700">
      <w:pPr>
        <w:spacing w:after="240"/>
        <w:textAlignment w:val="baseline"/>
      </w:pPr>
      <w:r w:rsidRPr="00197D34">
        <w:rPr>
          <w:b/>
          <w:bCs/>
        </w:rPr>
        <w:t>Percentage of Exposed Skin/Entire Body Affected</w:t>
      </w:r>
      <w:r>
        <w:t xml:space="preserve">: </w:t>
      </w:r>
      <w:r w:rsidRPr="00ED2598">
        <w:t xml:space="preserve">Multiple skin conditions may receive separate evaluations based on the percentage of exposed areas affected by each skin condition.  </w:t>
      </w:r>
    </w:p>
    <w:p w14:paraId="4122F761" w14:textId="5F6460D4" w:rsidR="00041195" w:rsidRPr="00ED2598" w:rsidRDefault="00041195" w:rsidP="00041195">
      <w:pPr>
        <w:textAlignment w:val="baseline"/>
        <w:rPr>
          <w:b/>
        </w:rPr>
      </w:pPr>
      <w:r w:rsidRPr="00ED2598">
        <w:rPr>
          <w:b/>
        </w:rPr>
        <w:t>Pyramiding: Multiple Skin Conditions</w:t>
      </w:r>
      <w:r w:rsidR="00C73700">
        <w:rPr>
          <w:b/>
        </w:rPr>
        <w:t>:</w:t>
      </w:r>
    </w:p>
    <w:p w14:paraId="15FF6847" w14:textId="77777777" w:rsidR="00041195" w:rsidRPr="00ED2598" w:rsidRDefault="00041195" w:rsidP="00041195">
      <w:pPr>
        <w:spacing w:before="0"/>
        <w:textAlignment w:val="baseline"/>
      </w:pPr>
      <w:r w:rsidRPr="00ED2598">
        <w:t xml:space="preserve">If an examiner cannot provide separate percentages solely due to each skin condition, separate evaluations </w:t>
      </w:r>
      <w:r w:rsidRPr="00ED2598">
        <w:rPr>
          <w:u w:val="single"/>
        </w:rPr>
        <w:t>cannot</w:t>
      </w:r>
      <w:r w:rsidRPr="00ED2598">
        <w:t xml:space="preserve"> be assigned using that criteria alone. </w:t>
      </w:r>
    </w:p>
    <w:p w14:paraId="02503A79" w14:textId="77777777" w:rsidR="00041195" w:rsidRDefault="00041195" w:rsidP="00C73700">
      <w:pPr>
        <w:spacing w:after="240"/>
        <w:textAlignment w:val="baseline"/>
        <w:rPr>
          <w:u w:val="single"/>
        </w:rPr>
      </w:pPr>
      <w:r w:rsidRPr="00ED2598">
        <w:rPr>
          <w:bCs/>
        </w:rPr>
        <w:t>Medication Criteria</w:t>
      </w:r>
      <w:r>
        <w:t xml:space="preserve">: </w:t>
      </w:r>
      <w:r w:rsidRPr="00ED2598">
        <w:t xml:space="preserve">If the same medication is used to treat each skin condition, separate evaluations </w:t>
      </w:r>
      <w:r w:rsidRPr="00ED2598">
        <w:rPr>
          <w:u w:val="single"/>
        </w:rPr>
        <w:t>may not</w:t>
      </w:r>
      <w:r w:rsidRPr="00ED2598">
        <w:t xml:space="preserve"> be assigned </w:t>
      </w:r>
      <w:r w:rsidRPr="00ED2598">
        <w:rPr>
          <w:u w:val="single"/>
        </w:rPr>
        <w:t>unless</w:t>
      </w:r>
      <w:r w:rsidRPr="00ED2598">
        <w:t xml:space="preserve"> the separately evaluated condition uses alternative criteria to establish a disability evaluation.</w:t>
      </w:r>
    </w:p>
    <w:p w14:paraId="2CF67446" w14:textId="158D0E25" w:rsidR="00041195" w:rsidRPr="00ED2598" w:rsidRDefault="00041195" w:rsidP="00041195">
      <w:pPr>
        <w:textAlignment w:val="baseline"/>
        <w:rPr>
          <w:b/>
        </w:rPr>
      </w:pPr>
      <w:r w:rsidRPr="00ED2598">
        <w:rPr>
          <w:b/>
        </w:rPr>
        <w:t>Pyramiding: Organs of Special Sense</w:t>
      </w:r>
      <w:r w:rsidR="00C73700">
        <w:rPr>
          <w:b/>
        </w:rPr>
        <w:t>:</w:t>
      </w:r>
    </w:p>
    <w:p w14:paraId="66FBC97F" w14:textId="77777777" w:rsidR="00041195" w:rsidRPr="00ED2598" w:rsidRDefault="00041195" w:rsidP="00041195">
      <w:pPr>
        <w:spacing w:after="240"/>
        <w:textAlignment w:val="baseline"/>
      </w:pPr>
      <w:r w:rsidRPr="00ED2598">
        <w:rPr>
          <w:b/>
          <w:bCs/>
        </w:rPr>
        <w:t>Vision</w:t>
      </w:r>
      <w:r w:rsidRPr="00ED2598">
        <w:rPr>
          <w:b/>
        </w:rPr>
        <w:t>:</w:t>
      </w:r>
      <w:r>
        <w:t xml:space="preserve"> </w:t>
      </w:r>
      <w:r w:rsidRPr="00ED2598">
        <w:t xml:space="preserve">Separate evaluations </w:t>
      </w:r>
      <w:r w:rsidRPr="00ED2598">
        <w:rPr>
          <w:u w:val="single"/>
        </w:rPr>
        <w:t>cannot</w:t>
      </w:r>
      <w:r w:rsidRPr="00ED2598">
        <w:t xml:space="preserve"> be assigned for impairments of both visual acuity and visual field defect.  The evaluations must be combined as a single disability.</w:t>
      </w:r>
    </w:p>
    <w:p w14:paraId="646E0E29" w14:textId="77777777" w:rsidR="00041195" w:rsidRPr="00ED2598" w:rsidRDefault="00041195" w:rsidP="00C73700">
      <w:pPr>
        <w:spacing w:after="240"/>
        <w:textAlignment w:val="baseline"/>
      </w:pPr>
      <w:r w:rsidRPr="00ED2598">
        <w:rPr>
          <w:b/>
          <w:bCs/>
        </w:rPr>
        <w:t>Meniere’s Syndrome</w:t>
      </w:r>
      <w:r w:rsidRPr="00ED2598">
        <w:rPr>
          <w:b/>
        </w:rPr>
        <w:t>:</w:t>
      </w:r>
      <w:r>
        <w:t xml:space="preserve"> </w:t>
      </w:r>
      <w:r w:rsidRPr="00ED2598">
        <w:t xml:space="preserve">Do </w:t>
      </w:r>
      <w:r w:rsidRPr="00ED2598">
        <w:rPr>
          <w:u w:val="single"/>
        </w:rPr>
        <w:t>not</w:t>
      </w:r>
      <w:r w:rsidRPr="00ED2598">
        <w:t xml:space="preserve"> combine an evaluation for hearing impairment, tinnitus, or vertigo with an evaluation of Meniere’s disease under DC 6205.</w:t>
      </w:r>
    </w:p>
    <w:p w14:paraId="0D106A0E" w14:textId="286DC0E0" w:rsidR="00CE48CB" w:rsidRPr="00ED2598" w:rsidRDefault="00CE48CB" w:rsidP="00CE48CB">
      <w:pPr>
        <w:textAlignment w:val="baseline"/>
        <w:rPr>
          <w:b/>
        </w:rPr>
      </w:pPr>
      <w:r w:rsidRPr="00ED2598">
        <w:rPr>
          <w:b/>
        </w:rPr>
        <w:t>Pyramiding: Respiratory Conditions</w:t>
      </w:r>
      <w:r w:rsidR="00C73700">
        <w:rPr>
          <w:b/>
        </w:rPr>
        <w:t>:</w:t>
      </w:r>
    </w:p>
    <w:p w14:paraId="41EBCF87" w14:textId="77777777" w:rsidR="00CE48CB" w:rsidRPr="00AD7CBE" w:rsidRDefault="00CE48CB" w:rsidP="00CE48CB">
      <w:pPr>
        <w:spacing w:after="240"/>
        <w:textAlignment w:val="baseline"/>
        <w:rPr>
          <w:color w:val="0000FF"/>
          <w:u w:val="single"/>
        </w:rPr>
      </w:pPr>
      <w:r w:rsidRPr="00ED2598">
        <w:rPr>
          <w:b/>
          <w:bCs/>
        </w:rPr>
        <w:t>Co-existing Respiratory Conditions</w:t>
      </w:r>
      <w:r w:rsidRPr="00ED2598">
        <w:rPr>
          <w:b/>
        </w:rPr>
        <w:t>:</w:t>
      </w:r>
      <w:r w:rsidRPr="00ED2598">
        <w:t xml:space="preserve"> </w:t>
      </w:r>
      <w:r w:rsidRPr="00B67B73">
        <w:rPr>
          <w:u w:val="single"/>
        </w:rPr>
        <w:t xml:space="preserve">38 CFR 4.96(a) </w:t>
      </w:r>
    </w:p>
    <w:p w14:paraId="0E8533BB" w14:textId="77777777" w:rsidR="00CE48CB" w:rsidRPr="00ED2598" w:rsidRDefault="00CE48CB" w:rsidP="00C73700">
      <w:pPr>
        <w:numPr>
          <w:ilvl w:val="0"/>
          <w:numId w:val="20"/>
        </w:numPr>
        <w:spacing w:after="60"/>
        <w:textAlignment w:val="baseline"/>
      </w:pPr>
      <w:r w:rsidRPr="00ED2598">
        <w:t xml:space="preserve">Ratings under DCs 6600-6817 and 6822-6847 </w:t>
      </w:r>
      <w:r w:rsidRPr="00ED2598">
        <w:rPr>
          <w:u w:val="single"/>
        </w:rPr>
        <w:t>cannot</w:t>
      </w:r>
      <w:r w:rsidRPr="00ED2598">
        <w:t xml:space="preserve"> be separately evaluated.</w:t>
      </w:r>
    </w:p>
    <w:p w14:paraId="271E3D90" w14:textId="77777777" w:rsidR="00CE48CB" w:rsidRPr="00ED2598" w:rsidRDefault="00CE48CB" w:rsidP="00C73700">
      <w:pPr>
        <w:numPr>
          <w:ilvl w:val="0"/>
          <w:numId w:val="20"/>
        </w:numPr>
        <w:spacing w:after="60"/>
        <w:textAlignment w:val="baseline"/>
      </w:pPr>
      <w:r w:rsidRPr="00ED2598">
        <w:t xml:space="preserve">Where there is lung or pleural involvement, ratings under DCs 6819 and 6820 </w:t>
      </w:r>
      <w:r w:rsidRPr="00ED2598">
        <w:rPr>
          <w:u w:val="single"/>
        </w:rPr>
        <w:t>cannot</w:t>
      </w:r>
      <w:r w:rsidRPr="00ED2598">
        <w:t xml:space="preserve"> be separately evaluated from each other or the DCs noted above.</w:t>
      </w:r>
    </w:p>
    <w:p w14:paraId="4E2C92BB" w14:textId="77777777" w:rsidR="00CE48CB" w:rsidRPr="00AD7CBE" w:rsidRDefault="00CE48CB" w:rsidP="00C73700">
      <w:pPr>
        <w:numPr>
          <w:ilvl w:val="0"/>
          <w:numId w:val="20"/>
        </w:numPr>
        <w:spacing w:after="60"/>
        <w:textAlignment w:val="baseline"/>
      </w:pPr>
      <w:r w:rsidRPr="00ED2598">
        <w:t>Single ratings are assigned under the diagnostic code which reflects the predominant disability with elevation to the next higher evaluation when the severity of the overall disability warrant such elevation.</w:t>
      </w:r>
    </w:p>
    <w:p w14:paraId="468C75B4" w14:textId="46783204" w:rsidR="007A5600" w:rsidRDefault="00CE48CB">
      <w:r w:rsidRPr="00ED2598">
        <w:rPr>
          <w:b/>
          <w:bCs/>
        </w:rPr>
        <w:t>GSW and Respiratory</w:t>
      </w:r>
      <w:r w:rsidRPr="00ED2598">
        <w:t xml:space="preserve">: Separate evaluations for restrictive lung disease due to gunshot wound and muscle group XXI </w:t>
      </w:r>
      <w:r w:rsidRPr="00ED2598">
        <w:rPr>
          <w:u w:val="single"/>
        </w:rPr>
        <w:t>cannot</w:t>
      </w:r>
      <w:r w:rsidRPr="00ED2598">
        <w:t xml:space="preserve"> be assigned</w:t>
      </w:r>
    </w:p>
    <w:p w14:paraId="468C75B6" w14:textId="77777777" w:rsidR="007A5600" w:rsidRDefault="007A5600"/>
    <w:p w14:paraId="0C415E75" w14:textId="60FB0D5F" w:rsidR="00CE48CB" w:rsidRPr="00ED2598" w:rsidRDefault="00CE48CB" w:rsidP="00CE48CB">
      <w:pPr>
        <w:textAlignment w:val="baseline"/>
        <w:rPr>
          <w:b/>
        </w:rPr>
      </w:pPr>
      <w:r w:rsidRPr="00ED2598">
        <w:rPr>
          <w:b/>
        </w:rPr>
        <w:lastRenderedPageBreak/>
        <w:t>Pyramiding: Cardiovascular</w:t>
      </w:r>
      <w:r w:rsidR="004258A1">
        <w:rPr>
          <w:b/>
        </w:rPr>
        <w:t xml:space="preserve"> </w:t>
      </w:r>
      <w:r w:rsidR="003A62E7">
        <w:rPr>
          <w:b/>
        </w:rPr>
        <w:t>S</w:t>
      </w:r>
      <w:r w:rsidR="004258A1">
        <w:rPr>
          <w:b/>
        </w:rPr>
        <w:t>ystem</w:t>
      </w:r>
    </w:p>
    <w:p w14:paraId="0EE7605F" w14:textId="77777777" w:rsidR="00CE48CB" w:rsidRPr="00ED2598" w:rsidRDefault="00CE48CB" w:rsidP="00CE48CB">
      <w:pPr>
        <w:spacing w:after="240"/>
        <w:textAlignment w:val="baseline"/>
      </w:pPr>
      <w:r w:rsidRPr="00ED2598">
        <w:rPr>
          <w:b/>
          <w:bCs/>
        </w:rPr>
        <w:t>Hypertension</w:t>
      </w:r>
      <w:r w:rsidRPr="00ED2598">
        <w:rPr>
          <w:b/>
        </w:rPr>
        <w:t>:</w:t>
      </w:r>
      <w:r>
        <w:t xml:space="preserve"> </w:t>
      </w:r>
      <w:r w:rsidRPr="00ED2598">
        <w:t xml:space="preserve">Evaluate hypertension due to aortic insufficiency or hyperthyroidism, as part of the condition causing it </w:t>
      </w:r>
      <w:r w:rsidRPr="00ED2598">
        <w:rPr>
          <w:u w:val="single"/>
        </w:rPr>
        <w:t>rather than</w:t>
      </w:r>
      <w:r w:rsidRPr="00ED2598">
        <w:t xml:space="preserve"> by a separate evaluation.</w:t>
      </w:r>
    </w:p>
    <w:p w14:paraId="5D68D53B" w14:textId="77777777" w:rsidR="00CE48CB" w:rsidRPr="00ED2598" w:rsidRDefault="00CE48CB" w:rsidP="00CE48CB">
      <w:pPr>
        <w:spacing w:before="0" w:after="240"/>
        <w:textAlignment w:val="baseline"/>
      </w:pPr>
      <w:r w:rsidRPr="00ED2598">
        <w:rPr>
          <w:b/>
          <w:bCs/>
        </w:rPr>
        <w:t>Cardiovascular and Nephritis</w:t>
      </w:r>
      <w:r w:rsidRPr="00ED2598">
        <w:rPr>
          <w:b/>
        </w:rPr>
        <w:t>:</w:t>
      </w:r>
      <w:r w:rsidRPr="00ED2598">
        <w:t xml:space="preserve"> </w:t>
      </w:r>
      <w:r w:rsidRPr="00B67B73">
        <w:rPr>
          <w:u w:val="single"/>
        </w:rPr>
        <w:t>38 CFR 4.115</w:t>
      </w:r>
      <w:r w:rsidRPr="00B67B73">
        <w:t xml:space="preserve"> </w:t>
      </w:r>
      <w:r w:rsidRPr="00ED2598">
        <w:t xml:space="preserve">Separate ratings are </w:t>
      </w:r>
      <w:r w:rsidRPr="00ED2598">
        <w:rPr>
          <w:u w:val="single"/>
        </w:rPr>
        <w:t>not</w:t>
      </w:r>
      <w:r w:rsidRPr="00ED2598">
        <w:t xml:space="preserve"> to be assigned for disability from disease of the heart (which includes hypertension) and any form of nephritis </w:t>
      </w:r>
      <w:r w:rsidRPr="00ED2598">
        <w:rPr>
          <w:u w:val="single"/>
        </w:rPr>
        <w:t>unless</w:t>
      </w:r>
      <w:r w:rsidRPr="00ED2598">
        <w:t xml:space="preserve"> there is absence of a kidney or regular dialysis is required.</w:t>
      </w:r>
    </w:p>
    <w:p w14:paraId="19C92588" w14:textId="77777777" w:rsidR="00CE48CB" w:rsidRPr="00ED2598" w:rsidRDefault="00CE48CB" w:rsidP="00C73700">
      <w:pPr>
        <w:spacing w:after="240"/>
        <w:textAlignment w:val="baseline"/>
      </w:pPr>
      <w:r w:rsidRPr="00ED2598">
        <w:rPr>
          <w:b/>
          <w:bCs/>
        </w:rPr>
        <w:t>Cold Injury</w:t>
      </w:r>
      <w:r w:rsidRPr="00ED2598">
        <w:rPr>
          <w:b/>
        </w:rPr>
        <w:t>:</w:t>
      </w:r>
      <w:r w:rsidRPr="00ED2598">
        <w:t xml:space="preserve"> Separately diagnosed residuals of cold injuries, such as Raynaud’s phenomenon, muscle atrophy, etc., </w:t>
      </w:r>
      <w:r w:rsidRPr="00ED2598">
        <w:rPr>
          <w:u w:val="single"/>
        </w:rPr>
        <w:t>cannot</w:t>
      </w:r>
      <w:r w:rsidRPr="00ED2598">
        <w:t xml:space="preserve"> be assigned as separate evaluations </w:t>
      </w:r>
      <w:r w:rsidRPr="00ED2598">
        <w:rPr>
          <w:u w:val="single"/>
        </w:rPr>
        <w:t>if</w:t>
      </w:r>
      <w:r w:rsidRPr="00ED2598">
        <w:t xml:space="preserve"> they are used to support an evaluation under DC 7122.</w:t>
      </w:r>
    </w:p>
    <w:p w14:paraId="658198C6" w14:textId="26AA1AD0" w:rsidR="00CE48CB" w:rsidRPr="00ED2598" w:rsidRDefault="00CE48CB" w:rsidP="00C73700">
      <w:pPr>
        <w:spacing w:after="120"/>
        <w:textAlignment w:val="baseline"/>
        <w:rPr>
          <w:b/>
        </w:rPr>
      </w:pPr>
      <w:r w:rsidRPr="00ED2598">
        <w:rPr>
          <w:b/>
        </w:rPr>
        <w:t>Pyramiding: Digestive</w:t>
      </w:r>
      <w:r w:rsidR="004258A1">
        <w:rPr>
          <w:b/>
        </w:rPr>
        <w:t xml:space="preserve"> </w:t>
      </w:r>
      <w:r w:rsidR="003A62E7">
        <w:rPr>
          <w:b/>
        </w:rPr>
        <w:t>B</w:t>
      </w:r>
      <w:r w:rsidR="004258A1">
        <w:rPr>
          <w:b/>
        </w:rPr>
        <w:t xml:space="preserve">ody </w:t>
      </w:r>
      <w:r w:rsidR="003A62E7">
        <w:rPr>
          <w:b/>
        </w:rPr>
        <w:t>S</w:t>
      </w:r>
      <w:r w:rsidR="004258A1">
        <w:rPr>
          <w:b/>
        </w:rPr>
        <w:t>ystem</w:t>
      </w:r>
    </w:p>
    <w:p w14:paraId="1426CF38" w14:textId="77777777" w:rsidR="00CE48CB" w:rsidRPr="00ED2598" w:rsidRDefault="00CE48CB" w:rsidP="00CE48CB">
      <w:pPr>
        <w:spacing w:before="0"/>
        <w:textAlignment w:val="baseline"/>
      </w:pPr>
      <w:r w:rsidRPr="00B67B73">
        <w:rPr>
          <w:bCs/>
          <w:u w:val="single"/>
        </w:rPr>
        <w:t>38 CFR 4.114</w:t>
      </w:r>
      <w:r w:rsidRPr="00B67B73">
        <w:t xml:space="preserve">: </w:t>
      </w:r>
      <w:r w:rsidRPr="00ED2598">
        <w:t xml:space="preserve">Evaluations of digestive conditions under certain DCs will </w:t>
      </w:r>
      <w:r w:rsidRPr="00ED2598">
        <w:rPr>
          <w:u w:val="single"/>
        </w:rPr>
        <w:t>not</w:t>
      </w:r>
      <w:r w:rsidRPr="00ED2598">
        <w:t xml:space="preserve"> be combined with each other or</w:t>
      </w:r>
      <w:r>
        <w:t xml:space="preserve"> assigned separate evaluations.</w:t>
      </w:r>
      <w:r w:rsidRPr="00ED2598">
        <w:t xml:space="preserve"> Instead, a single evaluation should be assigned under the DC which reflects the predominant disability, with elevation to the next higher evaluation when the severity of the overall disability warrants such elevation.</w:t>
      </w:r>
    </w:p>
    <w:p w14:paraId="2FE85BFB" w14:textId="77777777" w:rsidR="00CE48CB" w:rsidRPr="00ED2598" w:rsidRDefault="00CE48CB" w:rsidP="00CE48CB">
      <w:pPr>
        <w:spacing w:before="0"/>
        <w:textAlignment w:val="baseline"/>
      </w:pPr>
    </w:p>
    <w:p w14:paraId="001D6E59" w14:textId="77777777" w:rsidR="00CE48CB" w:rsidRPr="00ED2598" w:rsidRDefault="00CE48CB" w:rsidP="00CE48CB">
      <w:pPr>
        <w:spacing w:before="0"/>
        <w:textAlignment w:val="baseline"/>
      </w:pPr>
      <w:r w:rsidRPr="00ED2598">
        <w:t xml:space="preserve">Do </w:t>
      </w:r>
      <w:r w:rsidRPr="00ED2598">
        <w:rPr>
          <w:u w:val="single"/>
        </w:rPr>
        <w:t>not</w:t>
      </w:r>
      <w:r w:rsidRPr="00ED2598">
        <w:t xml:space="preserve"> combine separate evaluations of digestive conditions with each other under the following </w:t>
      </w:r>
      <w:r w:rsidRPr="00B67B73">
        <w:rPr>
          <w:u w:val="single"/>
        </w:rPr>
        <w:t>38 CFR 4.114</w:t>
      </w:r>
      <w:r w:rsidRPr="00B67B73">
        <w:t xml:space="preserve"> </w:t>
      </w:r>
      <w:r w:rsidRPr="00ED2598">
        <w:t>DCs:</w:t>
      </w:r>
    </w:p>
    <w:p w14:paraId="041F0EB9" w14:textId="77777777" w:rsidR="00CE48CB" w:rsidRPr="00ED2598" w:rsidRDefault="00CE48CB" w:rsidP="00CE48CB">
      <w:pPr>
        <w:spacing w:before="0"/>
        <w:textAlignment w:val="baseline"/>
      </w:pPr>
    </w:p>
    <w:p w14:paraId="36848023" w14:textId="77777777" w:rsidR="00CE48CB" w:rsidRPr="00ED2598" w:rsidRDefault="00CE48CB" w:rsidP="00FC191E">
      <w:pPr>
        <w:numPr>
          <w:ilvl w:val="0"/>
          <w:numId w:val="21"/>
        </w:numPr>
        <w:spacing w:before="60" w:after="60"/>
        <w:textAlignment w:val="baseline"/>
      </w:pPr>
      <w:r w:rsidRPr="00ED2598">
        <w:t xml:space="preserve">7301 to 7329, inclusive (meaning </w:t>
      </w:r>
      <w:r w:rsidRPr="00ED2598">
        <w:rPr>
          <w:bCs/>
          <w:iCs/>
        </w:rPr>
        <w:t>all</w:t>
      </w:r>
      <w:r w:rsidRPr="00ED2598">
        <w:t xml:space="preserve"> the DCs from 7301 to 7329)</w:t>
      </w:r>
    </w:p>
    <w:p w14:paraId="14349805" w14:textId="77777777" w:rsidR="00CE48CB" w:rsidRPr="00ED2598" w:rsidRDefault="00CE48CB" w:rsidP="00FC191E">
      <w:pPr>
        <w:numPr>
          <w:ilvl w:val="0"/>
          <w:numId w:val="21"/>
        </w:numPr>
        <w:spacing w:before="60" w:after="60"/>
        <w:textAlignment w:val="baseline"/>
      </w:pPr>
      <w:r w:rsidRPr="00ED2598">
        <w:t>7331</w:t>
      </w:r>
    </w:p>
    <w:p w14:paraId="40B8A838" w14:textId="77777777" w:rsidR="00CE48CB" w:rsidRPr="00ED2598" w:rsidRDefault="00CE48CB" w:rsidP="00FC191E">
      <w:pPr>
        <w:numPr>
          <w:ilvl w:val="0"/>
          <w:numId w:val="21"/>
        </w:numPr>
        <w:spacing w:before="60" w:after="60"/>
        <w:textAlignment w:val="baseline"/>
      </w:pPr>
      <w:r w:rsidRPr="00ED2598">
        <w:t>7342, and</w:t>
      </w:r>
    </w:p>
    <w:p w14:paraId="071A5339" w14:textId="534BC16B" w:rsidR="00CE48CB" w:rsidRDefault="00CE48CB" w:rsidP="00FC191E">
      <w:pPr>
        <w:numPr>
          <w:ilvl w:val="0"/>
          <w:numId w:val="21"/>
        </w:numPr>
        <w:spacing w:after="240"/>
        <w:textAlignment w:val="baseline"/>
      </w:pPr>
      <w:r w:rsidRPr="00ED2598">
        <w:t xml:space="preserve">7345 to 7348, inclusive (meaning </w:t>
      </w:r>
      <w:r w:rsidRPr="00ED2598">
        <w:rPr>
          <w:bCs/>
          <w:iCs/>
        </w:rPr>
        <w:t>all</w:t>
      </w:r>
      <w:r w:rsidRPr="00ED2598">
        <w:t xml:space="preserve"> the DCs from 7345 to 7348).</w:t>
      </w:r>
    </w:p>
    <w:p w14:paraId="48EFADB6" w14:textId="44A51FFB" w:rsidR="00CE48CB" w:rsidRPr="00ED2598" w:rsidRDefault="00CE48CB" w:rsidP="00CE48CB">
      <w:pPr>
        <w:textAlignment w:val="baseline"/>
        <w:rPr>
          <w:b/>
        </w:rPr>
      </w:pPr>
      <w:r w:rsidRPr="00ED2598">
        <w:rPr>
          <w:b/>
        </w:rPr>
        <w:t>Pyramiding: Endocrine</w:t>
      </w:r>
      <w:r w:rsidR="004258A1">
        <w:rPr>
          <w:b/>
        </w:rPr>
        <w:t xml:space="preserve"> </w:t>
      </w:r>
      <w:r w:rsidR="003A62E7">
        <w:rPr>
          <w:b/>
        </w:rPr>
        <w:t>S</w:t>
      </w:r>
      <w:r w:rsidR="004258A1">
        <w:rPr>
          <w:b/>
        </w:rPr>
        <w:t>ystem</w:t>
      </w:r>
    </w:p>
    <w:p w14:paraId="39F5A818" w14:textId="77777777" w:rsidR="00CE48CB" w:rsidRPr="00ED2598" w:rsidRDefault="00CE48CB" w:rsidP="00CE48CB">
      <w:pPr>
        <w:spacing w:after="240"/>
        <w:textAlignment w:val="baseline"/>
      </w:pPr>
      <w:r w:rsidRPr="00197D34">
        <w:rPr>
          <w:b/>
          <w:bCs/>
        </w:rPr>
        <w:t>Diabetic Complications</w:t>
      </w:r>
      <w:r w:rsidRPr="00ED2598">
        <w:t>:</w:t>
      </w:r>
    </w:p>
    <w:p w14:paraId="203E6774" w14:textId="77777777" w:rsidR="00CE48CB" w:rsidRPr="00ED2598" w:rsidRDefault="00CE48CB" w:rsidP="00FC191E">
      <w:pPr>
        <w:numPr>
          <w:ilvl w:val="0"/>
          <w:numId w:val="22"/>
        </w:numPr>
        <w:spacing w:after="60"/>
        <w:textAlignment w:val="baseline"/>
      </w:pPr>
      <w:r w:rsidRPr="00ED2598">
        <w:t xml:space="preserve">Evaluate compensable complications of diabetes mellitus separately </w:t>
      </w:r>
      <w:r w:rsidRPr="00ED2598">
        <w:rPr>
          <w:u w:val="single"/>
        </w:rPr>
        <w:t>unless</w:t>
      </w:r>
      <w:r w:rsidRPr="00ED2598">
        <w:t xml:space="preserve"> they are a part of the criteria used to support a 100-percent evaluation under DC 7913.</w:t>
      </w:r>
    </w:p>
    <w:p w14:paraId="1513929A" w14:textId="77777777" w:rsidR="00CE48CB" w:rsidRPr="00ED2598" w:rsidRDefault="00CE48CB" w:rsidP="00FC191E">
      <w:pPr>
        <w:numPr>
          <w:ilvl w:val="0"/>
          <w:numId w:val="22"/>
        </w:numPr>
        <w:spacing w:before="60" w:after="240"/>
        <w:textAlignment w:val="baseline"/>
      </w:pPr>
      <w:r w:rsidRPr="00ED2598">
        <w:t>Non-compensable complications of diabetes mellitus are considered part of the diabetic process under DC 7913.</w:t>
      </w:r>
    </w:p>
    <w:p w14:paraId="2AEBE009" w14:textId="77777777" w:rsidR="00CE48CB" w:rsidRDefault="00CE48CB" w:rsidP="00B47EA9">
      <w:pPr>
        <w:spacing w:after="240"/>
        <w:textAlignment w:val="baseline"/>
      </w:pPr>
      <w:r w:rsidRPr="00197D34">
        <w:rPr>
          <w:b/>
          <w:bCs/>
        </w:rPr>
        <w:t>Hyperthyroidism</w:t>
      </w:r>
      <w:r w:rsidRPr="00ED2598">
        <w:t xml:space="preserve">: Symptoms of hyperthyroidism used to support the evaluation of other DCs; or, granted as separate disabilities, </w:t>
      </w:r>
      <w:r w:rsidRPr="00ED2598">
        <w:rPr>
          <w:u w:val="single"/>
        </w:rPr>
        <w:t>cannot</w:t>
      </w:r>
      <w:r w:rsidRPr="00ED2598">
        <w:t xml:space="preserve"> be used to support an evaluation under DC 7900.</w:t>
      </w:r>
    </w:p>
    <w:p w14:paraId="5CFC7B4B" w14:textId="700E16F8" w:rsidR="00CE48CB" w:rsidRPr="00ED2598" w:rsidRDefault="00CE48CB" w:rsidP="00CE48CB">
      <w:pPr>
        <w:textAlignment w:val="baseline"/>
        <w:rPr>
          <w:b/>
        </w:rPr>
      </w:pPr>
      <w:r w:rsidRPr="00ED2598">
        <w:rPr>
          <w:b/>
        </w:rPr>
        <w:t>Pyramiding: Traumatic Brain Injury</w:t>
      </w:r>
      <w:r w:rsidR="003A62E7">
        <w:rPr>
          <w:b/>
        </w:rPr>
        <w:t xml:space="preserve"> (TBI)</w:t>
      </w:r>
    </w:p>
    <w:p w14:paraId="0AA8EBDB" w14:textId="77777777" w:rsidR="00CE48CB" w:rsidRPr="00ED2598" w:rsidRDefault="00CE48CB" w:rsidP="00CE48CB">
      <w:pPr>
        <w:spacing w:after="240"/>
        <w:textAlignment w:val="baseline"/>
      </w:pPr>
      <w:r w:rsidRPr="00197D34">
        <w:rPr>
          <w:b/>
          <w:bCs/>
        </w:rPr>
        <w:t>Multiple Evaluations</w:t>
      </w:r>
      <w:r>
        <w:t xml:space="preserve">: </w:t>
      </w:r>
      <w:r w:rsidRPr="00ED2598">
        <w:t xml:space="preserve">In addition to the evaluation for TBI manifestations under DC 8045, separate evaluations of comorbid mental, neurologic, or other physical disorder can be assigned </w:t>
      </w:r>
      <w:r w:rsidRPr="00ED2598">
        <w:rPr>
          <w:u w:val="single"/>
        </w:rPr>
        <w:t>unless</w:t>
      </w:r>
      <w:r w:rsidRPr="00ED2598">
        <w:t xml:space="preserve"> the manifestation was used to assign an evaluation under DC 8045.</w:t>
      </w:r>
    </w:p>
    <w:p w14:paraId="0D6CF81E" w14:textId="77777777" w:rsidR="00CE48CB" w:rsidRPr="00ED2598" w:rsidRDefault="00CE48CB" w:rsidP="00FC191E">
      <w:pPr>
        <w:spacing w:after="240"/>
        <w:textAlignment w:val="baseline"/>
      </w:pPr>
      <w:r w:rsidRPr="00197D34">
        <w:rPr>
          <w:b/>
          <w:bCs/>
        </w:rPr>
        <w:t>TBI and Vertigo</w:t>
      </w:r>
      <w:r w:rsidRPr="00ED2598">
        <w:t xml:space="preserve">: A separate evaluation of vertigo </w:t>
      </w:r>
      <w:r w:rsidRPr="00ED2598">
        <w:rPr>
          <w:u w:val="single"/>
        </w:rPr>
        <w:t>cannot</w:t>
      </w:r>
      <w:r>
        <w:t xml:space="preserve"> be assigned. </w:t>
      </w:r>
      <w:r w:rsidRPr="00ED2598">
        <w:t>Vertigo is a subjective symptom that is already considered in the facets of TBI criteria.</w:t>
      </w:r>
    </w:p>
    <w:p w14:paraId="16A00CF9" w14:textId="77777777" w:rsidR="004258A1" w:rsidRPr="00ED2598" w:rsidRDefault="004258A1" w:rsidP="004258A1">
      <w:pPr>
        <w:textAlignment w:val="baseline"/>
        <w:rPr>
          <w:b/>
        </w:rPr>
      </w:pPr>
      <w:r w:rsidRPr="00ED2598">
        <w:rPr>
          <w:b/>
        </w:rPr>
        <w:lastRenderedPageBreak/>
        <w:t>Pyramiding: Peripheral Nerves</w:t>
      </w:r>
    </w:p>
    <w:p w14:paraId="5955132C" w14:textId="77777777" w:rsidR="004258A1" w:rsidRPr="00ED2598" w:rsidRDefault="004258A1" w:rsidP="004258A1">
      <w:pPr>
        <w:spacing w:after="240"/>
        <w:textAlignment w:val="baseline"/>
      </w:pPr>
      <w:r w:rsidRPr="00197D34">
        <w:rPr>
          <w:b/>
          <w:bCs/>
        </w:rPr>
        <w:t>Upper Extremities</w:t>
      </w:r>
      <w:r>
        <w:t xml:space="preserve">: </w:t>
      </w:r>
      <w:r w:rsidRPr="00ED2598">
        <w:t xml:space="preserve">Separate evaluations may </w:t>
      </w:r>
      <w:r w:rsidRPr="00ED2598">
        <w:rPr>
          <w:u w:val="single"/>
        </w:rPr>
        <w:t>not</w:t>
      </w:r>
      <w:r w:rsidRPr="00ED2598">
        <w:t xml:space="preserve"> be assigned for disability affecting multiple nerve branches of the same upper extremity.</w:t>
      </w:r>
    </w:p>
    <w:p w14:paraId="2FCD5993" w14:textId="77777777" w:rsidR="004258A1" w:rsidRPr="00ED2598" w:rsidRDefault="004258A1" w:rsidP="004258A1">
      <w:pPr>
        <w:spacing w:before="0"/>
        <w:textAlignment w:val="baseline"/>
      </w:pPr>
      <w:r w:rsidRPr="00197D34">
        <w:rPr>
          <w:b/>
          <w:bCs/>
        </w:rPr>
        <w:t>Lower Extremities</w:t>
      </w:r>
      <w:r>
        <w:t xml:space="preserve">: </w:t>
      </w:r>
      <w:r w:rsidRPr="00ED2598">
        <w:t>Separate evaluations for disability affecting lower extremity nerves are warranted when symptoms arise from any of the five individual nerve branches.</w:t>
      </w:r>
    </w:p>
    <w:p w14:paraId="2A7C0019" w14:textId="77777777" w:rsidR="004258A1" w:rsidRDefault="004258A1" w:rsidP="00B47EA9">
      <w:pPr>
        <w:numPr>
          <w:ilvl w:val="0"/>
          <w:numId w:val="19"/>
        </w:numPr>
        <w:spacing w:after="240"/>
        <w:textAlignment w:val="baseline"/>
      </w:pPr>
      <w:r w:rsidRPr="00ED2598">
        <w:t xml:space="preserve">If symptoms arise from within the same nerve branch of any of the five individual nerve branches in the lower extremity, assigning separate evaluation for those symptoms would constitute </w:t>
      </w:r>
      <w:r w:rsidRPr="00ED2598">
        <w:rPr>
          <w:u w:val="single"/>
        </w:rPr>
        <w:t>pyramiding</w:t>
      </w:r>
      <w:r w:rsidRPr="00ED2598">
        <w:t>.</w:t>
      </w:r>
    </w:p>
    <w:p w14:paraId="27BFF7AB" w14:textId="15780CEB" w:rsidR="004258A1" w:rsidRDefault="004258A1" w:rsidP="004258A1">
      <w:pPr>
        <w:textAlignment w:val="baseline"/>
        <w:rPr>
          <w:b/>
        </w:rPr>
      </w:pPr>
      <w:r w:rsidRPr="00ED2598">
        <w:rPr>
          <w:b/>
        </w:rPr>
        <w:t>Pyramiding: ALS/MS</w:t>
      </w:r>
    </w:p>
    <w:p w14:paraId="40DF9471" w14:textId="77777777" w:rsidR="004258A1" w:rsidRPr="00ED2598" w:rsidRDefault="004258A1" w:rsidP="004258A1">
      <w:pPr>
        <w:spacing w:after="240"/>
        <w:textAlignment w:val="baseline"/>
      </w:pPr>
      <w:r w:rsidRPr="00197D34">
        <w:rPr>
          <w:b/>
          <w:bCs/>
        </w:rPr>
        <w:t>Amyotrophic Lateral Sclerosis (ALS)</w:t>
      </w:r>
      <w:r w:rsidRPr="00197D34">
        <w:rPr>
          <w:b/>
        </w:rPr>
        <w:t>:</w:t>
      </w:r>
      <w:r>
        <w:t xml:space="preserve"> </w:t>
      </w:r>
      <w:r w:rsidRPr="00ED2598">
        <w:t>If a single 100 percent evaluation is warranted for a complication of ALS, assign a 100 percent for that complication and separately eval</w:t>
      </w:r>
      <w:r>
        <w:t xml:space="preserve">uate additional complications. </w:t>
      </w:r>
      <w:r w:rsidRPr="00ED2598">
        <w:rPr>
          <w:u w:val="single"/>
        </w:rPr>
        <w:t>Do not</w:t>
      </w:r>
      <w:r w:rsidRPr="00ED2598">
        <w:t xml:space="preserve"> assign a separate evaluation under DC 8017; however, as this would constitute pyramiding.</w:t>
      </w:r>
    </w:p>
    <w:p w14:paraId="5C4E888B" w14:textId="77777777" w:rsidR="004258A1" w:rsidRPr="00ED2598" w:rsidRDefault="004258A1" w:rsidP="00B47EA9">
      <w:pPr>
        <w:spacing w:after="240"/>
        <w:textAlignment w:val="baseline"/>
      </w:pPr>
      <w:r w:rsidRPr="00197D34">
        <w:rPr>
          <w:b/>
          <w:bCs/>
        </w:rPr>
        <w:t>Multiple Sclerosis (MS)</w:t>
      </w:r>
      <w:r w:rsidRPr="00197D34">
        <w:rPr>
          <w:b/>
        </w:rPr>
        <w:t>:</w:t>
      </w:r>
      <w:r>
        <w:t xml:space="preserve"> </w:t>
      </w:r>
      <w:r w:rsidRPr="00ED2598">
        <w:t>Residuals of MS are evaluated separately when the combined evaluation for the residu</w:t>
      </w:r>
      <w:r>
        <w:t xml:space="preserve">als are 30 percent or greater. </w:t>
      </w:r>
      <w:r w:rsidRPr="00ED2598">
        <w:t xml:space="preserve">When residuals are separately evaluated, the minimum evaluation under DC 8018 may </w:t>
      </w:r>
      <w:r w:rsidRPr="00ED2598">
        <w:rPr>
          <w:u w:val="single"/>
        </w:rPr>
        <w:t>not</w:t>
      </w:r>
      <w:r w:rsidRPr="00ED2598">
        <w:t xml:space="preserve"> be concurrently assigned.</w:t>
      </w:r>
    </w:p>
    <w:p w14:paraId="05545C17" w14:textId="77777777" w:rsidR="00C2614D" w:rsidRPr="00857190" w:rsidRDefault="00C2614D" w:rsidP="00C2614D">
      <w:pPr>
        <w:pStyle w:val="VBALevel2Heading"/>
        <w:rPr>
          <w:color w:val="auto"/>
        </w:rPr>
      </w:pPr>
      <w:r>
        <w:rPr>
          <w:color w:val="auto"/>
        </w:rPr>
        <w:t>Pyramiding: Mental</w:t>
      </w:r>
    </w:p>
    <w:p w14:paraId="7059E539" w14:textId="77777777" w:rsidR="00C2614D" w:rsidRPr="00C2614D" w:rsidRDefault="00C2614D" w:rsidP="00C2614D">
      <w:pPr>
        <w:spacing w:before="0"/>
        <w:textAlignment w:val="baseline"/>
      </w:pPr>
      <w:r w:rsidRPr="00C2614D">
        <w:rPr>
          <w:bCs/>
        </w:rPr>
        <w:t>Physical/Mental Disorders</w:t>
      </w:r>
      <w:r w:rsidRPr="00C2614D">
        <w:t>: When a single disability has been diagnosed both as a physical condition and as a mental disorder, the rating agency shall evaluate it using a DC which represents the dominant (more disabling) aspect of the condition.</w:t>
      </w:r>
    </w:p>
    <w:p w14:paraId="43BBB71D" w14:textId="77777777" w:rsidR="00C2614D" w:rsidRPr="00C2614D" w:rsidRDefault="00C2614D" w:rsidP="00C2614D">
      <w:pPr>
        <w:spacing w:before="0"/>
        <w:textAlignment w:val="baseline"/>
      </w:pPr>
    </w:p>
    <w:p w14:paraId="136CB3AC" w14:textId="77777777" w:rsidR="00C2614D" w:rsidRPr="00C2614D" w:rsidRDefault="00C2614D" w:rsidP="00C2614D">
      <w:pPr>
        <w:numPr>
          <w:ilvl w:val="0"/>
          <w:numId w:val="19"/>
        </w:numPr>
        <w:spacing w:before="0"/>
        <w:textAlignment w:val="baseline"/>
        <w:rPr>
          <w:bCs/>
        </w:rPr>
      </w:pPr>
      <w:r w:rsidRPr="00C2614D">
        <w:t xml:space="preserve">To warrant separate evaluations, the symptoms considered </w:t>
      </w:r>
      <w:r w:rsidRPr="00C2614D">
        <w:rPr>
          <w:u w:val="single"/>
        </w:rPr>
        <w:t>must</w:t>
      </w:r>
      <w:r w:rsidRPr="00C2614D">
        <w:t xml:space="preserve"> be distinct and not overlap.</w:t>
      </w:r>
    </w:p>
    <w:p w14:paraId="4C3582AF" w14:textId="77777777" w:rsidR="00C2614D" w:rsidRPr="00C2614D" w:rsidRDefault="00C2614D" w:rsidP="00C2614D">
      <w:pPr>
        <w:spacing w:before="0"/>
        <w:textAlignment w:val="baseline"/>
        <w:rPr>
          <w:bCs/>
        </w:rPr>
      </w:pPr>
    </w:p>
    <w:p w14:paraId="04C8E5BE" w14:textId="2118EB06" w:rsidR="004258A1" w:rsidRDefault="00C2614D" w:rsidP="00B47EA9">
      <w:pPr>
        <w:overflowPunct/>
        <w:autoSpaceDE/>
        <w:autoSpaceDN/>
        <w:adjustRightInd/>
        <w:spacing w:after="240"/>
        <w:ind w:left="360"/>
        <w:rPr>
          <w:bCs/>
          <w:iCs/>
        </w:rPr>
      </w:pPr>
      <w:r w:rsidRPr="00C2614D">
        <w:rPr>
          <w:b/>
          <w:iCs/>
        </w:rPr>
        <w:t xml:space="preserve">Reference: </w:t>
      </w:r>
      <w:r w:rsidRPr="00C2614D">
        <w:rPr>
          <w:bCs/>
          <w:iCs/>
        </w:rPr>
        <w:t>38 CFR 4.126(d), Evaluation of disability from mental disorders</w:t>
      </w:r>
    </w:p>
    <w:p w14:paraId="01B8818F" w14:textId="77777777" w:rsidR="004258A1" w:rsidRPr="00ED2598" w:rsidRDefault="004258A1" w:rsidP="00B47EA9">
      <w:pPr>
        <w:spacing w:after="240"/>
        <w:textAlignment w:val="baseline"/>
        <w:rPr>
          <w:b/>
        </w:rPr>
      </w:pPr>
      <w:r w:rsidRPr="00ED2598">
        <w:rPr>
          <w:b/>
        </w:rPr>
        <w:t>Pyramiding: Dental and Oral Conditions</w:t>
      </w:r>
    </w:p>
    <w:p w14:paraId="4541EC56" w14:textId="77777777" w:rsidR="004258A1" w:rsidRPr="00ED2598" w:rsidRDefault="004258A1" w:rsidP="004258A1">
      <w:pPr>
        <w:spacing w:after="240"/>
        <w:textAlignment w:val="baseline"/>
      </w:pPr>
      <w:r w:rsidRPr="00197D34">
        <w:rPr>
          <w:b/>
          <w:bCs/>
        </w:rPr>
        <w:t>Inter-Incisal Motion</w:t>
      </w:r>
      <w:r>
        <w:t xml:space="preserve">: </w:t>
      </w:r>
      <w:r w:rsidRPr="00ED2598">
        <w:t xml:space="preserve">In assigning an evaluation for TMJ or any other dental disability on the basis of limited motion of temporomandibular articulation under DC 9905, </w:t>
      </w:r>
      <w:r w:rsidRPr="00ED2598">
        <w:rPr>
          <w:u w:val="single"/>
        </w:rPr>
        <w:t>do not</w:t>
      </w:r>
      <w:r w:rsidRPr="00ED2598">
        <w:t xml:space="preserve"> assign separate evaluations for limited inter-incisal motion involving each side of the jaw.</w:t>
      </w:r>
    </w:p>
    <w:p w14:paraId="0D1477F6" w14:textId="77777777" w:rsidR="004258A1" w:rsidRPr="00ED2598" w:rsidRDefault="004258A1" w:rsidP="004258A1">
      <w:pPr>
        <w:numPr>
          <w:ilvl w:val="0"/>
          <w:numId w:val="23"/>
        </w:numPr>
        <w:spacing w:before="0"/>
        <w:textAlignment w:val="baseline"/>
      </w:pPr>
      <w:r w:rsidRPr="00ED2598">
        <w:t>If both sides of the jaw are affected, use the limitation of motion on the side that affords the highest evaluation.</w:t>
      </w:r>
    </w:p>
    <w:p w14:paraId="4158AB82" w14:textId="77777777" w:rsidR="004258A1" w:rsidRPr="004258A1" w:rsidRDefault="004258A1" w:rsidP="004258A1">
      <w:pPr>
        <w:textAlignment w:val="baseline"/>
        <w:rPr>
          <w:bCs/>
        </w:rPr>
      </w:pPr>
    </w:p>
    <w:p w14:paraId="468C75BA" w14:textId="02913FFE" w:rsidR="007A5600" w:rsidRDefault="007A5600">
      <w:pPr>
        <w:overflowPunct/>
        <w:autoSpaceDE/>
        <w:autoSpaceDN/>
        <w:adjustRightInd/>
        <w:spacing w:before="0"/>
        <w:rPr>
          <w:rFonts w:ascii="Times New Roman Bold" w:hAnsi="Times New Roman Bold"/>
          <w:b/>
          <w:smallCaps/>
          <w:color w:val="0070C0"/>
          <w:sz w:val="32"/>
          <w:szCs w:val="32"/>
        </w:rPr>
      </w:pPr>
      <w:r>
        <w:rPr>
          <w:color w:val="0070C0"/>
        </w:rPr>
        <w:br w:type="page"/>
      </w:r>
    </w:p>
    <w:p w14:paraId="4C75FD4F" w14:textId="54316098" w:rsidR="004258A1" w:rsidRPr="009A29B0" w:rsidRDefault="004258A1" w:rsidP="004258A1">
      <w:pPr>
        <w:pStyle w:val="VBATopicHeading1"/>
      </w:pPr>
      <w:bookmarkStart w:id="12" w:name="TP2"/>
      <w:bookmarkStart w:id="13" w:name="_Toc457647072"/>
      <w:bookmarkEnd w:id="12"/>
      <w:r w:rsidRPr="009A29B0">
        <w:lastRenderedPageBreak/>
        <w:t xml:space="preserve">Topic </w:t>
      </w:r>
      <w:r>
        <w:t>2</w:t>
      </w:r>
      <w:r w:rsidRPr="009A29B0">
        <w:t xml:space="preserve">: </w:t>
      </w:r>
      <w:r w:rsidR="00F626BA">
        <w:t>Review of VBMS-R</w:t>
      </w:r>
      <w:r>
        <w:t xml:space="preserve"> Conflicts Tab</w:t>
      </w:r>
      <w:bookmarkEnd w:id="13"/>
    </w:p>
    <w:tbl>
      <w:tblPr>
        <w:tblW w:w="9565" w:type="dxa"/>
        <w:tblInd w:w="-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565"/>
      </w:tblGrid>
      <w:tr w:rsidR="004258A1" w:rsidRPr="00462321" w14:paraId="7FB114B7" w14:textId="77777777" w:rsidTr="006F7F7B">
        <w:trPr>
          <w:trHeight w:val="212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</w:tcPr>
          <w:p w14:paraId="78C9B3B6" w14:textId="4A0BF1C1" w:rsidR="004258A1" w:rsidRPr="00462321" w:rsidRDefault="004258A1" w:rsidP="006F7F7B">
            <w:pPr>
              <w:spacing w:before="240" w:after="240"/>
              <w:ind w:right="-2284"/>
              <w:textAlignment w:val="baseline"/>
              <w:rPr>
                <w:bCs/>
                <w:szCs w:val="24"/>
              </w:rPr>
            </w:pPr>
            <w:r w:rsidRPr="00462321">
              <w:rPr>
                <w:bCs/>
                <w:szCs w:val="24"/>
              </w:rPr>
              <w:t>Built within VBMS</w:t>
            </w:r>
            <w:r>
              <w:rPr>
                <w:bCs/>
                <w:szCs w:val="24"/>
              </w:rPr>
              <w:t xml:space="preserve"> </w:t>
            </w:r>
            <w:r w:rsidRPr="00462321">
              <w:rPr>
                <w:bCs/>
                <w:szCs w:val="24"/>
              </w:rPr>
              <w:t xml:space="preserve">R </w:t>
            </w:r>
            <w:r>
              <w:rPr>
                <w:bCs/>
                <w:szCs w:val="24"/>
              </w:rPr>
              <w:t xml:space="preserve">is the </w:t>
            </w:r>
            <w:r w:rsidR="00492551" w:rsidRPr="006D443F">
              <w:rPr>
                <w:b/>
                <w:szCs w:val="24"/>
              </w:rPr>
              <w:t>C</w:t>
            </w:r>
            <w:r w:rsidRPr="006D443F">
              <w:rPr>
                <w:b/>
                <w:szCs w:val="24"/>
              </w:rPr>
              <w:t>onflicts tab</w:t>
            </w:r>
            <w:r>
              <w:rPr>
                <w:bCs/>
                <w:szCs w:val="24"/>
              </w:rPr>
              <w:t xml:space="preserve">.  This function was created to assist the RVSR with </w:t>
            </w:r>
            <w:r>
              <w:rPr>
                <w:bCs/>
                <w:szCs w:val="24"/>
              </w:rPr>
              <w:br/>
              <w:t xml:space="preserve">recognizing “potential” conflicts that could arise when processing a rating decision.  One such </w:t>
            </w:r>
            <w:r>
              <w:rPr>
                <w:bCs/>
                <w:szCs w:val="24"/>
              </w:rPr>
              <w:br/>
              <w:t xml:space="preserve">recognition that this tab supports is the prevention of pyramiding. The </w:t>
            </w:r>
            <w:r w:rsidR="000F4BD3" w:rsidRPr="006D443F">
              <w:rPr>
                <w:b/>
                <w:szCs w:val="24"/>
              </w:rPr>
              <w:t>C</w:t>
            </w:r>
            <w:r w:rsidRPr="006D443F">
              <w:rPr>
                <w:b/>
                <w:szCs w:val="24"/>
              </w:rPr>
              <w:t>onflicts tab</w:t>
            </w:r>
            <w:r w:rsidRPr="00790B2A">
              <w:rPr>
                <w:bCs/>
                <w:color w:val="FF0000"/>
                <w:szCs w:val="24"/>
              </w:rPr>
              <w:t xml:space="preserve"> </w:t>
            </w:r>
            <w:r w:rsidRPr="00FD192D">
              <w:rPr>
                <w:szCs w:val="24"/>
              </w:rPr>
              <w:t xml:space="preserve">is </w:t>
            </w:r>
            <w:r>
              <w:rPr>
                <w:szCs w:val="24"/>
              </w:rPr>
              <w:br/>
            </w:r>
            <w:r w:rsidRPr="00FD192D">
              <w:rPr>
                <w:szCs w:val="24"/>
              </w:rPr>
              <w:t xml:space="preserve">programmed to assist us with resolving </w:t>
            </w:r>
            <w:r>
              <w:rPr>
                <w:szCs w:val="24"/>
              </w:rPr>
              <w:t>those problems</w:t>
            </w:r>
            <w:r w:rsidR="006D443F">
              <w:rPr>
                <w:szCs w:val="24"/>
              </w:rPr>
              <w:t>.</w:t>
            </w:r>
          </w:p>
          <w:p w14:paraId="6D004C1E" w14:textId="6FF4ABCB" w:rsidR="004258A1" w:rsidRPr="00462321" w:rsidRDefault="004258A1" w:rsidP="006F7F7B">
            <w:pPr>
              <w:spacing w:before="240" w:after="240"/>
              <w:ind w:right="-2284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Review the screen shots below which demonstrate the functionality of the </w:t>
            </w:r>
            <w:r w:rsidR="000F4BD3" w:rsidRPr="006D443F">
              <w:rPr>
                <w:b/>
                <w:szCs w:val="24"/>
              </w:rPr>
              <w:t>C</w:t>
            </w:r>
            <w:r w:rsidRPr="006D443F">
              <w:rPr>
                <w:b/>
                <w:szCs w:val="24"/>
              </w:rPr>
              <w:t>onflicts tab</w:t>
            </w:r>
            <w:r w:rsidRPr="006D443F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and when </w:t>
            </w:r>
            <w:r>
              <w:rPr>
                <w:bCs/>
                <w:szCs w:val="24"/>
              </w:rPr>
              <w:br/>
              <w:t xml:space="preserve">engaged and reviewed will </w:t>
            </w:r>
            <w:r w:rsidR="002861B0">
              <w:rPr>
                <w:bCs/>
                <w:szCs w:val="24"/>
              </w:rPr>
              <w:t>assist</w:t>
            </w:r>
            <w:r>
              <w:rPr>
                <w:bCs/>
                <w:szCs w:val="24"/>
              </w:rPr>
              <w:t xml:space="preserve"> the RVSR in ensuring that pyramiding is prevented.</w:t>
            </w:r>
          </w:p>
          <w:p w14:paraId="3F75169B" w14:textId="77777777" w:rsidR="004258A1" w:rsidRPr="00462321" w:rsidRDefault="004258A1" w:rsidP="006F7F7B">
            <w:pPr>
              <w:spacing w:before="240" w:after="240"/>
              <w:textAlignment w:val="baseline"/>
              <w:rPr>
                <w:i/>
                <w:szCs w:val="24"/>
              </w:rPr>
            </w:pPr>
            <w:r w:rsidRPr="00462321">
              <w:rPr>
                <w:i/>
                <w:szCs w:val="24"/>
              </w:rPr>
              <w:t>The example in the slides refers to GERD and IBS.</w:t>
            </w:r>
          </w:p>
          <w:p w14:paraId="09F10DF5" w14:textId="77777777" w:rsidR="004258A1" w:rsidRPr="00462321" w:rsidRDefault="004258A1" w:rsidP="00B47EA9">
            <w:pPr>
              <w:tabs>
                <w:tab w:val="left" w:pos="9300"/>
              </w:tabs>
              <w:spacing w:before="240" w:after="240"/>
              <w:textAlignment w:val="baseline"/>
              <w:rPr>
                <w:b/>
                <w:caps/>
                <w:szCs w:val="24"/>
              </w:rPr>
            </w:pPr>
            <w:r w:rsidRPr="00462321">
              <w:rPr>
                <w:b/>
                <w:caps/>
                <w:noProof/>
              </w:rPr>
              <w:drawing>
                <wp:inline distT="0" distB="0" distL="0" distR="0" wp14:anchorId="73413C8C" wp14:editId="1D875170">
                  <wp:extent cx="5847080" cy="4743450"/>
                  <wp:effectExtent l="19050" t="19050" r="20320" b="19050"/>
                  <wp:docPr id="5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9537" cy="4859018"/>
                          </a:xfrm>
                          <a:prstGeom prst="rect">
                            <a:avLst/>
                          </a:prstGeom>
                          <a:noFill/>
                          <a:ln w="22225" cap="sq">
                            <a:solidFill>
                              <a:schemeClr val="tx1"/>
                            </a:solidFill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8A1" w:rsidRPr="00462321" w14:paraId="62B0BB0F" w14:textId="77777777" w:rsidTr="006F7F7B">
        <w:trPr>
          <w:trHeight w:val="212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</w:tcPr>
          <w:p w14:paraId="4774B0D5" w14:textId="77777777" w:rsidR="004258A1" w:rsidRPr="00462321" w:rsidRDefault="004258A1" w:rsidP="006F7F7B">
            <w:pPr>
              <w:spacing w:before="240" w:after="240"/>
              <w:ind w:right="-484"/>
              <w:textAlignment w:val="baseline"/>
              <w:rPr>
                <w:b/>
                <w:szCs w:val="24"/>
              </w:rPr>
            </w:pPr>
            <w:r w:rsidRPr="00462321">
              <w:rPr>
                <w:b/>
                <w:caps/>
                <w:noProof/>
              </w:rPr>
              <w:lastRenderedPageBreak/>
              <w:drawing>
                <wp:inline distT="0" distB="0" distL="0" distR="0" wp14:anchorId="6D220313" wp14:editId="6B921FBF">
                  <wp:extent cx="5948127" cy="3226980"/>
                  <wp:effectExtent l="19050" t="19050" r="14605" b="12065"/>
                  <wp:docPr id="1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941" cy="3307715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chemeClr val="tx1"/>
                            </a:solidFill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8A1" w:rsidRPr="00462321" w14:paraId="2E997151" w14:textId="77777777" w:rsidTr="006F7F7B">
        <w:trPr>
          <w:trHeight w:val="212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</w:tcPr>
          <w:p w14:paraId="31052CEE" w14:textId="77777777" w:rsidR="004258A1" w:rsidRPr="00462321" w:rsidRDefault="004258A1" w:rsidP="006F7F7B">
            <w:pPr>
              <w:spacing w:before="240" w:after="240"/>
              <w:textAlignment w:val="baseline"/>
              <w:rPr>
                <w:b/>
                <w:szCs w:val="24"/>
              </w:rPr>
            </w:pPr>
            <w:r w:rsidRPr="00462321">
              <w:rPr>
                <w:b/>
                <w:caps/>
                <w:noProof/>
              </w:rPr>
              <w:drawing>
                <wp:inline distT="0" distB="0" distL="0" distR="0" wp14:anchorId="50A6C824" wp14:editId="5FD8D51A">
                  <wp:extent cx="5948045" cy="2950210"/>
                  <wp:effectExtent l="19050" t="19050" r="14605" b="21590"/>
                  <wp:docPr id="3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2008" cy="2996815"/>
                          </a:xfrm>
                          <a:prstGeom prst="rect">
                            <a:avLst/>
                          </a:prstGeom>
                          <a:noFill/>
                          <a:ln w="22225" cap="sq">
                            <a:solidFill>
                              <a:schemeClr val="tx1"/>
                            </a:solidFill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8A1" w:rsidRPr="00462321" w14:paraId="53836833" w14:textId="77777777" w:rsidTr="006F7F7B">
        <w:trPr>
          <w:trHeight w:val="212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</w:tcPr>
          <w:p w14:paraId="4F9CF582" w14:textId="77777777" w:rsidR="004258A1" w:rsidRPr="00462321" w:rsidRDefault="004258A1" w:rsidP="006F7F7B">
            <w:pPr>
              <w:spacing w:before="240" w:after="240"/>
              <w:textAlignment w:val="baseline"/>
            </w:pPr>
          </w:p>
        </w:tc>
      </w:tr>
    </w:tbl>
    <w:p w14:paraId="187459EA" w14:textId="77777777" w:rsidR="004258A1" w:rsidRDefault="004258A1" w:rsidP="00E35C8B">
      <w:pPr>
        <w:pStyle w:val="VBABodyText0"/>
      </w:pPr>
    </w:p>
    <w:p w14:paraId="4C041BD4" w14:textId="77777777" w:rsidR="004258A1" w:rsidRDefault="004258A1" w:rsidP="00E35C8B">
      <w:pPr>
        <w:pStyle w:val="VBABodyText0"/>
      </w:pPr>
    </w:p>
    <w:p w14:paraId="468C75BC" w14:textId="4BC1270E" w:rsidR="007A5600" w:rsidRDefault="007A5600" w:rsidP="00E35C8B">
      <w:pPr>
        <w:pStyle w:val="VBABodyText0"/>
        <w:rPr>
          <w:rFonts w:ascii="Times New Roman Bold" w:hAnsi="Times New Roman Bold"/>
          <w:sz w:val="32"/>
          <w:szCs w:val="32"/>
        </w:rPr>
      </w:pPr>
      <w:r>
        <w:br w:type="page"/>
      </w:r>
    </w:p>
    <w:p w14:paraId="468C75C3" w14:textId="77777777" w:rsidR="007A5600" w:rsidRDefault="007A5600">
      <w:pPr>
        <w:pStyle w:val="VBATopicHeading1"/>
      </w:pPr>
      <w:bookmarkStart w:id="14" w:name="PE"/>
      <w:bookmarkStart w:id="15" w:name="_Toc436922589"/>
      <w:bookmarkEnd w:id="14"/>
      <w:r>
        <w:lastRenderedPageBreak/>
        <w:t>Practical Exercise</w:t>
      </w:r>
      <w:bookmarkEnd w:id="15"/>
    </w:p>
    <w:p w14:paraId="1F061DF8" w14:textId="77777777" w:rsidR="00B50280" w:rsidRDefault="005175F0" w:rsidP="00B47EA9">
      <w:pPr>
        <w:spacing w:after="240"/>
      </w:pPr>
      <w:r>
        <w:t>Directions:</w:t>
      </w:r>
      <w:r w:rsidR="00B50280">
        <w:t xml:space="preserve"> Answer the following questions:</w:t>
      </w:r>
    </w:p>
    <w:p w14:paraId="3E6CFF9D" w14:textId="4200EEBB" w:rsidR="00B50280" w:rsidRDefault="00B50280" w:rsidP="00B50280">
      <w:pPr>
        <w:rPr>
          <w:b/>
          <w:color w:val="1D1B11"/>
          <w:szCs w:val="24"/>
        </w:rPr>
      </w:pPr>
      <w:r w:rsidRPr="00532815">
        <w:rPr>
          <w:b/>
          <w:color w:val="1D1B11"/>
          <w:szCs w:val="24"/>
        </w:rPr>
        <w:t>The instructor is to review the scenarios with the trainees and provide the answers to the associated questions.</w:t>
      </w:r>
    </w:p>
    <w:p w14:paraId="38D3570C" w14:textId="77777777" w:rsidR="008622C9" w:rsidRPr="00532815" w:rsidRDefault="008622C9" w:rsidP="00B50280">
      <w:pPr>
        <w:rPr>
          <w:b/>
          <w:color w:val="1D1B11"/>
          <w:szCs w:val="24"/>
        </w:rPr>
      </w:pPr>
    </w:p>
    <w:p w14:paraId="769702AC" w14:textId="77777777" w:rsidR="00B50280" w:rsidRPr="00532815" w:rsidRDefault="00B50280" w:rsidP="00290B60">
      <w:pPr>
        <w:numPr>
          <w:ilvl w:val="0"/>
          <w:numId w:val="26"/>
        </w:numPr>
        <w:overflowPunct/>
        <w:autoSpaceDE/>
        <w:autoSpaceDN/>
        <w:adjustRightInd/>
        <w:spacing w:after="240" w:line="276" w:lineRule="auto"/>
        <w:ind w:left="360"/>
        <w:contextualSpacing/>
        <w:rPr>
          <w:rFonts w:eastAsia="Calibri"/>
          <w:b/>
          <w:color w:val="1D1B11"/>
          <w:szCs w:val="24"/>
        </w:rPr>
      </w:pPr>
      <w:r w:rsidRPr="00532815">
        <w:rPr>
          <w:rFonts w:eastAsia="Calibri"/>
          <w:bCs/>
          <w:color w:val="1D1B11"/>
          <w:szCs w:val="24"/>
        </w:rPr>
        <w:t>Which of the following are considered pyramiding? (select all that apply)</w:t>
      </w:r>
    </w:p>
    <w:p w14:paraId="1A4E7C1E" w14:textId="77777777" w:rsidR="00B50280" w:rsidRPr="00532815" w:rsidRDefault="00B50280" w:rsidP="00290B60">
      <w:pPr>
        <w:spacing w:after="200" w:line="276" w:lineRule="auto"/>
        <w:ind w:left="360"/>
        <w:contextualSpacing/>
        <w:rPr>
          <w:rFonts w:eastAsia="Calibri"/>
          <w:bCs/>
          <w:color w:val="1D1B11"/>
          <w:szCs w:val="24"/>
        </w:rPr>
      </w:pPr>
    </w:p>
    <w:p w14:paraId="4FFC59A6" w14:textId="77777777" w:rsidR="00B50280" w:rsidRPr="00532815" w:rsidRDefault="00B50280" w:rsidP="00B47EA9">
      <w:pPr>
        <w:numPr>
          <w:ilvl w:val="0"/>
          <w:numId w:val="33"/>
        </w:numPr>
        <w:overflowPunct/>
        <w:autoSpaceDE/>
        <w:autoSpaceDN/>
        <w:adjustRightInd/>
        <w:spacing w:before="0" w:after="200" w:line="276" w:lineRule="auto"/>
        <w:contextualSpacing/>
        <w:rPr>
          <w:rFonts w:eastAsia="Calibri"/>
          <w:szCs w:val="24"/>
        </w:rPr>
      </w:pPr>
      <w:r w:rsidRPr="00532815">
        <w:rPr>
          <w:rFonts w:eastAsia="Calibri"/>
          <w:szCs w:val="24"/>
        </w:rPr>
        <w:t>Assigning separate evaluations for TBI and a mental disorder when there is clear and unequivocal medical evidence showing the disabilities are separate and distinct</w:t>
      </w:r>
    </w:p>
    <w:p w14:paraId="1F080B79" w14:textId="77777777" w:rsidR="00B50280" w:rsidRPr="00532815" w:rsidRDefault="00B50280" w:rsidP="00B47EA9">
      <w:pPr>
        <w:numPr>
          <w:ilvl w:val="0"/>
          <w:numId w:val="33"/>
        </w:numPr>
        <w:overflowPunct/>
        <w:autoSpaceDE/>
        <w:autoSpaceDN/>
        <w:adjustRightInd/>
        <w:spacing w:before="0" w:after="200" w:line="276" w:lineRule="auto"/>
        <w:contextualSpacing/>
        <w:rPr>
          <w:rFonts w:eastAsia="Calibri"/>
          <w:szCs w:val="24"/>
        </w:rPr>
      </w:pPr>
      <w:r w:rsidRPr="00532815">
        <w:rPr>
          <w:rFonts w:eastAsia="Calibri"/>
          <w:szCs w:val="24"/>
        </w:rPr>
        <w:t>Assigning separate evaluations for multiple nerve branches of the same lower extremity</w:t>
      </w:r>
    </w:p>
    <w:p w14:paraId="12ACF674" w14:textId="77777777" w:rsidR="00B50280" w:rsidRPr="00532815" w:rsidRDefault="00B50280" w:rsidP="00B47EA9">
      <w:pPr>
        <w:numPr>
          <w:ilvl w:val="0"/>
          <w:numId w:val="33"/>
        </w:numPr>
        <w:overflowPunct/>
        <w:autoSpaceDE/>
        <w:autoSpaceDN/>
        <w:adjustRightInd/>
        <w:spacing w:before="0" w:after="200" w:line="276" w:lineRule="auto"/>
        <w:contextualSpacing/>
        <w:rPr>
          <w:rFonts w:eastAsia="Calibri"/>
          <w:szCs w:val="24"/>
        </w:rPr>
      </w:pPr>
      <w:r w:rsidRPr="00532815">
        <w:rPr>
          <w:rFonts w:eastAsia="Calibri"/>
          <w:szCs w:val="24"/>
        </w:rPr>
        <w:t>Assigning separate compensable evaluations for each painful joint motion under 38 CFR 4.59</w:t>
      </w:r>
    </w:p>
    <w:p w14:paraId="10777D49" w14:textId="77777777" w:rsidR="00B50280" w:rsidRPr="00532815" w:rsidRDefault="00B50280" w:rsidP="00B47EA9">
      <w:pPr>
        <w:numPr>
          <w:ilvl w:val="0"/>
          <w:numId w:val="33"/>
        </w:numPr>
        <w:overflowPunct/>
        <w:autoSpaceDE/>
        <w:autoSpaceDN/>
        <w:adjustRightInd/>
        <w:spacing w:before="0" w:after="200" w:line="276" w:lineRule="auto"/>
        <w:contextualSpacing/>
        <w:rPr>
          <w:rFonts w:eastAsia="Calibri"/>
          <w:szCs w:val="24"/>
        </w:rPr>
      </w:pPr>
      <w:r w:rsidRPr="00532815">
        <w:rPr>
          <w:rFonts w:eastAsia="Calibri"/>
          <w:szCs w:val="24"/>
        </w:rPr>
        <w:t>Assigning separate evaluations for limited inter-incisal motion affecting both sides of the jaw</w:t>
      </w:r>
    </w:p>
    <w:p w14:paraId="530E1563" w14:textId="77777777" w:rsidR="00B50280" w:rsidRPr="00532815" w:rsidRDefault="00B50280" w:rsidP="00B47EA9">
      <w:pPr>
        <w:numPr>
          <w:ilvl w:val="0"/>
          <w:numId w:val="33"/>
        </w:numPr>
        <w:overflowPunct/>
        <w:autoSpaceDE/>
        <w:autoSpaceDN/>
        <w:adjustRightInd/>
        <w:spacing w:before="0" w:after="200" w:line="276" w:lineRule="auto"/>
        <w:contextualSpacing/>
        <w:rPr>
          <w:rFonts w:eastAsia="Calibri"/>
          <w:szCs w:val="24"/>
        </w:rPr>
      </w:pPr>
      <w:r w:rsidRPr="00532815">
        <w:rPr>
          <w:rFonts w:eastAsia="Calibri"/>
          <w:szCs w:val="24"/>
        </w:rPr>
        <w:t>Assigning separate evaluations for multiple nerve branches of the same upper extremity</w:t>
      </w:r>
    </w:p>
    <w:p w14:paraId="5E5755D3" w14:textId="77777777" w:rsidR="00B50280" w:rsidRPr="00532815" w:rsidRDefault="00B50280" w:rsidP="00B47EA9">
      <w:pPr>
        <w:numPr>
          <w:ilvl w:val="0"/>
          <w:numId w:val="33"/>
        </w:numPr>
        <w:overflowPunct/>
        <w:autoSpaceDE/>
        <w:autoSpaceDN/>
        <w:adjustRightInd/>
        <w:spacing w:before="0" w:after="200" w:line="276" w:lineRule="auto"/>
        <w:contextualSpacing/>
        <w:rPr>
          <w:rFonts w:eastAsia="Calibri"/>
          <w:szCs w:val="24"/>
        </w:rPr>
      </w:pPr>
      <w:r w:rsidRPr="00532815">
        <w:rPr>
          <w:rFonts w:eastAsia="Calibri"/>
          <w:szCs w:val="24"/>
        </w:rPr>
        <w:t>Assigning separate evaluations for radiculopathy when the evaluation for IVDS is based on limitation of motion</w:t>
      </w:r>
    </w:p>
    <w:p w14:paraId="578457D8" w14:textId="77777777" w:rsidR="00B50280" w:rsidRPr="00532815" w:rsidRDefault="00B50280" w:rsidP="00B47EA9">
      <w:pPr>
        <w:overflowPunct/>
        <w:autoSpaceDE/>
        <w:autoSpaceDN/>
        <w:adjustRightInd/>
        <w:spacing w:before="0" w:after="200" w:line="276" w:lineRule="auto"/>
        <w:ind w:left="360"/>
        <w:contextualSpacing/>
        <w:rPr>
          <w:rFonts w:eastAsia="Calibri"/>
          <w:szCs w:val="24"/>
        </w:rPr>
      </w:pPr>
    </w:p>
    <w:p w14:paraId="0B2ACB4B" w14:textId="77777777" w:rsidR="00B50280" w:rsidRPr="00532815" w:rsidRDefault="00B50280" w:rsidP="00D7085A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360"/>
        <w:rPr>
          <w:rFonts w:eastAsia="Calibri"/>
          <w:szCs w:val="24"/>
        </w:rPr>
      </w:pPr>
      <w:r w:rsidRPr="00532815">
        <w:rPr>
          <w:rFonts w:eastAsia="Calibri"/>
          <w:szCs w:val="24"/>
        </w:rPr>
        <w:t>What regulation prohibits the evaluation of the same disability under various diagnoses?</w:t>
      </w:r>
      <w:r w:rsidRPr="00532815">
        <w:rPr>
          <w:rFonts w:eastAsia="Calibri"/>
          <w:szCs w:val="24"/>
        </w:rPr>
        <w:br/>
      </w:r>
    </w:p>
    <w:p w14:paraId="03C5BD37" w14:textId="77777777" w:rsidR="00B50280" w:rsidRPr="00532815" w:rsidRDefault="00B50280" w:rsidP="00D7085A">
      <w:pPr>
        <w:numPr>
          <w:ilvl w:val="0"/>
          <w:numId w:val="34"/>
        </w:numPr>
        <w:overflowPunct/>
        <w:autoSpaceDE/>
        <w:autoSpaceDN/>
        <w:adjustRightInd/>
        <w:spacing w:before="0" w:line="276" w:lineRule="auto"/>
        <w:rPr>
          <w:rFonts w:eastAsia="Calibri"/>
          <w:szCs w:val="24"/>
        </w:rPr>
      </w:pPr>
      <w:r w:rsidRPr="00532815">
        <w:rPr>
          <w:rFonts w:eastAsia="Calibri"/>
          <w:szCs w:val="24"/>
        </w:rPr>
        <w:t>38 CFR 4.14</w:t>
      </w:r>
    </w:p>
    <w:p w14:paraId="53F88699" w14:textId="77777777" w:rsidR="00B50280" w:rsidRPr="00532815" w:rsidRDefault="00B50280" w:rsidP="00B47EA9">
      <w:pPr>
        <w:numPr>
          <w:ilvl w:val="0"/>
          <w:numId w:val="34"/>
        </w:numPr>
        <w:overflowPunct/>
        <w:autoSpaceDE/>
        <w:autoSpaceDN/>
        <w:adjustRightInd/>
        <w:spacing w:before="0" w:after="120" w:line="276" w:lineRule="auto"/>
        <w:contextualSpacing/>
        <w:rPr>
          <w:rFonts w:eastAsia="Calibri"/>
          <w:szCs w:val="24"/>
        </w:rPr>
      </w:pPr>
      <w:r w:rsidRPr="00532815">
        <w:rPr>
          <w:rFonts w:eastAsia="Calibri"/>
          <w:szCs w:val="24"/>
        </w:rPr>
        <w:t>38 CFR 4.56</w:t>
      </w:r>
    </w:p>
    <w:p w14:paraId="00508E74" w14:textId="77777777" w:rsidR="00B50280" w:rsidRPr="00532815" w:rsidRDefault="00B50280" w:rsidP="00B47EA9">
      <w:pPr>
        <w:numPr>
          <w:ilvl w:val="0"/>
          <w:numId w:val="34"/>
        </w:numPr>
        <w:overflowPunct/>
        <w:autoSpaceDE/>
        <w:autoSpaceDN/>
        <w:adjustRightInd/>
        <w:spacing w:before="0" w:after="120" w:line="276" w:lineRule="auto"/>
        <w:contextualSpacing/>
        <w:rPr>
          <w:rFonts w:eastAsia="Calibri"/>
          <w:szCs w:val="24"/>
        </w:rPr>
      </w:pPr>
      <w:r w:rsidRPr="00532815">
        <w:rPr>
          <w:rFonts w:eastAsia="Calibri"/>
          <w:szCs w:val="24"/>
        </w:rPr>
        <w:t>38 CFR 4.96</w:t>
      </w:r>
    </w:p>
    <w:p w14:paraId="2D7596B6" w14:textId="78E32A42" w:rsidR="00B50280" w:rsidRDefault="00B50280" w:rsidP="00B47EA9">
      <w:pPr>
        <w:numPr>
          <w:ilvl w:val="0"/>
          <w:numId w:val="34"/>
        </w:numPr>
        <w:overflowPunct/>
        <w:autoSpaceDE/>
        <w:autoSpaceDN/>
        <w:adjustRightInd/>
        <w:spacing w:before="0" w:after="120" w:line="276" w:lineRule="auto"/>
        <w:contextualSpacing/>
        <w:rPr>
          <w:rFonts w:eastAsia="Calibri"/>
          <w:szCs w:val="24"/>
        </w:rPr>
      </w:pPr>
      <w:r w:rsidRPr="00532815">
        <w:rPr>
          <w:rFonts w:eastAsia="Calibri"/>
          <w:szCs w:val="24"/>
        </w:rPr>
        <w:t>38 CFR 4.114</w:t>
      </w:r>
    </w:p>
    <w:p w14:paraId="3DD927D5" w14:textId="77777777" w:rsidR="00B47EA9" w:rsidRPr="00532815" w:rsidRDefault="00B47EA9" w:rsidP="00B47EA9">
      <w:pPr>
        <w:overflowPunct/>
        <w:autoSpaceDE/>
        <w:autoSpaceDN/>
        <w:adjustRightInd/>
        <w:spacing w:before="0" w:line="276" w:lineRule="auto"/>
        <w:contextualSpacing/>
        <w:rPr>
          <w:rFonts w:eastAsia="Calibri"/>
          <w:szCs w:val="24"/>
        </w:rPr>
      </w:pPr>
    </w:p>
    <w:p w14:paraId="1323A228" w14:textId="4202B929" w:rsidR="00B50280" w:rsidRPr="00B47EA9" w:rsidRDefault="00B50280" w:rsidP="00D7085A">
      <w:pPr>
        <w:pStyle w:val="ListParagraph"/>
        <w:numPr>
          <w:ilvl w:val="0"/>
          <w:numId w:val="26"/>
        </w:numPr>
        <w:overflowPunct/>
        <w:autoSpaceDE/>
        <w:autoSpaceDN/>
        <w:adjustRightInd/>
        <w:spacing w:before="0" w:line="276" w:lineRule="auto"/>
        <w:ind w:left="360"/>
        <w:contextualSpacing w:val="0"/>
        <w:rPr>
          <w:szCs w:val="24"/>
        </w:rPr>
      </w:pPr>
      <w:r w:rsidRPr="00B47EA9">
        <w:rPr>
          <w:szCs w:val="24"/>
        </w:rPr>
        <w:t xml:space="preserve">Which of the following would </w:t>
      </w:r>
      <w:r w:rsidRPr="00B47EA9">
        <w:rPr>
          <w:szCs w:val="24"/>
          <w:u w:val="single"/>
        </w:rPr>
        <w:t>not</w:t>
      </w:r>
      <w:r w:rsidRPr="00B47EA9">
        <w:rPr>
          <w:szCs w:val="24"/>
        </w:rPr>
        <w:t xml:space="preserve"> be considered pyramiding?</w:t>
      </w:r>
      <w:r w:rsidRPr="00B47EA9">
        <w:rPr>
          <w:szCs w:val="24"/>
        </w:rPr>
        <w:br/>
      </w:r>
    </w:p>
    <w:p w14:paraId="591098D2" w14:textId="77777777" w:rsidR="00B50280" w:rsidRPr="00532815" w:rsidRDefault="00B50280" w:rsidP="00290B60">
      <w:pPr>
        <w:numPr>
          <w:ilvl w:val="0"/>
          <w:numId w:val="35"/>
        </w:numPr>
        <w:overflowPunct/>
        <w:autoSpaceDE/>
        <w:autoSpaceDN/>
        <w:adjustRightInd/>
        <w:spacing w:before="0" w:line="276" w:lineRule="auto"/>
        <w:rPr>
          <w:rFonts w:eastAsia="Calibri"/>
          <w:szCs w:val="24"/>
        </w:rPr>
      </w:pPr>
      <w:r w:rsidRPr="00532815">
        <w:rPr>
          <w:rFonts w:eastAsia="Calibri"/>
          <w:szCs w:val="24"/>
        </w:rPr>
        <w:t>A 30% evaluation for Parkinson disease under DC 8004 and a 50% evaluation for complete paralysis of the fifth cranial nerve due to Parkinson’s disease under DC 8205</w:t>
      </w:r>
    </w:p>
    <w:p w14:paraId="6CC38448" w14:textId="50DD8F52" w:rsidR="00B50280" w:rsidRPr="00532815" w:rsidRDefault="00B50280" w:rsidP="00290B60">
      <w:pPr>
        <w:numPr>
          <w:ilvl w:val="0"/>
          <w:numId w:val="35"/>
        </w:numPr>
        <w:overflowPunct/>
        <w:autoSpaceDE/>
        <w:autoSpaceDN/>
        <w:adjustRightInd/>
        <w:spacing w:before="0" w:line="276" w:lineRule="auto"/>
        <w:rPr>
          <w:rFonts w:eastAsia="Calibri"/>
          <w:szCs w:val="24"/>
        </w:rPr>
      </w:pPr>
      <w:r w:rsidRPr="00532815">
        <w:rPr>
          <w:rFonts w:eastAsia="Calibri"/>
          <w:szCs w:val="24"/>
        </w:rPr>
        <w:t xml:space="preserve">A 10% evaluation under DC 8520 and </w:t>
      </w:r>
      <w:r w:rsidR="002861B0" w:rsidRPr="00532815">
        <w:rPr>
          <w:rFonts w:eastAsia="Calibri"/>
          <w:szCs w:val="24"/>
        </w:rPr>
        <w:t>an</w:t>
      </w:r>
      <w:r w:rsidRPr="00532815">
        <w:rPr>
          <w:rFonts w:eastAsia="Calibri"/>
          <w:szCs w:val="24"/>
        </w:rPr>
        <w:t xml:space="preserve"> evaluation under DC 8528 in the same extremity</w:t>
      </w:r>
    </w:p>
    <w:p w14:paraId="23B6AFC0" w14:textId="77777777" w:rsidR="00B50280" w:rsidRPr="00532815" w:rsidRDefault="00B50280" w:rsidP="00290B60">
      <w:pPr>
        <w:numPr>
          <w:ilvl w:val="0"/>
          <w:numId w:val="35"/>
        </w:numPr>
        <w:overflowPunct/>
        <w:autoSpaceDE/>
        <w:autoSpaceDN/>
        <w:adjustRightInd/>
        <w:spacing w:before="0" w:line="276" w:lineRule="auto"/>
        <w:rPr>
          <w:rFonts w:eastAsia="Calibri"/>
          <w:szCs w:val="24"/>
        </w:rPr>
      </w:pPr>
      <w:r w:rsidRPr="00532815">
        <w:rPr>
          <w:rFonts w:eastAsia="Calibri"/>
          <w:szCs w:val="24"/>
        </w:rPr>
        <w:t>A 10% evaluation under DC 5260 for limitation of flexion in the right knee and a 10% evaluation for painful extension of the right knee under 38 CFR 4.59</w:t>
      </w:r>
    </w:p>
    <w:p w14:paraId="32811A50" w14:textId="77777777" w:rsidR="00B50280" w:rsidRPr="00532815" w:rsidRDefault="00B50280" w:rsidP="00290B60">
      <w:pPr>
        <w:numPr>
          <w:ilvl w:val="0"/>
          <w:numId w:val="35"/>
        </w:numPr>
        <w:overflowPunct/>
        <w:autoSpaceDE/>
        <w:autoSpaceDN/>
        <w:adjustRightInd/>
        <w:spacing w:before="0" w:line="276" w:lineRule="auto"/>
        <w:rPr>
          <w:rFonts w:eastAsia="Calibri"/>
          <w:szCs w:val="24"/>
        </w:rPr>
      </w:pPr>
      <w:r w:rsidRPr="00532815">
        <w:rPr>
          <w:rFonts w:eastAsia="Calibri"/>
          <w:szCs w:val="24"/>
        </w:rPr>
        <w:t>A 30% evaluation for nephropathy under DC 7541 and a 10% evaluation for hypertension under DC 7101</w:t>
      </w:r>
    </w:p>
    <w:p w14:paraId="1DDB466E" w14:textId="77777777" w:rsidR="00B50280" w:rsidRPr="00532815" w:rsidRDefault="00B50280" w:rsidP="00B50280">
      <w:pPr>
        <w:overflowPunct/>
        <w:autoSpaceDE/>
        <w:autoSpaceDN/>
        <w:adjustRightInd/>
        <w:spacing w:before="0"/>
        <w:rPr>
          <w:rFonts w:eastAsia="Calibri"/>
          <w:szCs w:val="24"/>
        </w:rPr>
      </w:pPr>
      <w:r w:rsidRPr="00532815">
        <w:rPr>
          <w:szCs w:val="24"/>
        </w:rPr>
        <w:br w:type="page"/>
      </w:r>
    </w:p>
    <w:p w14:paraId="514FF567" w14:textId="46E68D76" w:rsidR="00D7085A" w:rsidRPr="00D7085A" w:rsidRDefault="00B50280" w:rsidP="00D7085A">
      <w:pPr>
        <w:pStyle w:val="ListParagraph"/>
        <w:numPr>
          <w:ilvl w:val="0"/>
          <w:numId w:val="26"/>
        </w:numPr>
        <w:overflowPunct/>
        <w:autoSpaceDE/>
        <w:autoSpaceDN/>
        <w:adjustRightInd/>
        <w:spacing w:after="120" w:line="276" w:lineRule="auto"/>
        <w:ind w:left="360"/>
        <w:contextualSpacing w:val="0"/>
        <w:rPr>
          <w:rFonts w:eastAsia="Calibri"/>
          <w:szCs w:val="24"/>
        </w:rPr>
      </w:pPr>
      <w:r w:rsidRPr="001815CC">
        <w:rPr>
          <w:szCs w:val="24"/>
        </w:rPr>
        <w:lastRenderedPageBreak/>
        <w:t>Which manual reference assures avoidance of pyramiding when evaluating painful motion?</w:t>
      </w:r>
    </w:p>
    <w:p w14:paraId="15CDC9E0" w14:textId="77777777" w:rsidR="00D7085A" w:rsidRPr="00D7085A" w:rsidRDefault="00D7085A" w:rsidP="00D7085A">
      <w:pPr>
        <w:pStyle w:val="ListParagraph"/>
        <w:overflowPunct/>
        <w:autoSpaceDE/>
        <w:autoSpaceDN/>
        <w:adjustRightInd/>
        <w:spacing w:before="0" w:line="276" w:lineRule="auto"/>
        <w:ind w:left="360"/>
        <w:contextualSpacing w:val="0"/>
        <w:rPr>
          <w:rFonts w:eastAsia="Calibri"/>
          <w:szCs w:val="24"/>
        </w:rPr>
      </w:pPr>
    </w:p>
    <w:p w14:paraId="5C18AEDA" w14:textId="6DF9F2FB" w:rsidR="00B50280" w:rsidRPr="001815CC" w:rsidRDefault="00B50280" w:rsidP="00D7085A">
      <w:pPr>
        <w:pStyle w:val="ListParagraph"/>
        <w:numPr>
          <w:ilvl w:val="0"/>
          <w:numId w:val="43"/>
        </w:numPr>
        <w:overflowPunct/>
        <w:autoSpaceDE/>
        <w:autoSpaceDN/>
        <w:adjustRightInd/>
        <w:spacing w:before="0" w:line="276" w:lineRule="auto"/>
        <w:contextualSpacing w:val="0"/>
        <w:rPr>
          <w:rFonts w:eastAsia="Calibri"/>
          <w:szCs w:val="24"/>
        </w:rPr>
      </w:pPr>
      <w:r w:rsidRPr="001815CC">
        <w:rPr>
          <w:rFonts w:eastAsia="Calibri"/>
          <w:szCs w:val="24"/>
        </w:rPr>
        <w:t>M21-1, Part III, Subpart iv</w:t>
      </w:r>
      <w:r w:rsidR="001815CC" w:rsidRPr="001815CC">
        <w:rPr>
          <w:rFonts w:eastAsia="Calibri"/>
          <w:szCs w:val="24"/>
        </w:rPr>
        <w:t>.</w:t>
      </w:r>
      <w:r w:rsidRPr="001815CC">
        <w:rPr>
          <w:rFonts w:eastAsia="Calibri"/>
          <w:szCs w:val="24"/>
        </w:rPr>
        <w:t>6.B.2</w:t>
      </w:r>
    </w:p>
    <w:p w14:paraId="39F8C96C" w14:textId="77777777" w:rsidR="00B50280" w:rsidRPr="00532815" w:rsidRDefault="00B50280" w:rsidP="00D7085A">
      <w:pPr>
        <w:numPr>
          <w:ilvl w:val="0"/>
          <w:numId w:val="43"/>
        </w:numPr>
        <w:overflowPunct/>
        <w:autoSpaceDE/>
        <w:autoSpaceDN/>
        <w:adjustRightInd/>
        <w:spacing w:before="0" w:line="276" w:lineRule="auto"/>
        <w:rPr>
          <w:rFonts w:eastAsia="Calibri"/>
          <w:szCs w:val="24"/>
        </w:rPr>
      </w:pPr>
      <w:r w:rsidRPr="00532815">
        <w:rPr>
          <w:rFonts w:eastAsia="Calibri"/>
          <w:szCs w:val="24"/>
        </w:rPr>
        <w:t>M21-1, Part III, Subpart iv.4.A.1</w:t>
      </w:r>
    </w:p>
    <w:p w14:paraId="18540F80" w14:textId="77777777" w:rsidR="00B50280" w:rsidRPr="00532815" w:rsidRDefault="00B50280" w:rsidP="00D7085A">
      <w:pPr>
        <w:numPr>
          <w:ilvl w:val="0"/>
          <w:numId w:val="43"/>
        </w:numPr>
        <w:overflowPunct/>
        <w:autoSpaceDE/>
        <w:autoSpaceDN/>
        <w:adjustRightInd/>
        <w:spacing w:before="0" w:line="276" w:lineRule="auto"/>
        <w:rPr>
          <w:rFonts w:eastAsia="Calibri"/>
          <w:szCs w:val="24"/>
        </w:rPr>
      </w:pPr>
      <w:r w:rsidRPr="00532815">
        <w:rPr>
          <w:rFonts w:eastAsia="Calibri"/>
          <w:szCs w:val="24"/>
        </w:rPr>
        <w:t>M21-1, Part III, Subpart iv.4.G.2</w:t>
      </w:r>
    </w:p>
    <w:p w14:paraId="6BE35E1D" w14:textId="77777777" w:rsidR="00B50280" w:rsidRPr="00532815" w:rsidRDefault="00B50280" w:rsidP="00D7085A">
      <w:pPr>
        <w:numPr>
          <w:ilvl w:val="0"/>
          <w:numId w:val="43"/>
        </w:numPr>
        <w:overflowPunct/>
        <w:autoSpaceDE/>
        <w:autoSpaceDN/>
        <w:adjustRightInd/>
        <w:spacing w:before="0" w:line="276" w:lineRule="auto"/>
        <w:rPr>
          <w:rFonts w:eastAsia="Calibri"/>
          <w:szCs w:val="24"/>
        </w:rPr>
      </w:pPr>
      <w:r w:rsidRPr="00532815">
        <w:rPr>
          <w:rFonts w:eastAsia="Calibri"/>
          <w:szCs w:val="24"/>
        </w:rPr>
        <w:t>M21-1, Part III, Subpart iv.4.A.3</w:t>
      </w:r>
      <w:r w:rsidRPr="00532815">
        <w:rPr>
          <w:rFonts w:eastAsia="Calibri"/>
          <w:szCs w:val="24"/>
        </w:rPr>
        <w:br/>
      </w:r>
    </w:p>
    <w:p w14:paraId="0C9E7CB8" w14:textId="739BA6A5" w:rsidR="00B50280" w:rsidRDefault="00B50280" w:rsidP="00D7085A">
      <w:pPr>
        <w:numPr>
          <w:ilvl w:val="0"/>
          <w:numId w:val="27"/>
        </w:numPr>
        <w:overflowPunct/>
        <w:autoSpaceDE/>
        <w:autoSpaceDN/>
        <w:adjustRightInd/>
        <w:spacing w:line="276" w:lineRule="auto"/>
        <w:ind w:left="360"/>
        <w:rPr>
          <w:rFonts w:eastAsia="Calibri"/>
          <w:szCs w:val="24"/>
        </w:rPr>
      </w:pPr>
      <w:r w:rsidRPr="00532815">
        <w:rPr>
          <w:rFonts w:eastAsia="Calibri"/>
          <w:szCs w:val="24"/>
        </w:rPr>
        <w:t xml:space="preserve">Which manual reference </w:t>
      </w:r>
      <w:r w:rsidR="002861B0" w:rsidRPr="00532815">
        <w:rPr>
          <w:rFonts w:eastAsia="Calibri"/>
          <w:szCs w:val="24"/>
        </w:rPr>
        <w:t>assures</w:t>
      </w:r>
      <w:r w:rsidRPr="00532815">
        <w:rPr>
          <w:rFonts w:eastAsia="Calibri"/>
          <w:szCs w:val="24"/>
        </w:rPr>
        <w:t xml:space="preserve"> avoidance of pyramiding when evaluating intervertebral disc syndrome (IVDS) with radiculopathy of the lower extremities</w:t>
      </w:r>
      <w:r w:rsidR="001815CC">
        <w:rPr>
          <w:rFonts w:eastAsia="Calibri"/>
          <w:szCs w:val="24"/>
        </w:rPr>
        <w:t>?</w:t>
      </w:r>
    </w:p>
    <w:p w14:paraId="174FABD4" w14:textId="77777777" w:rsidR="00D7085A" w:rsidRDefault="00D7085A" w:rsidP="00D7085A">
      <w:pPr>
        <w:overflowPunct/>
        <w:autoSpaceDE/>
        <w:autoSpaceDN/>
        <w:adjustRightInd/>
        <w:spacing w:line="276" w:lineRule="auto"/>
        <w:ind w:left="360"/>
        <w:rPr>
          <w:rFonts w:eastAsia="Calibri"/>
          <w:szCs w:val="24"/>
        </w:rPr>
      </w:pPr>
    </w:p>
    <w:p w14:paraId="606D6D38" w14:textId="77777777" w:rsidR="00B50280" w:rsidRPr="00532815" w:rsidRDefault="00B50280" w:rsidP="006D3186">
      <w:pPr>
        <w:numPr>
          <w:ilvl w:val="0"/>
          <w:numId w:val="37"/>
        </w:numPr>
        <w:overflowPunct/>
        <w:autoSpaceDE/>
        <w:autoSpaceDN/>
        <w:adjustRightInd/>
        <w:spacing w:before="0" w:after="200" w:line="276" w:lineRule="auto"/>
        <w:contextualSpacing/>
        <w:rPr>
          <w:rFonts w:eastAsia="Calibri"/>
          <w:szCs w:val="24"/>
        </w:rPr>
      </w:pPr>
      <w:r w:rsidRPr="00532815">
        <w:rPr>
          <w:rFonts w:eastAsia="Calibri"/>
          <w:szCs w:val="24"/>
        </w:rPr>
        <w:t>M21-1 Part III, Subpart iv.4.A.5.a</w:t>
      </w:r>
    </w:p>
    <w:p w14:paraId="6103E7D1" w14:textId="77777777" w:rsidR="00B50280" w:rsidRPr="00532815" w:rsidRDefault="00B50280" w:rsidP="006D3186">
      <w:pPr>
        <w:numPr>
          <w:ilvl w:val="0"/>
          <w:numId w:val="37"/>
        </w:numPr>
        <w:overflowPunct/>
        <w:autoSpaceDE/>
        <w:autoSpaceDN/>
        <w:adjustRightInd/>
        <w:spacing w:before="0" w:after="200" w:line="276" w:lineRule="auto"/>
        <w:contextualSpacing/>
        <w:rPr>
          <w:rFonts w:eastAsia="Calibri"/>
          <w:szCs w:val="24"/>
        </w:rPr>
      </w:pPr>
      <w:r w:rsidRPr="00532815">
        <w:rPr>
          <w:rFonts w:eastAsia="Calibri"/>
          <w:szCs w:val="24"/>
        </w:rPr>
        <w:t>M21-1 Part III, Subpart iv.4.A.3</w:t>
      </w:r>
    </w:p>
    <w:p w14:paraId="6DE11B09" w14:textId="77777777" w:rsidR="00B50280" w:rsidRPr="00532815" w:rsidRDefault="00B50280" w:rsidP="006D3186">
      <w:pPr>
        <w:numPr>
          <w:ilvl w:val="0"/>
          <w:numId w:val="37"/>
        </w:numPr>
        <w:overflowPunct/>
        <w:autoSpaceDE/>
        <w:autoSpaceDN/>
        <w:adjustRightInd/>
        <w:spacing w:before="0" w:after="200" w:line="276" w:lineRule="auto"/>
        <w:contextualSpacing/>
        <w:rPr>
          <w:rFonts w:eastAsia="Calibri"/>
          <w:szCs w:val="24"/>
        </w:rPr>
      </w:pPr>
      <w:r w:rsidRPr="00532815">
        <w:rPr>
          <w:rFonts w:eastAsia="Calibri"/>
          <w:szCs w:val="24"/>
        </w:rPr>
        <w:t>M21-1 Part III, Subpart iv.6.B.2</w:t>
      </w:r>
    </w:p>
    <w:p w14:paraId="6FD70780" w14:textId="77777777" w:rsidR="00B50280" w:rsidRPr="00532815" w:rsidRDefault="00B50280" w:rsidP="006D3186">
      <w:pPr>
        <w:numPr>
          <w:ilvl w:val="0"/>
          <w:numId w:val="37"/>
        </w:numPr>
        <w:overflowPunct/>
        <w:autoSpaceDE/>
        <w:autoSpaceDN/>
        <w:adjustRightInd/>
        <w:spacing w:before="0" w:after="200" w:line="276" w:lineRule="auto"/>
        <w:contextualSpacing/>
        <w:rPr>
          <w:rFonts w:eastAsia="Calibri"/>
          <w:szCs w:val="24"/>
        </w:rPr>
      </w:pPr>
      <w:r w:rsidRPr="00532815">
        <w:rPr>
          <w:rFonts w:eastAsia="Calibri"/>
          <w:szCs w:val="24"/>
        </w:rPr>
        <w:t>M21-1 Part III, Subpart iv.4.A.7</w:t>
      </w:r>
      <w:r w:rsidRPr="00532815">
        <w:rPr>
          <w:rFonts w:eastAsia="Calibri"/>
          <w:szCs w:val="24"/>
        </w:rPr>
        <w:br/>
      </w:r>
    </w:p>
    <w:p w14:paraId="2747B49C" w14:textId="54332E96" w:rsidR="00B50280" w:rsidRDefault="00B50280" w:rsidP="00D7085A">
      <w:pPr>
        <w:numPr>
          <w:ilvl w:val="0"/>
          <w:numId w:val="27"/>
        </w:numPr>
        <w:overflowPunct/>
        <w:autoSpaceDE/>
        <w:autoSpaceDN/>
        <w:adjustRightInd/>
        <w:spacing w:line="276" w:lineRule="auto"/>
        <w:ind w:left="360"/>
        <w:rPr>
          <w:rFonts w:eastAsia="Calibri"/>
          <w:szCs w:val="24"/>
        </w:rPr>
      </w:pPr>
      <w:r w:rsidRPr="00532815">
        <w:rPr>
          <w:rFonts w:eastAsia="Calibri"/>
          <w:szCs w:val="24"/>
        </w:rPr>
        <w:t>Which regulation assures avoidance of pyramiding when evaluating Traumatic Brain Injury (TBI) cases?</w:t>
      </w:r>
    </w:p>
    <w:p w14:paraId="4A8F2142" w14:textId="77777777" w:rsidR="00D7085A" w:rsidRPr="00532815" w:rsidRDefault="00D7085A" w:rsidP="00D7085A">
      <w:pPr>
        <w:overflowPunct/>
        <w:autoSpaceDE/>
        <w:autoSpaceDN/>
        <w:adjustRightInd/>
        <w:spacing w:line="276" w:lineRule="auto"/>
        <w:ind w:left="360"/>
        <w:rPr>
          <w:rFonts w:eastAsia="Calibri"/>
          <w:szCs w:val="24"/>
        </w:rPr>
      </w:pPr>
    </w:p>
    <w:p w14:paraId="04E888EF" w14:textId="77777777" w:rsidR="00B50280" w:rsidRPr="00532815" w:rsidRDefault="00B50280" w:rsidP="006D3186">
      <w:pPr>
        <w:numPr>
          <w:ilvl w:val="0"/>
          <w:numId w:val="38"/>
        </w:numPr>
        <w:overflowPunct/>
        <w:autoSpaceDE/>
        <w:autoSpaceDN/>
        <w:adjustRightInd/>
        <w:spacing w:before="0" w:after="120" w:line="276" w:lineRule="auto"/>
        <w:ind w:left="720"/>
        <w:contextualSpacing/>
        <w:rPr>
          <w:rFonts w:eastAsia="Calibri"/>
          <w:szCs w:val="24"/>
        </w:rPr>
      </w:pPr>
      <w:r w:rsidRPr="00532815">
        <w:rPr>
          <w:rFonts w:eastAsia="Calibri"/>
          <w:szCs w:val="24"/>
        </w:rPr>
        <w:t>38 CFR 4.71a</w:t>
      </w:r>
    </w:p>
    <w:p w14:paraId="67D9FE81" w14:textId="77777777" w:rsidR="00B50280" w:rsidRPr="00532815" w:rsidRDefault="00B50280" w:rsidP="006D3186">
      <w:pPr>
        <w:numPr>
          <w:ilvl w:val="0"/>
          <w:numId w:val="38"/>
        </w:numPr>
        <w:overflowPunct/>
        <w:autoSpaceDE/>
        <w:autoSpaceDN/>
        <w:adjustRightInd/>
        <w:spacing w:before="0" w:after="120" w:line="276" w:lineRule="auto"/>
        <w:ind w:left="720"/>
        <w:contextualSpacing/>
        <w:rPr>
          <w:rFonts w:eastAsia="Calibri"/>
          <w:szCs w:val="24"/>
        </w:rPr>
      </w:pPr>
      <w:r w:rsidRPr="00532815">
        <w:rPr>
          <w:rFonts w:eastAsia="Calibri"/>
          <w:szCs w:val="24"/>
        </w:rPr>
        <w:t>38 CFR 4.130</w:t>
      </w:r>
    </w:p>
    <w:p w14:paraId="31059838" w14:textId="77777777" w:rsidR="00B50280" w:rsidRPr="00532815" w:rsidRDefault="00B50280" w:rsidP="006D3186">
      <w:pPr>
        <w:numPr>
          <w:ilvl w:val="0"/>
          <w:numId w:val="38"/>
        </w:numPr>
        <w:overflowPunct/>
        <w:autoSpaceDE/>
        <w:autoSpaceDN/>
        <w:adjustRightInd/>
        <w:spacing w:before="0" w:after="120" w:line="276" w:lineRule="auto"/>
        <w:ind w:left="720"/>
        <w:contextualSpacing/>
        <w:rPr>
          <w:rFonts w:eastAsia="Calibri"/>
          <w:szCs w:val="24"/>
        </w:rPr>
      </w:pPr>
      <w:r w:rsidRPr="00532815">
        <w:rPr>
          <w:rFonts w:eastAsia="Calibri"/>
          <w:szCs w:val="24"/>
        </w:rPr>
        <w:t>38 CFR 4.124a</w:t>
      </w:r>
    </w:p>
    <w:p w14:paraId="3EAD71C3" w14:textId="77777777" w:rsidR="00B50280" w:rsidRPr="00532815" w:rsidRDefault="00B50280" w:rsidP="006D3186">
      <w:pPr>
        <w:numPr>
          <w:ilvl w:val="0"/>
          <w:numId w:val="38"/>
        </w:numPr>
        <w:overflowPunct/>
        <w:autoSpaceDE/>
        <w:autoSpaceDN/>
        <w:adjustRightInd/>
        <w:spacing w:before="0" w:after="120" w:line="276" w:lineRule="auto"/>
        <w:ind w:left="720"/>
        <w:contextualSpacing/>
        <w:rPr>
          <w:rFonts w:eastAsia="Calibri"/>
          <w:szCs w:val="24"/>
        </w:rPr>
      </w:pPr>
      <w:r w:rsidRPr="00532815">
        <w:rPr>
          <w:rFonts w:eastAsia="Calibri"/>
          <w:szCs w:val="24"/>
        </w:rPr>
        <w:t>38 CFR 4.20</w:t>
      </w:r>
    </w:p>
    <w:p w14:paraId="1EF22261" w14:textId="77777777" w:rsidR="00B50280" w:rsidRPr="00532815" w:rsidRDefault="00B50280" w:rsidP="00B50280">
      <w:pPr>
        <w:overflowPunct/>
        <w:autoSpaceDE/>
        <w:autoSpaceDN/>
        <w:adjustRightInd/>
        <w:spacing w:before="0" w:after="200" w:line="276" w:lineRule="auto"/>
        <w:ind w:left="1440"/>
        <w:contextualSpacing/>
        <w:rPr>
          <w:rFonts w:eastAsia="Calibri"/>
          <w:szCs w:val="24"/>
        </w:rPr>
      </w:pPr>
    </w:p>
    <w:p w14:paraId="4A1DA33A" w14:textId="0B0328EC" w:rsidR="00B50280" w:rsidRDefault="00B50280" w:rsidP="00D7085A">
      <w:pPr>
        <w:numPr>
          <w:ilvl w:val="0"/>
          <w:numId w:val="27"/>
        </w:numPr>
        <w:overflowPunct/>
        <w:autoSpaceDE/>
        <w:autoSpaceDN/>
        <w:adjustRightInd/>
        <w:spacing w:line="276" w:lineRule="auto"/>
        <w:ind w:left="360"/>
        <w:rPr>
          <w:rFonts w:eastAsia="Calibri"/>
          <w:szCs w:val="24"/>
        </w:rPr>
      </w:pPr>
      <w:r w:rsidRPr="00532815">
        <w:rPr>
          <w:rFonts w:eastAsia="Calibri"/>
          <w:szCs w:val="24"/>
        </w:rPr>
        <w:t>Which regulation assures avoidance of pyramiding when evaluating respiratory cases?</w:t>
      </w:r>
    </w:p>
    <w:p w14:paraId="1345A99F" w14:textId="77777777" w:rsidR="00D7085A" w:rsidRPr="00532815" w:rsidRDefault="00D7085A" w:rsidP="00D7085A">
      <w:pPr>
        <w:overflowPunct/>
        <w:autoSpaceDE/>
        <w:autoSpaceDN/>
        <w:adjustRightInd/>
        <w:spacing w:line="276" w:lineRule="auto"/>
        <w:ind w:left="360"/>
        <w:rPr>
          <w:rFonts w:eastAsia="Calibri"/>
          <w:szCs w:val="24"/>
        </w:rPr>
      </w:pPr>
    </w:p>
    <w:p w14:paraId="6E0BC68D" w14:textId="77777777" w:rsidR="00B50280" w:rsidRPr="00532815" w:rsidRDefault="00B50280" w:rsidP="00D7085A">
      <w:pPr>
        <w:numPr>
          <w:ilvl w:val="0"/>
          <w:numId w:val="39"/>
        </w:numPr>
        <w:overflowPunct/>
        <w:autoSpaceDE/>
        <w:autoSpaceDN/>
        <w:adjustRightInd/>
        <w:spacing w:before="0" w:line="276" w:lineRule="auto"/>
        <w:rPr>
          <w:rFonts w:eastAsia="Calibri"/>
          <w:szCs w:val="24"/>
        </w:rPr>
      </w:pPr>
      <w:r w:rsidRPr="00532815">
        <w:rPr>
          <w:rFonts w:eastAsia="Calibri"/>
          <w:szCs w:val="24"/>
        </w:rPr>
        <w:t>38 CFR 4.71a</w:t>
      </w:r>
    </w:p>
    <w:p w14:paraId="54CD114C" w14:textId="77777777" w:rsidR="00B50280" w:rsidRPr="00532815" w:rsidRDefault="00B50280" w:rsidP="006D3186">
      <w:pPr>
        <w:numPr>
          <w:ilvl w:val="0"/>
          <w:numId w:val="39"/>
        </w:numPr>
        <w:overflowPunct/>
        <w:autoSpaceDE/>
        <w:autoSpaceDN/>
        <w:adjustRightInd/>
        <w:spacing w:before="0" w:after="200" w:line="276" w:lineRule="auto"/>
        <w:contextualSpacing/>
        <w:rPr>
          <w:rFonts w:eastAsia="Calibri"/>
          <w:szCs w:val="24"/>
        </w:rPr>
      </w:pPr>
      <w:r w:rsidRPr="00532815">
        <w:rPr>
          <w:rFonts w:eastAsia="Calibri"/>
          <w:szCs w:val="24"/>
        </w:rPr>
        <w:t>38 CFR 4.150</w:t>
      </w:r>
    </w:p>
    <w:p w14:paraId="5A1D7709" w14:textId="77777777" w:rsidR="00B50280" w:rsidRPr="00532815" w:rsidRDefault="00B50280" w:rsidP="006D3186">
      <w:pPr>
        <w:numPr>
          <w:ilvl w:val="0"/>
          <w:numId w:val="39"/>
        </w:numPr>
        <w:overflowPunct/>
        <w:autoSpaceDE/>
        <w:autoSpaceDN/>
        <w:adjustRightInd/>
        <w:spacing w:before="0" w:after="200" w:line="276" w:lineRule="auto"/>
        <w:contextualSpacing/>
        <w:rPr>
          <w:rFonts w:eastAsia="Calibri"/>
          <w:szCs w:val="24"/>
        </w:rPr>
      </w:pPr>
      <w:r w:rsidRPr="00532815">
        <w:rPr>
          <w:rFonts w:eastAsia="Calibri"/>
          <w:szCs w:val="24"/>
        </w:rPr>
        <w:t>38 CFR 4.96</w:t>
      </w:r>
    </w:p>
    <w:p w14:paraId="376C79B9" w14:textId="77777777" w:rsidR="00B50280" w:rsidRPr="00532815" w:rsidRDefault="00B50280" w:rsidP="006D3186">
      <w:pPr>
        <w:numPr>
          <w:ilvl w:val="0"/>
          <w:numId w:val="39"/>
        </w:numPr>
        <w:overflowPunct/>
        <w:autoSpaceDE/>
        <w:autoSpaceDN/>
        <w:adjustRightInd/>
        <w:spacing w:before="0" w:after="200" w:line="276" w:lineRule="auto"/>
        <w:contextualSpacing/>
        <w:rPr>
          <w:rFonts w:eastAsia="Calibri"/>
          <w:szCs w:val="24"/>
        </w:rPr>
      </w:pPr>
      <w:r w:rsidRPr="00532815">
        <w:rPr>
          <w:rFonts w:eastAsia="Calibri"/>
          <w:szCs w:val="24"/>
        </w:rPr>
        <w:t>38 CFR 4.117</w:t>
      </w:r>
      <w:r w:rsidRPr="00532815">
        <w:rPr>
          <w:rFonts w:eastAsia="Calibri"/>
          <w:szCs w:val="24"/>
        </w:rPr>
        <w:br/>
      </w:r>
    </w:p>
    <w:p w14:paraId="578685CC" w14:textId="1E53D8DA" w:rsidR="00B50280" w:rsidRDefault="00B50280" w:rsidP="00D7085A">
      <w:pPr>
        <w:numPr>
          <w:ilvl w:val="0"/>
          <w:numId w:val="27"/>
        </w:numPr>
        <w:overflowPunct/>
        <w:autoSpaceDE/>
        <w:autoSpaceDN/>
        <w:adjustRightInd/>
        <w:spacing w:line="276" w:lineRule="auto"/>
        <w:ind w:left="360"/>
        <w:rPr>
          <w:rFonts w:eastAsia="Calibri"/>
          <w:szCs w:val="24"/>
        </w:rPr>
      </w:pPr>
      <w:r w:rsidRPr="00532815">
        <w:rPr>
          <w:rFonts w:eastAsia="Calibri"/>
          <w:szCs w:val="24"/>
        </w:rPr>
        <w:t>Which regulation assures avoidance of pyramiding when evaluating digestive cases?</w:t>
      </w:r>
    </w:p>
    <w:p w14:paraId="11B2D63A" w14:textId="77777777" w:rsidR="00D7085A" w:rsidRDefault="00D7085A" w:rsidP="00D7085A">
      <w:pPr>
        <w:overflowPunct/>
        <w:autoSpaceDE/>
        <w:autoSpaceDN/>
        <w:adjustRightInd/>
        <w:spacing w:before="0" w:line="276" w:lineRule="auto"/>
        <w:ind w:left="360"/>
        <w:rPr>
          <w:rFonts w:eastAsia="Calibri"/>
          <w:szCs w:val="24"/>
        </w:rPr>
      </w:pPr>
    </w:p>
    <w:p w14:paraId="5EC7C9E9" w14:textId="77777777" w:rsidR="00B50280" w:rsidRPr="00532815" w:rsidRDefault="00B50280" w:rsidP="00D7085A">
      <w:pPr>
        <w:numPr>
          <w:ilvl w:val="0"/>
          <w:numId w:val="40"/>
        </w:numPr>
        <w:overflowPunct/>
        <w:autoSpaceDE/>
        <w:autoSpaceDN/>
        <w:adjustRightInd/>
        <w:spacing w:before="0" w:after="120" w:line="276" w:lineRule="auto"/>
        <w:contextualSpacing/>
        <w:rPr>
          <w:rFonts w:eastAsia="Calibri"/>
          <w:szCs w:val="24"/>
        </w:rPr>
      </w:pPr>
      <w:r w:rsidRPr="00532815">
        <w:rPr>
          <w:rFonts w:eastAsia="Calibri"/>
          <w:szCs w:val="24"/>
        </w:rPr>
        <w:t>38 CFR 3.400</w:t>
      </w:r>
    </w:p>
    <w:p w14:paraId="3199D194" w14:textId="77777777" w:rsidR="00B50280" w:rsidRPr="00532815" w:rsidRDefault="00B50280" w:rsidP="0076466B">
      <w:pPr>
        <w:numPr>
          <w:ilvl w:val="0"/>
          <w:numId w:val="40"/>
        </w:numPr>
        <w:overflowPunct/>
        <w:autoSpaceDE/>
        <w:autoSpaceDN/>
        <w:adjustRightInd/>
        <w:spacing w:before="0" w:line="276" w:lineRule="auto"/>
        <w:contextualSpacing/>
        <w:rPr>
          <w:rFonts w:eastAsia="Calibri"/>
          <w:szCs w:val="24"/>
        </w:rPr>
      </w:pPr>
      <w:r w:rsidRPr="00532815">
        <w:rPr>
          <w:rFonts w:eastAsia="Calibri"/>
          <w:szCs w:val="24"/>
        </w:rPr>
        <w:t>38 CFR 4.88a</w:t>
      </w:r>
    </w:p>
    <w:p w14:paraId="7509DDC0" w14:textId="77777777" w:rsidR="00B50280" w:rsidRPr="00532815" w:rsidRDefault="00B50280" w:rsidP="0076466B">
      <w:pPr>
        <w:numPr>
          <w:ilvl w:val="0"/>
          <w:numId w:val="40"/>
        </w:numPr>
        <w:overflowPunct/>
        <w:autoSpaceDE/>
        <w:autoSpaceDN/>
        <w:adjustRightInd/>
        <w:spacing w:before="0" w:line="276" w:lineRule="auto"/>
        <w:contextualSpacing/>
        <w:rPr>
          <w:rFonts w:eastAsia="Calibri"/>
          <w:szCs w:val="24"/>
        </w:rPr>
      </w:pPr>
      <w:r w:rsidRPr="00532815">
        <w:rPr>
          <w:rFonts w:eastAsia="Calibri"/>
          <w:szCs w:val="24"/>
        </w:rPr>
        <w:t>38 CFR 4.14</w:t>
      </w:r>
    </w:p>
    <w:p w14:paraId="168CF76D" w14:textId="77777777" w:rsidR="00B50280" w:rsidRPr="00532815" w:rsidRDefault="00B50280" w:rsidP="0076466B">
      <w:pPr>
        <w:numPr>
          <w:ilvl w:val="0"/>
          <w:numId w:val="40"/>
        </w:numPr>
        <w:overflowPunct/>
        <w:autoSpaceDE/>
        <w:autoSpaceDN/>
        <w:adjustRightInd/>
        <w:spacing w:before="0" w:line="276" w:lineRule="auto"/>
        <w:contextualSpacing/>
        <w:rPr>
          <w:rFonts w:eastAsia="Calibri"/>
          <w:szCs w:val="24"/>
        </w:rPr>
      </w:pPr>
      <w:r w:rsidRPr="00532815">
        <w:rPr>
          <w:rFonts w:eastAsia="Calibri"/>
          <w:szCs w:val="24"/>
        </w:rPr>
        <w:t>38 CFR 4.113</w:t>
      </w:r>
    </w:p>
    <w:p w14:paraId="38FCE0FF" w14:textId="77777777" w:rsidR="00B50280" w:rsidRPr="00532815" w:rsidRDefault="00B50280" w:rsidP="0076466B">
      <w:pPr>
        <w:numPr>
          <w:ilvl w:val="0"/>
          <w:numId w:val="40"/>
        </w:numPr>
        <w:overflowPunct/>
        <w:autoSpaceDE/>
        <w:autoSpaceDN/>
        <w:adjustRightInd/>
        <w:spacing w:before="0" w:line="276" w:lineRule="auto"/>
        <w:contextualSpacing/>
        <w:rPr>
          <w:rFonts w:eastAsia="Calibri"/>
          <w:szCs w:val="24"/>
        </w:rPr>
      </w:pPr>
      <w:r w:rsidRPr="00532815">
        <w:rPr>
          <w:rFonts w:eastAsia="Calibri"/>
          <w:szCs w:val="24"/>
        </w:rPr>
        <w:t>38 CFR 4.115</w:t>
      </w:r>
      <w:r w:rsidRPr="00532815">
        <w:rPr>
          <w:rFonts w:eastAsia="Calibri"/>
          <w:szCs w:val="24"/>
        </w:rPr>
        <w:br/>
      </w:r>
    </w:p>
    <w:p w14:paraId="20653097" w14:textId="53CDD61B" w:rsidR="00B50280" w:rsidRDefault="00B50280" w:rsidP="006D3186">
      <w:pPr>
        <w:numPr>
          <w:ilvl w:val="0"/>
          <w:numId w:val="27"/>
        </w:numPr>
        <w:overflowPunct/>
        <w:autoSpaceDE/>
        <w:autoSpaceDN/>
        <w:adjustRightInd/>
        <w:spacing w:after="120" w:line="276" w:lineRule="auto"/>
        <w:ind w:left="360"/>
        <w:contextualSpacing/>
        <w:rPr>
          <w:rFonts w:eastAsia="Calibri"/>
          <w:szCs w:val="24"/>
        </w:rPr>
      </w:pPr>
      <w:r w:rsidRPr="00532815">
        <w:rPr>
          <w:rFonts w:eastAsia="Calibri"/>
          <w:szCs w:val="24"/>
        </w:rPr>
        <w:lastRenderedPageBreak/>
        <w:t>Can the RVSR grant service connection to a Veteran for Sleep Apnea and Asthma?</w:t>
      </w:r>
    </w:p>
    <w:p w14:paraId="1A9BA1DA" w14:textId="77777777" w:rsidR="006D3186" w:rsidRPr="00532815" w:rsidRDefault="006D3186" w:rsidP="0076466B">
      <w:pPr>
        <w:overflowPunct/>
        <w:autoSpaceDE/>
        <w:autoSpaceDN/>
        <w:adjustRightInd/>
        <w:spacing w:before="0" w:line="276" w:lineRule="auto"/>
        <w:ind w:left="360"/>
        <w:rPr>
          <w:rFonts w:eastAsia="Calibri"/>
          <w:szCs w:val="24"/>
        </w:rPr>
      </w:pPr>
    </w:p>
    <w:p w14:paraId="6505D63D" w14:textId="77777777" w:rsidR="00B50280" w:rsidRPr="00532815" w:rsidRDefault="00B50280" w:rsidP="006D3186">
      <w:pPr>
        <w:numPr>
          <w:ilvl w:val="0"/>
          <w:numId w:val="41"/>
        </w:numPr>
        <w:overflowPunct/>
        <w:autoSpaceDE/>
        <w:autoSpaceDN/>
        <w:adjustRightInd/>
        <w:spacing w:before="0" w:after="200" w:line="276" w:lineRule="auto"/>
        <w:contextualSpacing/>
        <w:rPr>
          <w:rFonts w:eastAsia="Calibri"/>
          <w:szCs w:val="24"/>
        </w:rPr>
      </w:pPr>
      <w:r w:rsidRPr="00532815">
        <w:rPr>
          <w:rFonts w:eastAsia="Calibri"/>
          <w:szCs w:val="24"/>
        </w:rPr>
        <w:t>Yes</w:t>
      </w:r>
    </w:p>
    <w:p w14:paraId="2BF8C3A5" w14:textId="77777777" w:rsidR="00B50280" w:rsidRPr="00532815" w:rsidRDefault="00B50280" w:rsidP="006D3186">
      <w:pPr>
        <w:numPr>
          <w:ilvl w:val="0"/>
          <w:numId w:val="41"/>
        </w:numPr>
        <w:overflowPunct/>
        <w:autoSpaceDE/>
        <w:autoSpaceDN/>
        <w:adjustRightInd/>
        <w:spacing w:before="0" w:after="200" w:line="276" w:lineRule="auto"/>
        <w:contextualSpacing/>
        <w:rPr>
          <w:rFonts w:eastAsia="Calibri"/>
          <w:szCs w:val="24"/>
        </w:rPr>
      </w:pPr>
      <w:r w:rsidRPr="00532815">
        <w:rPr>
          <w:rFonts w:eastAsia="Calibri"/>
          <w:szCs w:val="24"/>
        </w:rPr>
        <w:t>No</w:t>
      </w:r>
      <w:r w:rsidRPr="00532815">
        <w:rPr>
          <w:rFonts w:eastAsia="Calibri"/>
          <w:szCs w:val="24"/>
        </w:rPr>
        <w:br/>
      </w:r>
    </w:p>
    <w:p w14:paraId="0176507C" w14:textId="430E7B41" w:rsidR="00B50280" w:rsidRPr="00E4593A" w:rsidRDefault="00B50280" w:rsidP="006D3186">
      <w:pPr>
        <w:numPr>
          <w:ilvl w:val="0"/>
          <w:numId w:val="27"/>
        </w:numPr>
        <w:overflowPunct/>
        <w:autoSpaceDE/>
        <w:autoSpaceDN/>
        <w:adjustRightInd/>
        <w:spacing w:before="0" w:line="276" w:lineRule="auto"/>
        <w:ind w:left="360"/>
        <w:contextualSpacing/>
        <w:rPr>
          <w:rFonts w:eastAsia="Calibri"/>
          <w:szCs w:val="24"/>
        </w:rPr>
      </w:pPr>
      <w:r w:rsidRPr="00E4593A">
        <w:rPr>
          <w:rFonts w:eastAsia="Calibri"/>
          <w:szCs w:val="24"/>
        </w:rPr>
        <w:t xml:space="preserve">Can you </w:t>
      </w:r>
      <w:r w:rsidR="006D443F">
        <w:rPr>
          <w:rFonts w:eastAsia="Calibri"/>
          <w:szCs w:val="24"/>
        </w:rPr>
        <w:t>a</w:t>
      </w:r>
      <w:r w:rsidRPr="00E4593A">
        <w:rPr>
          <w:rFonts w:eastAsia="Calibri"/>
          <w:szCs w:val="24"/>
        </w:rPr>
        <w:t>ssign an evaluation for dermatitis based on percentage of involvement of the entire body and a separate evaluation based on the residual scarring?</w:t>
      </w:r>
    </w:p>
    <w:p w14:paraId="5B29206D" w14:textId="77777777" w:rsidR="006D3186" w:rsidRPr="00E4593A" w:rsidRDefault="006D3186" w:rsidP="0076466B">
      <w:pPr>
        <w:overflowPunct/>
        <w:autoSpaceDE/>
        <w:autoSpaceDN/>
        <w:adjustRightInd/>
        <w:spacing w:before="0" w:line="276" w:lineRule="auto"/>
        <w:ind w:left="360"/>
        <w:rPr>
          <w:rFonts w:eastAsia="Calibri"/>
          <w:szCs w:val="24"/>
        </w:rPr>
      </w:pPr>
    </w:p>
    <w:p w14:paraId="32FA59B9" w14:textId="77777777" w:rsidR="00B50280" w:rsidRPr="00E4593A" w:rsidRDefault="00B50280" w:rsidP="006D3186">
      <w:pPr>
        <w:numPr>
          <w:ilvl w:val="0"/>
          <w:numId w:val="42"/>
        </w:numPr>
        <w:overflowPunct/>
        <w:autoSpaceDE/>
        <w:autoSpaceDN/>
        <w:adjustRightInd/>
        <w:spacing w:before="0" w:after="200" w:line="276" w:lineRule="auto"/>
        <w:contextualSpacing/>
        <w:rPr>
          <w:rFonts w:eastAsia="Calibri"/>
          <w:szCs w:val="24"/>
        </w:rPr>
      </w:pPr>
      <w:r w:rsidRPr="00E4593A">
        <w:rPr>
          <w:rFonts w:eastAsia="Calibri"/>
          <w:szCs w:val="24"/>
        </w:rPr>
        <w:t>Yes</w:t>
      </w:r>
    </w:p>
    <w:p w14:paraId="4950DC49" w14:textId="3B13C52A" w:rsidR="00B50280" w:rsidRPr="00E4593A" w:rsidRDefault="00B50280" w:rsidP="006D3186">
      <w:pPr>
        <w:numPr>
          <w:ilvl w:val="0"/>
          <w:numId w:val="42"/>
        </w:numPr>
        <w:overflowPunct/>
        <w:autoSpaceDE/>
        <w:autoSpaceDN/>
        <w:adjustRightInd/>
        <w:spacing w:after="240" w:line="276" w:lineRule="auto"/>
        <w:contextualSpacing/>
        <w:rPr>
          <w:rFonts w:eastAsia="Calibri"/>
          <w:szCs w:val="24"/>
        </w:rPr>
      </w:pPr>
      <w:r w:rsidRPr="00E4593A">
        <w:rPr>
          <w:rFonts w:eastAsia="Calibri"/>
          <w:szCs w:val="24"/>
        </w:rPr>
        <w:t>No</w:t>
      </w:r>
    </w:p>
    <w:p w14:paraId="007FAB9C" w14:textId="77777777" w:rsidR="006D3186" w:rsidRPr="00E4593A" w:rsidRDefault="006D3186" w:rsidP="00D7085A">
      <w:pPr>
        <w:overflowPunct/>
        <w:autoSpaceDE/>
        <w:autoSpaceDN/>
        <w:adjustRightInd/>
        <w:spacing w:after="240" w:line="276" w:lineRule="auto"/>
        <w:ind w:left="360"/>
        <w:contextualSpacing/>
        <w:rPr>
          <w:rFonts w:eastAsia="Calibri"/>
          <w:szCs w:val="24"/>
        </w:rPr>
      </w:pPr>
    </w:p>
    <w:p w14:paraId="3E1FA5D6" w14:textId="77777777" w:rsidR="00B50280" w:rsidRPr="00E4593A" w:rsidRDefault="00B50280" w:rsidP="006D3186">
      <w:pPr>
        <w:overflowPunct/>
        <w:autoSpaceDE/>
        <w:autoSpaceDN/>
        <w:adjustRightInd/>
        <w:spacing w:before="0"/>
        <w:ind w:left="360"/>
        <w:rPr>
          <w:szCs w:val="24"/>
        </w:rPr>
      </w:pPr>
      <w:r w:rsidRPr="00E4593A">
        <w:rPr>
          <w:szCs w:val="24"/>
        </w:rPr>
        <w:t>If you replied yes what manual reference supports this decision?_______________________</w:t>
      </w:r>
    </w:p>
    <w:p w14:paraId="5F29E5A5" w14:textId="77777777" w:rsidR="00B50280" w:rsidRPr="00E4593A" w:rsidRDefault="00B50280" w:rsidP="00B50280">
      <w:pPr>
        <w:overflowPunct/>
        <w:autoSpaceDE/>
        <w:autoSpaceDN/>
        <w:adjustRightInd/>
        <w:spacing w:before="0"/>
        <w:rPr>
          <w:szCs w:val="24"/>
        </w:rPr>
      </w:pPr>
    </w:p>
    <w:p w14:paraId="655BE226" w14:textId="106F9F14" w:rsidR="00B50280" w:rsidRPr="00E4593A" w:rsidRDefault="00B50280" w:rsidP="006D3186">
      <w:pPr>
        <w:overflowPunct/>
        <w:autoSpaceDE/>
        <w:autoSpaceDN/>
        <w:adjustRightInd/>
        <w:spacing w:before="0"/>
        <w:ind w:left="360"/>
        <w:rPr>
          <w:szCs w:val="24"/>
        </w:rPr>
      </w:pPr>
      <w:r w:rsidRPr="00E4593A">
        <w:rPr>
          <w:szCs w:val="24"/>
        </w:rPr>
        <w:t>If you replied no what manual reference supports this decision?________________________</w:t>
      </w:r>
    </w:p>
    <w:p w14:paraId="10FFCBA3" w14:textId="77777777" w:rsidR="00B50280" w:rsidRDefault="00B50280" w:rsidP="00B50280">
      <w:pPr>
        <w:pStyle w:val="VBABodyText0"/>
      </w:pPr>
    </w:p>
    <w:p w14:paraId="468C75C5" w14:textId="77777777" w:rsidR="005175F0" w:rsidRDefault="005175F0" w:rsidP="005175F0"/>
    <w:p w14:paraId="468C75C6" w14:textId="77777777" w:rsidR="005175F0" w:rsidRDefault="005175F0" w:rsidP="005175F0"/>
    <w:p w14:paraId="468C75C7" w14:textId="3AA3E51E" w:rsidR="005F1257" w:rsidRDefault="005F1257">
      <w:pPr>
        <w:overflowPunct/>
        <w:autoSpaceDE/>
        <w:autoSpaceDN/>
        <w:adjustRightInd/>
        <w:spacing w:before="0"/>
      </w:pPr>
      <w:r>
        <w:br w:type="page"/>
      </w:r>
    </w:p>
    <w:p w14:paraId="613AC5D2" w14:textId="77777777" w:rsidR="005F1257" w:rsidRDefault="005F1257" w:rsidP="005F1257">
      <w:pPr>
        <w:spacing w:before="240"/>
        <w:jc w:val="center"/>
        <w:outlineLvl w:val="0"/>
        <w:rPr>
          <w:rFonts w:ascii="Times New Roman Bold" w:hAnsi="Times New Roman Bold"/>
          <w:b/>
          <w:smallCaps/>
          <w:sz w:val="28"/>
          <w:szCs w:val="28"/>
        </w:rPr>
      </w:pPr>
      <w:bookmarkStart w:id="16" w:name="_Hlk48141652"/>
      <w:r>
        <w:rPr>
          <w:rFonts w:ascii="Times New Roman Bold" w:hAnsi="Times New Roman Bold"/>
          <w:b/>
          <w:smallCaps/>
          <w:sz w:val="28"/>
          <w:szCs w:val="28"/>
        </w:rPr>
        <w:lastRenderedPageBreak/>
        <w:t>Rater Disability Evaluations and Pyramiding (Overview)</w:t>
      </w:r>
    </w:p>
    <w:p w14:paraId="09539186" w14:textId="01DCF483" w:rsidR="005F1257" w:rsidRPr="005F1257" w:rsidRDefault="005F1257" w:rsidP="005F1257">
      <w:pPr>
        <w:spacing w:before="0" w:after="240"/>
        <w:jc w:val="center"/>
        <w:outlineLvl w:val="0"/>
        <w:rPr>
          <w:rFonts w:ascii="Times New Roman Bold" w:hAnsi="Times New Roman Bold"/>
          <w:b/>
          <w:smallCaps/>
          <w:sz w:val="28"/>
          <w:szCs w:val="28"/>
        </w:rPr>
      </w:pPr>
      <w:r>
        <w:rPr>
          <w:rFonts w:ascii="Times New Roman Bold" w:hAnsi="Times New Roman Bold"/>
          <w:b/>
          <w:smallCaps/>
          <w:sz w:val="28"/>
          <w:szCs w:val="28"/>
        </w:rPr>
        <w:t xml:space="preserve">Tms # </w:t>
      </w:r>
    </w:p>
    <w:p w14:paraId="66026797" w14:textId="149CF89E" w:rsidR="005F1257" w:rsidRPr="005F1257" w:rsidRDefault="005F1257" w:rsidP="005F1257">
      <w:pPr>
        <w:overflowPunct/>
        <w:autoSpaceDE/>
        <w:autoSpaceDN/>
        <w:adjustRightInd/>
        <w:spacing w:before="0" w:after="160" w:line="259" w:lineRule="auto"/>
        <w:rPr>
          <w:rFonts w:eastAsia="Calibri"/>
          <w:szCs w:val="24"/>
        </w:rPr>
      </w:pPr>
      <w:r w:rsidRPr="005F1257">
        <w:rPr>
          <w:rFonts w:eastAsia="Calibri"/>
          <w:szCs w:val="24"/>
        </w:rPr>
        <w:t xml:space="preserve">You have completed the instructional part of training on </w:t>
      </w:r>
      <w:r>
        <w:rPr>
          <w:rFonts w:eastAsia="Calibri"/>
          <w:szCs w:val="24"/>
        </w:rPr>
        <w:t>Rater Disability Evaluations and Pyramiding</w:t>
      </w:r>
      <w:r w:rsidRPr="005F1257">
        <w:rPr>
          <w:rFonts w:eastAsia="Calibri"/>
          <w:szCs w:val="24"/>
        </w:rPr>
        <w:t xml:space="preserve">. You must log in to TMS and enter ID#  to complete the online assessment and survey to receive credit for this training. The assessment requires a score of </w:t>
      </w:r>
      <w:r>
        <w:rPr>
          <w:rFonts w:eastAsia="Calibri"/>
          <w:szCs w:val="24"/>
        </w:rPr>
        <w:t xml:space="preserve">80% </w:t>
      </w:r>
      <w:r w:rsidRPr="005F1257">
        <w:rPr>
          <w:rFonts w:eastAsia="Calibri"/>
          <w:szCs w:val="24"/>
        </w:rPr>
        <w:t xml:space="preserve">to pass. Any available </w:t>
      </w:r>
      <w:r w:rsidRPr="005F1257">
        <w:rPr>
          <w:szCs w:val="24"/>
        </w:rPr>
        <w:t xml:space="preserve">resource </w:t>
      </w:r>
      <w:r w:rsidRPr="005F1257">
        <w:rPr>
          <w:rFonts w:eastAsia="Calibri"/>
          <w:szCs w:val="24"/>
        </w:rPr>
        <w:t xml:space="preserve">can be utilized </w:t>
      </w:r>
      <w:r w:rsidRPr="005F1257">
        <w:rPr>
          <w:szCs w:val="24"/>
        </w:rPr>
        <w:t xml:space="preserve">to complete the assessment. This includes but not limited to lesson handout, internet/intranet web sites, job aides, PowerPoint and any applicable reference </w:t>
      </w:r>
      <w:r w:rsidRPr="005F1257">
        <w:rPr>
          <w:rFonts w:eastAsia="Calibri"/>
          <w:szCs w:val="24"/>
        </w:rPr>
        <w:t>materials. You will have unlimited attempts to pass this assessment.</w:t>
      </w:r>
      <w:bookmarkEnd w:id="16"/>
    </w:p>
    <w:p w14:paraId="3C99743C" w14:textId="77777777" w:rsidR="007A5600" w:rsidRDefault="007A5600">
      <w:pPr>
        <w:jc w:val="center"/>
      </w:pPr>
    </w:p>
    <w:sectPr w:rsidR="007A5600">
      <w:footerReference w:type="default" r:id="rId3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AE33B" w14:textId="77777777" w:rsidR="00F20A79" w:rsidRDefault="00F20A79">
      <w:pPr>
        <w:spacing w:before="0"/>
      </w:pPr>
      <w:r>
        <w:separator/>
      </w:r>
    </w:p>
  </w:endnote>
  <w:endnote w:type="continuationSeparator" w:id="0">
    <w:p w14:paraId="319326E1" w14:textId="77777777" w:rsidR="00F20A79" w:rsidRDefault="00F20A7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C75CC" w14:textId="703866B9" w:rsidR="00AA1A39" w:rsidRDefault="00937686">
    <w:pPr>
      <w:pStyle w:val="VBAFooter"/>
    </w:pPr>
    <w:r>
      <w:t>September</w:t>
    </w:r>
    <w:r w:rsidR="00041195">
      <w:t xml:space="preserve"> 2020</w:t>
    </w:r>
    <w:r w:rsidR="00AA1A39">
      <w:t xml:space="preserve">   </w:t>
    </w:r>
    <w:r w:rsidR="00AA1A39">
      <w:tab/>
    </w:r>
    <w:r w:rsidR="00AA1A39">
      <w:tab/>
      <w:t xml:space="preserve">Page </w:t>
    </w:r>
    <w:r w:rsidR="00AA1A39">
      <w:fldChar w:fldCharType="begin"/>
    </w:r>
    <w:r w:rsidR="00AA1A39">
      <w:instrText xml:space="preserve"> PAGE   \* MERGEFORMAT </w:instrText>
    </w:r>
    <w:r w:rsidR="00AA1A39">
      <w:fldChar w:fldCharType="separate"/>
    </w:r>
    <w:r w:rsidR="0052286D">
      <w:rPr>
        <w:noProof/>
      </w:rPr>
      <w:t>1</w:t>
    </w:r>
    <w:r w:rsidR="00AA1A39">
      <w:fldChar w:fldCharType="end"/>
    </w:r>
  </w:p>
  <w:p w14:paraId="468C75CD" w14:textId="77777777" w:rsidR="00AA1A39" w:rsidRDefault="00AA1A39"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95E85" w14:textId="77777777" w:rsidR="00F20A79" w:rsidRDefault="00F20A79">
      <w:pPr>
        <w:spacing w:before="0"/>
      </w:pPr>
      <w:r>
        <w:separator/>
      </w:r>
    </w:p>
  </w:footnote>
  <w:footnote w:type="continuationSeparator" w:id="0">
    <w:p w14:paraId="26EDF141" w14:textId="77777777" w:rsidR="00F20A79" w:rsidRDefault="00F20A7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77F8"/>
    <w:multiLevelType w:val="hybridMultilevel"/>
    <w:tmpl w:val="781E9EAE"/>
    <w:lvl w:ilvl="0" w:tplc="1500F27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A76DD"/>
    <w:multiLevelType w:val="hybridMultilevel"/>
    <w:tmpl w:val="B99AF208"/>
    <w:lvl w:ilvl="0" w:tplc="C7AA6B36">
      <w:numFmt w:val="bullet"/>
      <w:lvlText w:val=""/>
      <w:lvlJc w:val="left"/>
      <w:pPr>
        <w:ind w:left="720" w:hanging="360"/>
      </w:pPr>
      <w:rPr>
        <w:rFonts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F5891"/>
    <w:multiLevelType w:val="hybridMultilevel"/>
    <w:tmpl w:val="EDCC5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2584A"/>
    <w:multiLevelType w:val="hybridMultilevel"/>
    <w:tmpl w:val="947278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AB33202"/>
    <w:multiLevelType w:val="hybridMultilevel"/>
    <w:tmpl w:val="7CF2F7AC"/>
    <w:lvl w:ilvl="0" w:tplc="1500F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02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E0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587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E5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A3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4AB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A2D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2C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184E33"/>
    <w:multiLevelType w:val="hybridMultilevel"/>
    <w:tmpl w:val="9444A2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20D45"/>
    <w:multiLevelType w:val="hybridMultilevel"/>
    <w:tmpl w:val="85D48F5A"/>
    <w:lvl w:ilvl="0" w:tplc="046C0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1295D"/>
    <w:multiLevelType w:val="hybridMultilevel"/>
    <w:tmpl w:val="95927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950B0"/>
    <w:multiLevelType w:val="multilevel"/>
    <w:tmpl w:val="4B90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A27A0A"/>
    <w:multiLevelType w:val="hybridMultilevel"/>
    <w:tmpl w:val="353A64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572341"/>
    <w:multiLevelType w:val="hybridMultilevel"/>
    <w:tmpl w:val="5E60F4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5737D"/>
    <w:multiLevelType w:val="hybridMultilevel"/>
    <w:tmpl w:val="86D06D08"/>
    <w:lvl w:ilvl="0" w:tplc="C7AA6B36">
      <w:numFmt w:val="bullet"/>
      <w:lvlText w:val=""/>
      <w:lvlJc w:val="left"/>
      <w:pPr>
        <w:ind w:left="720" w:hanging="360"/>
      </w:pPr>
      <w:rPr>
        <w:rFonts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C7FB6"/>
    <w:multiLevelType w:val="hybridMultilevel"/>
    <w:tmpl w:val="CFEE9CD8"/>
    <w:lvl w:ilvl="0" w:tplc="B39E3DBE">
      <w:start w:val="1"/>
      <w:numFmt w:val="bullet"/>
      <w:pStyle w:val="VBAFirstLevel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C1C04"/>
    <w:multiLevelType w:val="hybridMultilevel"/>
    <w:tmpl w:val="AE0ED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7E7B81"/>
    <w:multiLevelType w:val="hybridMultilevel"/>
    <w:tmpl w:val="A7A02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511DA"/>
    <w:multiLevelType w:val="hybridMultilevel"/>
    <w:tmpl w:val="2B9A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F220D"/>
    <w:multiLevelType w:val="multilevel"/>
    <w:tmpl w:val="EE12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44160A"/>
    <w:multiLevelType w:val="hybridMultilevel"/>
    <w:tmpl w:val="6A022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8956CE"/>
    <w:multiLevelType w:val="hybridMultilevel"/>
    <w:tmpl w:val="A7A260DC"/>
    <w:lvl w:ilvl="0" w:tplc="C7AA6B36">
      <w:numFmt w:val="bullet"/>
      <w:lvlText w:val=""/>
      <w:lvlJc w:val="left"/>
      <w:pPr>
        <w:ind w:left="720" w:hanging="360"/>
      </w:pPr>
      <w:rPr>
        <w:rFonts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81FAA"/>
    <w:multiLevelType w:val="hybridMultilevel"/>
    <w:tmpl w:val="CB88946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C9E343B"/>
    <w:multiLevelType w:val="hybridMultilevel"/>
    <w:tmpl w:val="745EA79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A6F61"/>
    <w:multiLevelType w:val="hybridMultilevel"/>
    <w:tmpl w:val="64E8AA04"/>
    <w:lvl w:ilvl="0" w:tplc="F18E5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06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40C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A26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EF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40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00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84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CE4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B485EEF"/>
    <w:multiLevelType w:val="hybridMultilevel"/>
    <w:tmpl w:val="716CBF32"/>
    <w:lvl w:ilvl="0" w:tplc="C7AA6B36">
      <w:numFmt w:val="bullet"/>
      <w:lvlText w:val=""/>
      <w:lvlJc w:val="left"/>
      <w:pPr>
        <w:ind w:left="1440" w:hanging="360"/>
      </w:pPr>
      <w:rPr>
        <w:rFonts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2807A1"/>
    <w:multiLevelType w:val="hybridMultilevel"/>
    <w:tmpl w:val="D4A2CF12"/>
    <w:lvl w:ilvl="0" w:tplc="C7AA6B36">
      <w:numFmt w:val="bullet"/>
      <w:lvlText w:val="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F7F0F"/>
    <w:multiLevelType w:val="hybridMultilevel"/>
    <w:tmpl w:val="8BC46F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F755F"/>
    <w:multiLevelType w:val="hybridMultilevel"/>
    <w:tmpl w:val="430C8046"/>
    <w:lvl w:ilvl="0" w:tplc="7400AA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A17254"/>
    <w:multiLevelType w:val="hybridMultilevel"/>
    <w:tmpl w:val="B1C205D4"/>
    <w:lvl w:ilvl="0" w:tplc="C7AA6B36">
      <w:numFmt w:val="bullet"/>
      <w:lvlText w:val=""/>
      <w:lvlJc w:val="left"/>
      <w:pPr>
        <w:ind w:left="720" w:hanging="360"/>
      </w:pPr>
      <w:rPr>
        <w:rFonts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E63FF6"/>
    <w:multiLevelType w:val="hybridMultilevel"/>
    <w:tmpl w:val="F08CB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619BA"/>
    <w:multiLevelType w:val="hybridMultilevel"/>
    <w:tmpl w:val="5E4CFA46"/>
    <w:lvl w:ilvl="0" w:tplc="C7AA6B36">
      <w:numFmt w:val="bullet"/>
      <w:lvlText w:val="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5D21E1"/>
    <w:multiLevelType w:val="hybridMultilevel"/>
    <w:tmpl w:val="EF40FC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D64DC9"/>
    <w:multiLevelType w:val="hybridMultilevel"/>
    <w:tmpl w:val="9AC89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3347C2"/>
    <w:multiLevelType w:val="hybridMultilevel"/>
    <w:tmpl w:val="2CBEFB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5360B0C"/>
    <w:multiLevelType w:val="hybridMultilevel"/>
    <w:tmpl w:val="83FE2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5246B"/>
    <w:multiLevelType w:val="hybridMultilevel"/>
    <w:tmpl w:val="F88CC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D01A2"/>
    <w:multiLevelType w:val="hybridMultilevel"/>
    <w:tmpl w:val="F328E6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D7DD5"/>
    <w:multiLevelType w:val="hybridMultilevel"/>
    <w:tmpl w:val="8544E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285580"/>
    <w:multiLevelType w:val="hybridMultilevel"/>
    <w:tmpl w:val="B87CFF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C27F97"/>
    <w:multiLevelType w:val="hybridMultilevel"/>
    <w:tmpl w:val="412C8C80"/>
    <w:lvl w:ilvl="0" w:tplc="C7AA6B36">
      <w:numFmt w:val="bullet"/>
      <w:lvlText w:val="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45AFF"/>
    <w:multiLevelType w:val="hybridMultilevel"/>
    <w:tmpl w:val="36EE9252"/>
    <w:lvl w:ilvl="0" w:tplc="F4B2E0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7251498"/>
    <w:multiLevelType w:val="hybridMultilevel"/>
    <w:tmpl w:val="616AA5F6"/>
    <w:lvl w:ilvl="0" w:tplc="C7AA6B36">
      <w:numFmt w:val="bullet"/>
      <w:lvlText w:val="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D3B60"/>
    <w:multiLevelType w:val="hybridMultilevel"/>
    <w:tmpl w:val="30685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5138B4"/>
    <w:multiLevelType w:val="hybridMultilevel"/>
    <w:tmpl w:val="3EDE1C46"/>
    <w:lvl w:ilvl="0" w:tplc="C7AA6B36">
      <w:numFmt w:val="bullet"/>
      <w:lvlText w:val=""/>
      <w:lvlJc w:val="left"/>
      <w:pPr>
        <w:ind w:left="720" w:hanging="360"/>
      </w:pPr>
      <w:rPr>
        <w:rFonts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2418B"/>
    <w:multiLevelType w:val="hybridMultilevel"/>
    <w:tmpl w:val="5298E2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432831"/>
    <w:multiLevelType w:val="hybridMultilevel"/>
    <w:tmpl w:val="D9182D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E91522"/>
    <w:multiLevelType w:val="hybridMultilevel"/>
    <w:tmpl w:val="E9D0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0"/>
  </w:num>
  <w:num w:numId="3">
    <w:abstractNumId w:val="21"/>
  </w:num>
  <w:num w:numId="4">
    <w:abstractNumId w:val="17"/>
  </w:num>
  <w:num w:numId="5">
    <w:abstractNumId w:val="32"/>
  </w:num>
  <w:num w:numId="6">
    <w:abstractNumId w:val="4"/>
  </w:num>
  <w:num w:numId="7">
    <w:abstractNumId w:val="12"/>
  </w:num>
  <w:num w:numId="8">
    <w:abstractNumId w:val="33"/>
  </w:num>
  <w:num w:numId="9">
    <w:abstractNumId w:val="19"/>
  </w:num>
  <w:num w:numId="10">
    <w:abstractNumId w:val="3"/>
  </w:num>
  <w:num w:numId="11">
    <w:abstractNumId w:val="15"/>
  </w:num>
  <w:num w:numId="12">
    <w:abstractNumId w:val="44"/>
  </w:num>
  <w:num w:numId="13">
    <w:abstractNumId w:val="0"/>
  </w:num>
  <w:num w:numId="14">
    <w:abstractNumId w:val="31"/>
  </w:num>
  <w:num w:numId="15">
    <w:abstractNumId w:val="16"/>
  </w:num>
  <w:num w:numId="16">
    <w:abstractNumId w:val="8"/>
  </w:num>
  <w:num w:numId="17">
    <w:abstractNumId w:val="6"/>
  </w:num>
  <w:num w:numId="18">
    <w:abstractNumId w:val="38"/>
  </w:num>
  <w:num w:numId="19">
    <w:abstractNumId w:val="35"/>
  </w:num>
  <w:num w:numId="20">
    <w:abstractNumId w:val="13"/>
  </w:num>
  <w:num w:numId="21">
    <w:abstractNumId w:val="30"/>
  </w:num>
  <w:num w:numId="22">
    <w:abstractNumId w:val="42"/>
  </w:num>
  <w:num w:numId="23">
    <w:abstractNumId w:val="25"/>
  </w:num>
  <w:num w:numId="24">
    <w:abstractNumId w:val="34"/>
  </w:num>
  <w:num w:numId="25">
    <w:abstractNumId w:val="5"/>
  </w:num>
  <w:num w:numId="26">
    <w:abstractNumId w:val="7"/>
  </w:num>
  <w:num w:numId="27">
    <w:abstractNumId w:val="20"/>
  </w:num>
  <w:num w:numId="28">
    <w:abstractNumId w:val="36"/>
  </w:num>
  <w:num w:numId="29">
    <w:abstractNumId w:val="2"/>
  </w:num>
  <w:num w:numId="30">
    <w:abstractNumId w:val="29"/>
  </w:num>
  <w:num w:numId="31">
    <w:abstractNumId w:val="10"/>
  </w:num>
  <w:num w:numId="32">
    <w:abstractNumId w:val="24"/>
  </w:num>
  <w:num w:numId="33">
    <w:abstractNumId w:val="26"/>
  </w:num>
  <w:num w:numId="34">
    <w:abstractNumId w:val="37"/>
  </w:num>
  <w:num w:numId="35">
    <w:abstractNumId w:val="39"/>
  </w:num>
  <w:num w:numId="36">
    <w:abstractNumId w:val="43"/>
  </w:num>
  <w:num w:numId="37">
    <w:abstractNumId w:val="28"/>
  </w:num>
  <w:num w:numId="38">
    <w:abstractNumId w:val="22"/>
  </w:num>
  <w:num w:numId="39">
    <w:abstractNumId w:val="1"/>
  </w:num>
  <w:num w:numId="40">
    <w:abstractNumId w:val="18"/>
  </w:num>
  <w:num w:numId="41">
    <w:abstractNumId w:val="41"/>
  </w:num>
  <w:num w:numId="42">
    <w:abstractNumId w:val="11"/>
  </w:num>
  <w:num w:numId="43">
    <w:abstractNumId w:val="23"/>
  </w:num>
  <w:num w:numId="44">
    <w:abstractNumId w:val="9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D3"/>
    <w:rsid w:val="00035622"/>
    <w:rsid w:val="00041195"/>
    <w:rsid w:val="000B44D3"/>
    <w:rsid w:val="000E3279"/>
    <w:rsid w:val="000F4BD3"/>
    <w:rsid w:val="001026F8"/>
    <w:rsid w:val="00124D21"/>
    <w:rsid w:val="001815CC"/>
    <w:rsid w:val="001948B1"/>
    <w:rsid w:val="001B43A5"/>
    <w:rsid w:val="001C38D3"/>
    <w:rsid w:val="00244857"/>
    <w:rsid w:val="002861B0"/>
    <w:rsid w:val="00290B60"/>
    <w:rsid w:val="00294500"/>
    <w:rsid w:val="00335191"/>
    <w:rsid w:val="00360888"/>
    <w:rsid w:val="00360FE1"/>
    <w:rsid w:val="00375E4E"/>
    <w:rsid w:val="003A62E7"/>
    <w:rsid w:val="003B11BD"/>
    <w:rsid w:val="003B2D4C"/>
    <w:rsid w:val="003C3F7E"/>
    <w:rsid w:val="003F7729"/>
    <w:rsid w:val="004258A1"/>
    <w:rsid w:val="00472A9B"/>
    <w:rsid w:val="00492551"/>
    <w:rsid w:val="005175F0"/>
    <w:rsid w:val="0052286D"/>
    <w:rsid w:val="005361DF"/>
    <w:rsid w:val="005564ED"/>
    <w:rsid w:val="0059633D"/>
    <w:rsid w:val="005E4230"/>
    <w:rsid w:val="005E6CC5"/>
    <w:rsid w:val="005F1257"/>
    <w:rsid w:val="00621058"/>
    <w:rsid w:val="0069672C"/>
    <w:rsid w:val="006B0C0F"/>
    <w:rsid w:val="006D3186"/>
    <w:rsid w:val="006D443F"/>
    <w:rsid w:val="007125CB"/>
    <w:rsid w:val="0076466B"/>
    <w:rsid w:val="00780E68"/>
    <w:rsid w:val="00790B2A"/>
    <w:rsid w:val="007A5600"/>
    <w:rsid w:val="007D1ED9"/>
    <w:rsid w:val="008622C9"/>
    <w:rsid w:val="008900E0"/>
    <w:rsid w:val="008C0D5B"/>
    <w:rsid w:val="008C2231"/>
    <w:rsid w:val="00937686"/>
    <w:rsid w:val="00975461"/>
    <w:rsid w:val="009A490F"/>
    <w:rsid w:val="009A671D"/>
    <w:rsid w:val="009D6870"/>
    <w:rsid w:val="00A26F18"/>
    <w:rsid w:val="00A45BD3"/>
    <w:rsid w:val="00AA1A39"/>
    <w:rsid w:val="00AD0B68"/>
    <w:rsid w:val="00B11B27"/>
    <w:rsid w:val="00B17117"/>
    <w:rsid w:val="00B30A2B"/>
    <w:rsid w:val="00B47EA9"/>
    <w:rsid w:val="00B50280"/>
    <w:rsid w:val="00BD181F"/>
    <w:rsid w:val="00C2614D"/>
    <w:rsid w:val="00C7114B"/>
    <w:rsid w:val="00C73700"/>
    <w:rsid w:val="00CB1B8A"/>
    <w:rsid w:val="00CD3997"/>
    <w:rsid w:val="00CE48CB"/>
    <w:rsid w:val="00D05745"/>
    <w:rsid w:val="00D37931"/>
    <w:rsid w:val="00D7085A"/>
    <w:rsid w:val="00D90DC8"/>
    <w:rsid w:val="00D94CD3"/>
    <w:rsid w:val="00DA38DE"/>
    <w:rsid w:val="00E35C8B"/>
    <w:rsid w:val="00E45692"/>
    <w:rsid w:val="00E4593A"/>
    <w:rsid w:val="00E92176"/>
    <w:rsid w:val="00EC4154"/>
    <w:rsid w:val="00EC5432"/>
    <w:rsid w:val="00F04839"/>
    <w:rsid w:val="00F20A79"/>
    <w:rsid w:val="00F47561"/>
    <w:rsid w:val="00F626BA"/>
    <w:rsid w:val="00F86C93"/>
    <w:rsid w:val="00FC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C756F"/>
  <w15:docId w15:val="{3559EF83-E52E-4E10-BE16-0E8E2F49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/>
    </w:pPr>
    <w:rPr>
      <w:rFonts w:eastAsia="Times New Roman"/>
      <w:sz w:val="24"/>
    </w:rPr>
  </w:style>
  <w:style w:type="paragraph" w:styleId="Heading1">
    <w:name w:val="heading 1"/>
    <w:basedOn w:val="Normal"/>
    <w:next w:val="Normal"/>
    <w:qFormat/>
    <w:pPr>
      <w:spacing w:before="240" w:after="240"/>
      <w:jc w:val="center"/>
      <w:outlineLvl w:val="0"/>
    </w:pPr>
    <w:rPr>
      <w:rFonts w:ascii="Times New Roman Bold" w:hAnsi="Times New Roman Bold"/>
      <w:b/>
      <w:smallCaps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 Bold" w:eastAsia="Times New Roman" w:hAnsi="Times New Roman Bold"/>
      <w:b/>
      <w:smallCaps/>
      <w:sz w:val="28"/>
      <w:szCs w:val="36"/>
    </w:rPr>
  </w:style>
  <w:style w:type="character" w:styleId="Hyperlink">
    <w:name w:val="Hyperlink"/>
    <w:uiPriority w:val="99"/>
    <w:unhideWhenUsed/>
    <w:rPr>
      <w:rFonts w:ascii="Times New Roman" w:hAnsi="Times New Roman" w:cs="Times New Roman" w:hint="default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right" w:leader="dot" w:pos="9350"/>
      </w:tabs>
      <w:overflowPunct/>
      <w:autoSpaceDE/>
      <w:autoSpaceDN/>
      <w:adjustRightInd/>
      <w:spacing w:after="120" w:line="360" w:lineRule="auto"/>
    </w:pPr>
    <w:rPr>
      <w:noProof/>
      <w:szCs w:val="22"/>
    </w:rPr>
  </w:style>
  <w:style w:type="paragraph" w:customStyle="1" w:styleId="VBATopicHeading1">
    <w:name w:val="VBA Topic Heading 1"/>
    <w:basedOn w:val="Heading1"/>
    <w:qFormat/>
    <w:rPr>
      <w:sz w:val="32"/>
      <w:szCs w:val="32"/>
    </w:rPr>
  </w:style>
  <w:style w:type="paragraph" w:styleId="Title">
    <w:name w:val="Title"/>
    <w:basedOn w:val="Normal"/>
    <w:qFormat/>
    <w:pPr>
      <w:pBdr>
        <w:top w:val="double" w:sz="6" w:space="6" w:color="auto"/>
        <w:left w:val="double" w:sz="6" w:space="6" w:color="auto"/>
        <w:bottom w:val="double" w:sz="6" w:space="6" w:color="auto"/>
        <w:right w:val="double" w:sz="6" w:space="6" w:color="auto"/>
      </w:pBdr>
      <w:spacing w:before="0"/>
      <w:jc w:val="center"/>
    </w:pPr>
    <w:rPr>
      <w:b/>
    </w:rPr>
  </w:style>
  <w:style w:type="character" w:customStyle="1" w:styleId="TitleChar">
    <w:name w:val="Title Char"/>
    <w:rPr>
      <w:rFonts w:eastAsia="Times New Roman"/>
      <w:b/>
      <w:sz w:val="24"/>
    </w:rPr>
  </w:style>
  <w:style w:type="paragraph" w:customStyle="1" w:styleId="VSRHandoutHeading">
    <w:name w:val="VSR Handout Heading"/>
    <w:basedOn w:val="Normal"/>
    <w:next w:val="Normal"/>
    <w:pPr>
      <w:spacing w:after="60"/>
      <w:jc w:val="center"/>
      <w:textAlignment w:val="baseline"/>
    </w:pPr>
    <w:rPr>
      <w:b/>
      <w:smallCaps/>
      <w:sz w:val="28"/>
    </w:rPr>
  </w:style>
  <w:style w:type="paragraph" w:customStyle="1" w:styleId="VBAsubtitle1">
    <w:name w:val="VBA subtitle 1"/>
    <w:basedOn w:val="Normal"/>
    <w:rPr>
      <w:b/>
      <w:caps/>
    </w:rPr>
  </w:style>
  <w:style w:type="paragraph" w:customStyle="1" w:styleId="VBASubHeading1">
    <w:name w:val="VBA Sub Heading 1"/>
    <w:basedOn w:val="Normal"/>
    <w:qFormat/>
    <w:rPr>
      <w:i/>
    </w:rPr>
  </w:style>
  <w:style w:type="paragraph" w:customStyle="1" w:styleId="VBAbodytext">
    <w:name w:val="VBA body text"/>
    <w:basedOn w:val="Normal"/>
    <w:qFormat/>
    <w:pPr>
      <w:spacing w:after="240"/>
    </w:pPr>
  </w:style>
  <w:style w:type="paragraph" w:customStyle="1" w:styleId="VBAbullets">
    <w:name w:val="VBA bullets"/>
    <w:basedOn w:val="VBAbodytext"/>
    <w:qFormat/>
    <w:pPr>
      <w:tabs>
        <w:tab w:val="left" w:pos="360"/>
      </w:tabs>
      <w:spacing w:before="100" w:after="120"/>
      <w:ind w:left="360" w:hanging="360"/>
    </w:p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semiHidden/>
    <w:rPr>
      <w:rFonts w:eastAsia="Times New Roman"/>
      <w:sz w:val="24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rPr>
      <w:rFonts w:eastAsia="Times New Roman"/>
      <w:sz w:val="24"/>
    </w:rPr>
  </w:style>
  <w:style w:type="paragraph" w:styleId="BalloonText">
    <w:name w:val="Balloon Text"/>
    <w:basedOn w:val="Normal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eastAsia="Times New Roman" w:hAnsi="Tahoma" w:cs="Tahoma"/>
      <w:sz w:val="16"/>
      <w:szCs w:val="16"/>
    </w:rPr>
  </w:style>
  <w:style w:type="paragraph" w:customStyle="1" w:styleId="VBALessonPlanTitle">
    <w:name w:val="VBA Lesson Plan Title"/>
    <w:basedOn w:val="Normal"/>
    <w:qFormat/>
    <w:pPr>
      <w:spacing w:after="120"/>
      <w:jc w:val="center"/>
      <w:textAlignment w:val="baseline"/>
    </w:pPr>
    <w:rPr>
      <w:rFonts w:ascii="Times New Roman Bold" w:hAnsi="Times New Roman Bold"/>
      <w:b/>
      <w:smallCaps/>
      <w:color w:val="0070C0"/>
      <w:sz w:val="32"/>
      <w:szCs w:val="32"/>
    </w:rPr>
  </w:style>
  <w:style w:type="paragraph" w:customStyle="1" w:styleId="VBALessonPlanName">
    <w:name w:val="VBA Lesson Plan Name"/>
    <w:basedOn w:val="VBALessonPlanTitle"/>
    <w:qFormat/>
  </w:style>
  <w:style w:type="paragraph" w:styleId="CommentText">
    <w:name w:val="annotation text"/>
    <w:basedOn w:val="Normal"/>
    <w:link w:val="CommentTextChar1"/>
    <w:semiHidden/>
  </w:style>
  <w:style w:type="character" w:customStyle="1" w:styleId="CommentTextChar">
    <w:name w:val="Comment Text Char"/>
    <w:semiHidden/>
    <w:rPr>
      <w:rFonts w:eastAsia="Times New Roman"/>
      <w:sz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VBABodyText0">
    <w:name w:val="VBA Body Text"/>
    <w:basedOn w:val="Normal"/>
    <w:qFormat/>
  </w:style>
  <w:style w:type="paragraph" w:customStyle="1" w:styleId="VBAFooter">
    <w:name w:val="VBA Footer"/>
    <w:basedOn w:val="Footer"/>
    <w:qFormat/>
    <w:pPr>
      <w:widowControl w:val="0"/>
      <w:tabs>
        <w:tab w:val="clear" w:pos="4680"/>
        <w:tab w:val="clear" w:pos="9360"/>
        <w:tab w:val="center" w:pos="4320"/>
        <w:tab w:val="right" w:pos="8640"/>
      </w:tabs>
      <w:spacing w:before="120"/>
      <w:textAlignment w:val="baseline"/>
    </w:pPr>
  </w:style>
  <w:style w:type="paragraph" w:customStyle="1" w:styleId="VBAFirstLevelBullet">
    <w:name w:val="VBA First Level Bullet"/>
    <w:basedOn w:val="Normal"/>
    <w:qFormat/>
    <w:rsid w:val="000E3279"/>
    <w:pPr>
      <w:numPr>
        <w:numId w:val="7"/>
      </w:numPr>
      <w:spacing w:before="0"/>
      <w:textAlignment w:val="baseline"/>
    </w:pPr>
  </w:style>
  <w:style w:type="character" w:styleId="Emphasis">
    <w:name w:val="Emphasis"/>
    <w:qFormat/>
    <w:rsid w:val="000E3279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uiPriority w:val="99"/>
    <w:semiHidden/>
    <w:unhideWhenUsed/>
    <w:rsid w:val="000B44D3"/>
    <w:rPr>
      <w:szCs w:val="24"/>
    </w:rPr>
  </w:style>
  <w:style w:type="paragraph" w:styleId="ListParagraph">
    <w:name w:val="List Paragraph"/>
    <w:basedOn w:val="Normal"/>
    <w:uiPriority w:val="34"/>
    <w:qFormat/>
    <w:rsid w:val="0004119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41195"/>
    <w:rPr>
      <w:color w:val="605E5C"/>
      <w:shd w:val="clear" w:color="auto" w:fill="E1DFDD"/>
    </w:rPr>
  </w:style>
  <w:style w:type="paragraph" w:customStyle="1" w:styleId="VBALevel2Heading">
    <w:name w:val="VBA Level 2 Heading"/>
    <w:basedOn w:val="Normal"/>
    <w:qFormat/>
    <w:rsid w:val="00C2614D"/>
    <w:pPr>
      <w:textAlignment w:val="baseline"/>
    </w:pPr>
    <w:rPr>
      <w:b/>
      <w:color w:val="0070C0"/>
    </w:rPr>
  </w:style>
  <w:style w:type="paragraph" w:styleId="BodyText">
    <w:name w:val="Body Text"/>
    <w:basedOn w:val="Normal"/>
    <w:link w:val="BodyTextChar"/>
    <w:uiPriority w:val="99"/>
    <w:semiHidden/>
    <w:unhideWhenUsed/>
    <w:rsid w:val="007125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25CB"/>
    <w:rPr>
      <w:rFonts w:eastAsia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9255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BD3"/>
    <w:rPr>
      <w:b/>
      <w:bCs/>
      <w:sz w:val="20"/>
    </w:rPr>
  </w:style>
  <w:style w:type="character" w:customStyle="1" w:styleId="CommentTextChar1">
    <w:name w:val="Comment Text Char1"/>
    <w:basedOn w:val="DefaultParagraphFont"/>
    <w:link w:val="CommentText"/>
    <w:semiHidden/>
    <w:rsid w:val="000F4BD3"/>
    <w:rPr>
      <w:rFonts w:eastAsia="Times New Roman"/>
      <w:sz w:val="24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0F4BD3"/>
    <w:rPr>
      <w:rFonts w:eastAsia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4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9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cfr.gov/cgi-bin/text-idx?SID=dfe9837fdb70e234eb6088450d0c7320&amp;node=se38.1.4_155&amp;rgn=div8" TargetMode="External"/><Relationship Id="rId18" Type="http://schemas.openxmlformats.org/officeDocument/2006/relationships/hyperlink" Target="http://www.ecfr.gov/cgi-bin/text-idx?SID=678e1a0b35110a17aae704e69f2701f2&amp;mc=true&amp;node=se38.1.4_1114&amp;rgn=div8" TargetMode="External"/><Relationship Id="rId26" Type="http://schemas.openxmlformats.org/officeDocument/2006/relationships/hyperlink" Target="https://vaww.vrm.km.va.gov/system/templates/selfservice/va_kanew/help/agent/locale/en-US/portal/554400000001034/content/554400000014196/M21-1-Part-III-Subpart-iv-Chapter-4-Section-C-Conditions-of-the-Eyes?articleViewContext=article_view_browse_tree&amp;isFeatured=undefined&amp;topic=undefined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ecfr.gov/cgi-bin/text-idx?SID=8243952e4c087d519ead7ee07bbcc9fd&amp;node=se38.1.4_1126&amp;rgn=div8" TargetMode="External"/><Relationship Id="rId34" Type="http://schemas.openxmlformats.org/officeDocument/2006/relationships/image" Target="media/image1.png"/><Relationship Id="rId7" Type="http://schemas.openxmlformats.org/officeDocument/2006/relationships/styles" Target="styles.xml"/><Relationship Id="rId12" Type="http://schemas.openxmlformats.org/officeDocument/2006/relationships/hyperlink" Target="https://vaww.compensation.pension.km.va.gov/" TargetMode="External"/><Relationship Id="rId17" Type="http://schemas.openxmlformats.org/officeDocument/2006/relationships/hyperlink" Target="http://www.ecfr.gov/cgi-bin/retrieveECFR?gp=&amp;SID=98265e56f4fab42ed80bbfcafb08935f&amp;mc=true&amp;r=SECTION&amp;n=se38.1.4_1115" TargetMode="External"/><Relationship Id="rId25" Type="http://schemas.openxmlformats.org/officeDocument/2006/relationships/hyperlink" Target="https://vaww.vrm.km.va.gov/system/templates/selfservice/va_kanew/help/agent/locale/en-US/portal/554400000001034/content/554400000014194/M21-1-Part-III-Subpart-iv-Chapter-4-Section-A-Musculoskeletal-Conditions?articleViewContext=article_view_browse_tree&amp;isFeatured=undefined&amp;topic=undefined" TargetMode="External"/><Relationship Id="rId33" Type="http://schemas.openxmlformats.org/officeDocument/2006/relationships/hyperlink" Target="http://www.ecfr.gov/cgi-bin/text-idx?SID=ad275643432556b9dda942343fb89296&amp;mc=true&amp;node=pt38.1.4&amp;rgn=div5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cfr.gov/cgi-bin/text-idx?SID=fba5f58206272739e8530dca72f7e5de&amp;mc=true&amp;node=se38.1.4_196&amp;rgn=div8" TargetMode="External"/><Relationship Id="rId20" Type="http://schemas.openxmlformats.org/officeDocument/2006/relationships/hyperlink" Target="http://www.ecfr.gov/cgi-bin/text-idx?SID=f0aa74b3307a3ad4b8794ead73ecfa75&amp;node=se38.1.3_1310&amp;rgn=div8" TargetMode="External"/><Relationship Id="rId29" Type="http://schemas.openxmlformats.org/officeDocument/2006/relationships/hyperlink" Target="https://vaww.vrm.km.va.gov/system/templates/selfservice/va_kanew/help/agent/locale/en-US/portal/554400000001034/content/554400000076269/M21-1-Part-III-Subpart-iv-Chapter-4-Section-N-Neurological-Conditions-and-Convulsive-Disorders?articleViewContext=article_view_browse_tree&amp;isFeatured=undefined&amp;topic=undefined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ecfr.gov/cgi-bin/text-idx?SID=6b1ff7246870c3cd131925c19c59d381&amp;node=se38.1.4_1150&amp;rgn=div8" TargetMode="External"/><Relationship Id="rId32" Type="http://schemas.openxmlformats.org/officeDocument/2006/relationships/hyperlink" Target="https://vbaw.vba.va.gov/bl/21/advisory/CAVC/1994dec/Esteban.doc" TargetMode="External"/><Relationship Id="rId37" Type="http://schemas.openxmlformats.org/officeDocument/2006/relationships/image" Target="media/image4.png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cfr.gov/cgi-bin/text-idx?SID=ad275643432556b9dda942343fb89296&amp;mc=true&amp;node=pt38.1.4&amp;rgn=div5" TargetMode="External"/><Relationship Id="rId23" Type="http://schemas.openxmlformats.org/officeDocument/2006/relationships/hyperlink" Target="http://www.ecfr.gov/cgi-bin/text-idx?SID=8243952e4c087d519ead7ee07bbcc9fd&amp;node=se38.1.4_1126&amp;rgn=div8" TargetMode="External"/><Relationship Id="rId28" Type="http://schemas.openxmlformats.org/officeDocument/2006/relationships/hyperlink" Target="https://vaww.vrm.km.va.gov/system/templates/selfservice/va_kanew/help/agent/locale/en-US/portal/554400000001034/content/554400000074735/M21-1-Part-III-Subpart-iv-Chapter-4-Section-L-Skin-Conditions?articleViewContext=article_view_browse_tree&amp;isFeatured=undefined&amp;topic=undefined" TargetMode="External"/><Relationship Id="rId36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hyperlink" Target="http://www.ecfr.gov/cgi-bin/text-idx?SID=678e1a0b35110a17aae704e69f2701f2&amp;mc=true&amp;node=se38.1.4_1114&amp;rgn=div8" TargetMode="External"/><Relationship Id="rId31" Type="http://schemas.openxmlformats.org/officeDocument/2006/relationships/hyperlink" Target="https://vaww.vrm.km.va.gov/system/templates/selfservice/va_kanew/help/agent/locale/en-US/portal/554400000001034/content/554400000014206/M21-1-Part-III-Subpart-iv-Chapter-6-Section-C-Completing-the-Rating-Decision-Narrative?articleViewContext=article_view_browse_tree&amp;isFeatured=undefined&amp;topic=undefined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cfr.gov/cgi-bin/text-idx?SID=ad275643432556b9dda942343fb89296&amp;mc=true&amp;node=pt38.1.4&amp;rgn=div5" TargetMode="External"/><Relationship Id="rId22" Type="http://schemas.openxmlformats.org/officeDocument/2006/relationships/hyperlink" Target="http://www.ecfr.gov/cgi-bin/text-idx?SID=8243952e4c087d519ead7ee07bbcc9fd&amp;node=se38.1.4_1126&amp;rgn=div8" TargetMode="External"/><Relationship Id="rId27" Type="http://schemas.openxmlformats.org/officeDocument/2006/relationships/hyperlink" Target="https://vaww.vrm.km.va.gov/system/templates/selfservice/va_kanew/help/agent/locale/en-US/portal/554400000001034/content/554400000014199/M21-1-Part-III-Subpart-iv-Chapter-4-Section-F-Respiratory-Conditions?articleViewContext=article_view_browse_tree&amp;isFeatured=undefined&amp;topic=undefined" TargetMode="External"/><Relationship Id="rId30" Type="http://schemas.openxmlformats.org/officeDocument/2006/relationships/hyperlink" Target="https://vaww.vrm.km.va.gov/system/templates/selfservice/va_kanew/help/agent/locale/en-US/portal/554400000001034/content/554400000014207/M21-1-Part-III-Subpart-iv-Chapter-6-Section-D-Codesheet-Section?articleViewContext=article_view_browse_tree&amp;isFeatured=undefined&amp;topic=undefined" TargetMode="External"/><Relationship Id="rId35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PDPATR\Local%20Settings\Temporary%20Internet%20Files\OLK5D\NTC_%20H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2c6c12-24c5-4d47-ac4d-c5cc93bcdf7b">RO317-839076992-15000</_dlc_DocId>
    <_dlc_DocIdUrl xmlns="b62c6c12-24c5-4d47-ac4d-c5cc93bcdf7b">
      <Url>https://vaww.vashare.vba.va.gov/sites/SPTNCIO/focusedveterans/training/VSRvirtualtraining/_layouts/15/DocIdRedir.aspx?ID=RO317-839076992-15000</Url>
      <Description>RO317-839076992-15000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69B1B7-002D-4650-9744-3A2E4D9C2C5B}">
  <ds:schemaRefs>
    <ds:schemaRef ds:uri="http://schemas.microsoft.com/office/2006/metadata/properties"/>
    <ds:schemaRef ds:uri="http://schemas.microsoft.com/office/infopath/2007/PartnerControls"/>
    <ds:schemaRef ds:uri="b62c6c12-24c5-4d47-ac4d-c5cc93bcdf7b"/>
  </ds:schemaRefs>
</ds:datastoreItem>
</file>

<file path=customXml/itemProps2.xml><?xml version="1.0" encoding="utf-8"?>
<ds:datastoreItem xmlns:ds="http://schemas.openxmlformats.org/officeDocument/2006/customXml" ds:itemID="{34AEE3CF-0DD4-45E8-80F0-54C673EA989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44BCAA7-2D11-45C0-8F9D-E2CCC98F95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239440-DC76-4436-B340-0D4B5015080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D2436A5-05D5-4108-814D-BA0C1568B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NTC_ HO Template</Template>
  <TotalTime>58</TotalTime>
  <Pages>14</Pages>
  <Words>3095</Words>
  <Characters>17644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Rater Disability Evaluations and Pyramiding (Overview)</vt:lpstr>
    </vt:vector>
  </TitlesOfParts>
  <Company>Veterans Benefits Administration</Company>
  <LinksUpToDate>false</LinksUpToDate>
  <CharactersWithSpaces>20698</CharactersWithSpaces>
  <SharedDoc>false</SharedDoc>
  <HLinks>
    <vt:vector size="48" baseType="variant"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_Toc436922589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_Toc436922588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_Toc436922587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_Toc436922586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_Toc436922585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_Toc436922584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_Toc436922583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_Toc436922582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Rater Disability Evaluations and Pyramiding (Overview)</dc:title>
  <dc:creator>Department of Veterans Affairs, Veterans Benefits Administration, Compensation Service, STAFF</dc:creator>
  <cp:keywords>Pyramiding, Joints and Pain, Musculoskeletal Conditions, Skin and Scars, Multiple Skin Conditions, Organs of Special Sense, Respiratory Conditions, Cardiovascular, Digestive, Endocrine, Traumatic Brain Injury, Peripheral Nerves, ALS/MS, Mental, Dental and Oral</cp:keywords>
  <cp:lastModifiedBy>Kathy Poole</cp:lastModifiedBy>
  <cp:revision>6</cp:revision>
  <dcterms:created xsi:type="dcterms:W3CDTF">2020-09-09T18:48:00Z</dcterms:created>
  <dcterms:modified xsi:type="dcterms:W3CDTF">2020-09-25T15:43:00Z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79d181d0-c7e9-48ce-b6ea-c8c3438c47cd</vt:lpwstr>
  </property>
  <property fmtid="{D5CDD505-2E9C-101B-9397-08002B2CF9AE}" pid="3" name="ContentTypeId">
    <vt:lpwstr>0x0101003DB869E3E810774AA7B17315F3F50FE5</vt:lpwstr>
  </property>
  <property fmtid="{D5CDD505-2E9C-101B-9397-08002B2CF9AE}" pid="4" name="Language">
    <vt:lpwstr>en</vt:lpwstr>
  </property>
  <property fmtid="{D5CDD505-2E9C-101B-9397-08002B2CF9AE}" pid="5" name="Type">
    <vt:lpwstr>Guide</vt:lpwstr>
  </property>
</Properties>
</file>