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708E" w14:textId="0FF4CC7F" w:rsidR="00A0458C" w:rsidRDefault="00C53795" w:rsidP="00C53795">
      <w:pPr>
        <w:pStyle w:val="ListParagraph"/>
        <w:keepNext/>
        <w:keepLines/>
        <w:tabs>
          <w:tab w:val="left" w:pos="5940"/>
        </w:tabs>
        <w:ind w:left="1872"/>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r>
        <w:rPr>
          <w:rFonts w:ascii="Arial" w:eastAsia="MS ????" w:hAnsi="Arial" w:cs="Arial"/>
          <w:color w:val="365F91" w:themeColor="accent1" w:themeShade="BF"/>
          <w:sz w:val="28"/>
        </w:rPr>
        <w:t xml:space="preserve">              </w:t>
      </w:r>
      <w:r w:rsidR="002A757B">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rsidP="00C53795">
      <w:pPr>
        <w:keepNext/>
        <w:keepLines/>
        <w:ind w:left="432" w:hanging="432"/>
        <w:jc w:val="center"/>
        <w:outlineLvl w:val="1"/>
        <w:rPr>
          <w:rFonts w:ascii="Arial" w:eastAsia="MS ????" w:hAnsi="Arial" w:cs="Arial"/>
          <w:color w:val="365F91" w:themeColor="accent1" w:themeShade="BF"/>
          <w:sz w:val="28"/>
        </w:rPr>
      </w:pPr>
      <w:bookmarkStart w:id="10" w:name="_Toc533676397"/>
      <w:bookmarkStart w:id="11" w:name="_Toc533676557"/>
      <w:bookmarkStart w:id="12" w:name="_Toc533676587"/>
      <w:bookmarkStart w:id="13" w:name="_Toc533676630"/>
      <w:bookmarkStart w:id="14" w:name="_Toc533676656"/>
      <w:bookmarkStart w:id="15" w:name="_Toc533676807"/>
      <w:bookmarkStart w:id="16" w:name="_Toc533681005"/>
      <w:bookmarkStart w:id="17" w:name="_Toc534190057"/>
      <w:bookmarkStart w:id="18"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0"/>
      <w:bookmarkEnd w:id="11"/>
      <w:bookmarkEnd w:id="12"/>
      <w:bookmarkEnd w:id="13"/>
      <w:bookmarkEnd w:id="14"/>
      <w:bookmarkEnd w:id="15"/>
      <w:bookmarkEnd w:id="16"/>
      <w:bookmarkEnd w:id="17"/>
      <w:bookmarkEnd w:id="18"/>
    </w:p>
    <w:p w14:paraId="78BD7090" w14:textId="7E6D5353" w:rsidR="00A0458C" w:rsidRDefault="002A757B" w:rsidP="00C53795">
      <w:pPr>
        <w:keepNext/>
        <w:keepLines/>
        <w:tabs>
          <w:tab w:val="left" w:pos="5940"/>
        </w:tabs>
        <w:jc w:val="center"/>
        <w:outlineLvl w:val="0"/>
        <w:rPr>
          <w:rFonts w:ascii="Arial" w:eastAsia="MS ????" w:hAnsi="Arial" w:cs="Arial"/>
          <w:color w:val="365F91" w:themeColor="accent1" w:themeShade="BF"/>
          <w:sz w:val="28"/>
        </w:rPr>
      </w:pPr>
      <w:bookmarkStart w:id="19" w:name="_Toc533676398"/>
      <w:bookmarkStart w:id="20" w:name="_Toc533676558"/>
      <w:bookmarkStart w:id="21" w:name="_Toc533676588"/>
      <w:bookmarkStart w:id="22" w:name="_Toc533676631"/>
      <w:bookmarkStart w:id="23" w:name="_Toc533676657"/>
      <w:bookmarkStart w:id="24" w:name="_Toc533676808"/>
      <w:bookmarkStart w:id="25" w:name="_Toc533681006"/>
      <w:bookmarkStart w:id="26" w:name="_Toc534190058"/>
      <w:bookmarkStart w:id="27" w:name="_Toc534285412"/>
      <w:r>
        <w:rPr>
          <w:rFonts w:ascii="Arial" w:eastAsia="MS ????" w:hAnsi="Arial" w:cs="Arial"/>
          <w:color w:val="365F91" w:themeColor="accent1" w:themeShade="BF"/>
          <w:sz w:val="28"/>
        </w:rPr>
        <w:t>Compensation Service</w:t>
      </w:r>
      <w:bookmarkEnd w:id="19"/>
      <w:bookmarkEnd w:id="20"/>
      <w:bookmarkEnd w:id="21"/>
      <w:bookmarkEnd w:id="22"/>
      <w:bookmarkEnd w:id="23"/>
      <w:bookmarkEnd w:id="24"/>
      <w:bookmarkEnd w:id="25"/>
      <w:bookmarkEnd w:id="26"/>
      <w:bookmarkEnd w:id="27"/>
    </w:p>
    <w:p w14:paraId="78BD7091" w14:textId="77777777" w:rsidR="00A0458C" w:rsidRDefault="002A757B" w:rsidP="00C53795">
      <w:pPr>
        <w:keepNext/>
        <w:keepLines/>
        <w:jc w:val="center"/>
        <w:outlineLvl w:val="0"/>
        <w:rPr>
          <w:rFonts w:ascii="Arial" w:eastAsia="MS ????" w:hAnsi="Arial" w:cs="Arial"/>
          <w:color w:val="365F91" w:themeColor="accent1" w:themeShade="BF"/>
          <w:sz w:val="28"/>
        </w:rPr>
      </w:pPr>
      <w:bookmarkStart w:id="28" w:name="_Toc533676399"/>
      <w:bookmarkStart w:id="29" w:name="_Toc533676559"/>
      <w:bookmarkStart w:id="30" w:name="_Toc533676589"/>
      <w:bookmarkStart w:id="31" w:name="_Toc533676632"/>
      <w:bookmarkStart w:id="32" w:name="_Toc533676658"/>
      <w:bookmarkStart w:id="33" w:name="_Toc533676809"/>
      <w:bookmarkStart w:id="34" w:name="_Toc533681007"/>
      <w:bookmarkStart w:id="35" w:name="_Toc534190059"/>
      <w:bookmarkStart w:id="36" w:name="_Toc534285413"/>
      <w:r>
        <w:rPr>
          <w:rFonts w:ascii="Arial" w:hAnsi="Arial" w:cs="Arial"/>
          <w:color w:val="365F91" w:themeColor="accent1" w:themeShade="BF"/>
          <w:sz w:val="28"/>
        </w:rPr>
        <w:t>BDD/IDES/Mil Pay Staff (212A)</w:t>
      </w:r>
      <w:bookmarkEnd w:id="28"/>
      <w:bookmarkEnd w:id="29"/>
      <w:bookmarkEnd w:id="30"/>
      <w:bookmarkEnd w:id="31"/>
      <w:bookmarkEnd w:id="32"/>
      <w:bookmarkEnd w:id="33"/>
      <w:bookmarkEnd w:id="34"/>
      <w:bookmarkEnd w:id="35"/>
      <w:bookmarkEnd w:id="36"/>
    </w:p>
    <w:p w14:paraId="78BD7092" w14:textId="55B2EDF2" w:rsidR="00A0458C" w:rsidRDefault="00173817" w:rsidP="00C53795">
      <w:pPr>
        <w:keepNext/>
        <w:keepLines/>
        <w:jc w:val="center"/>
        <w:outlineLvl w:val="1"/>
        <w:rPr>
          <w:rFonts w:ascii="Arial" w:eastAsia="MS ????" w:hAnsi="Arial" w:cs="Arial"/>
          <w:color w:val="365F91" w:themeColor="accent1" w:themeShade="BF"/>
          <w:sz w:val="28"/>
        </w:rPr>
      </w:pPr>
      <w:bookmarkStart w:id="37" w:name="_Toc533676400"/>
      <w:bookmarkStart w:id="38" w:name="_Toc533676560"/>
      <w:bookmarkStart w:id="39" w:name="_Toc533676590"/>
      <w:bookmarkStart w:id="40" w:name="_Toc533676633"/>
      <w:bookmarkStart w:id="41" w:name="_Toc533676659"/>
      <w:bookmarkStart w:id="42" w:name="_Toc533676810"/>
      <w:bookmarkStart w:id="43" w:name="_Toc533681008"/>
      <w:bookmarkStart w:id="44" w:name="_Toc534190060"/>
      <w:bookmarkStart w:id="45" w:name="_Toc534285414"/>
      <w:r>
        <w:rPr>
          <w:rFonts w:ascii="Arial" w:eastAsia="MS ????" w:hAnsi="Arial" w:cs="Arial"/>
          <w:color w:val="365F91" w:themeColor="accent1" w:themeShade="BF"/>
          <w:sz w:val="28"/>
        </w:rPr>
        <w:t>April 14</w:t>
      </w:r>
      <w:r w:rsidR="00582CDF">
        <w:rPr>
          <w:rFonts w:ascii="Arial" w:eastAsia="MS ????" w:hAnsi="Arial" w:cs="Arial"/>
          <w:color w:val="365F91" w:themeColor="accent1" w:themeShade="BF"/>
          <w:sz w:val="28"/>
        </w:rPr>
        <w:t>, 2020</w:t>
      </w:r>
      <w:r w:rsidR="002A757B">
        <w:rPr>
          <w:rFonts w:ascii="Arial" w:eastAsia="MS ????" w:hAnsi="Arial" w:cs="Arial"/>
          <w:color w:val="365F91" w:themeColor="accent1" w:themeShade="BF"/>
          <w:sz w:val="28"/>
        </w:rPr>
        <w:t>—2 PM ET</w:t>
      </w:r>
      <w:bookmarkEnd w:id="37"/>
      <w:bookmarkEnd w:id="38"/>
      <w:bookmarkEnd w:id="39"/>
      <w:bookmarkEnd w:id="40"/>
      <w:bookmarkEnd w:id="41"/>
      <w:bookmarkEnd w:id="42"/>
      <w:bookmarkEnd w:id="43"/>
      <w:bookmarkEnd w:id="44"/>
      <w:bookmarkEnd w:id="45"/>
    </w:p>
    <w:p w14:paraId="4C5F327B" w14:textId="77777777" w:rsidR="0012229C" w:rsidRPr="0012229C" w:rsidRDefault="0012229C" w:rsidP="00C53795">
      <w:pPr>
        <w:keepNext/>
        <w:keepLines/>
        <w:jc w:val="center"/>
        <w:outlineLvl w:val="1"/>
        <w:rPr>
          <w:rFonts w:ascii="Arial" w:eastAsia="MS ????" w:hAnsi="Arial" w:cs="Arial"/>
          <w:color w:val="FF0000"/>
          <w:sz w:val="28"/>
        </w:rPr>
      </w:pPr>
    </w:p>
    <w:p w14:paraId="4BCABDE4" w14:textId="0A882A19" w:rsidR="004C7F3A" w:rsidRPr="004C7F3A" w:rsidRDefault="004C7F3A" w:rsidP="004C7F3A">
      <w:pPr>
        <w:keepNext/>
        <w:keepLines/>
        <w:shd w:val="clear" w:color="auto" w:fill="DBE5F1" w:themeFill="accent1" w:themeFillTint="33"/>
        <w:jc w:val="center"/>
        <w:outlineLvl w:val="1"/>
        <w:rPr>
          <w:rFonts w:ascii="Arial" w:eastAsia="MS ????" w:hAnsi="Arial" w:cs="Arial"/>
          <w:b/>
          <w:bCs/>
          <w:color w:val="FF0000"/>
          <w:sz w:val="28"/>
        </w:rPr>
      </w:pPr>
      <w:r w:rsidRPr="004C7F3A">
        <w:rPr>
          <w:rFonts w:ascii="Arial" w:eastAsia="MS ????" w:hAnsi="Arial" w:cs="Arial"/>
          <w:b/>
          <w:bCs/>
          <w:color w:val="FF0000"/>
          <w:sz w:val="28"/>
        </w:rPr>
        <w:t xml:space="preserve">UPDATED: April </w:t>
      </w:r>
      <w:r w:rsidR="009040DB">
        <w:rPr>
          <w:rFonts w:ascii="Arial" w:eastAsia="MS ????" w:hAnsi="Arial" w:cs="Arial"/>
          <w:b/>
          <w:bCs/>
          <w:color w:val="FF0000"/>
          <w:sz w:val="28"/>
        </w:rPr>
        <w:t>20</w:t>
      </w:r>
      <w:r w:rsidRPr="004C7F3A">
        <w:rPr>
          <w:rFonts w:ascii="Arial" w:eastAsia="MS ????" w:hAnsi="Arial" w:cs="Arial"/>
          <w:b/>
          <w:bCs/>
          <w:color w:val="FF0000"/>
          <w:sz w:val="28"/>
        </w:rPr>
        <w:t>, 2020</w:t>
      </w:r>
    </w:p>
    <w:p w14:paraId="6E4AF2FB" w14:textId="77777777" w:rsidR="004C7F3A" w:rsidRDefault="004C7F3A" w:rsidP="004C7F3A">
      <w:pPr>
        <w:keepNext/>
        <w:keepLines/>
        <w:shd w:val="clear" w:color="auto" w:fill="DBE5F1" w:themeFill="accent1" w:themeFillTint="33"/>
        <w:jc w:val="center"/>
        <w:outlineLvl w:val="1"/>
        <w:rPr>
          <w:rFonts w:ascii="Arial" w:eastAsia="MS ????" w:hAnsi="Arial" w:cs="Arial"/>
          <w:color w:val="FF0000"/>
          <w:sz w:val="28"/>
        </w:rPr>
      </w:pPr>
    </w:p>
    <w:p w14:paraId="25F54667" w14:textId="4639728F" w:rsidR="0012229C" w:rsidRDefault="0012229C" w:rsidP="004C7F3A">
      <w:pPr>
        <w:keepNext/>
        <w:keepLines/>
        <w:shd w:val="clear" w:color="auto" w:fill="DBE5F1" w:themeFill="accent1" w:themeFillTint="33"/>
        <w:outlineLvl w:val="1"/>
        <w:rPr>
          <w:rFonts w:ascii="Arial" w:eastAsia="MS ????" w:hAnsi="Arial" w:cs="Arial"/>
          <w:color w:val="FF0000"/>
          <w:sz w:val="28"/>
        </w:rPr>
      </w:pPr>
      <w:r w:rsidRPr="0012229C">
        <w:rPr>
          <w:rFonts w:ascii="Arial" w:eastAsia="MS ????" w:hAnsi="Arial" w:cs="Arial"/>
          <w:color w:val="FF0000"/>
          <w:sz w:val="28"/>
        </w:rPr>
        <w:t xml:space="preserve">This </w:t>
      </w:r>
      <w:r w:rsidR="004C7F3A">
        <w:rPr>
          <w:rFonts w:ascii="Arial" w:eastAsia="MS ????" w:hAnsi="Arial" w:cs="Arial"/>
          <w:color w:val="FF0000"/>
          <w:sz w:val="28"/>
        </w:rPr>
        <w:t xml:space="preserve">is an </w:t>
      </w:r>
      <w:r w:rsidRPr="0012229C">
        <w:rPr>
          <w:rFonts w:ascii="Arial" w:eastAsia="MS ????" w:hAnsi="Arial" w:cs="Arial"/>
          <w:color w:val="FF0000"/>
          <w:sz w:val="28"/>
        </w:rPr>
        <w:t>updated/corrected version of th</w:t>
      </w:r>
      <w:r w:rsidR="004C7F3A">
        <w:rPr>
          <w:rFonts w:ascii="Arial" w:eastAsia="MS ????" w:hAnsi="Arial" w:cs="Arial"/>
          <w:color w:val="FF0000"/>
          <w:sz w:val="28"/>
        </w:rPr>
        <w:t xml:space="preserve">is document. This version </w:t>
      </w:r>
      <w:r w:rsidR="00BE7519" w:rsidRPr="0012229C">
        <w:rPr>
          <w:rFonts w:ascii="Arial" w:eastAsia="MS ????" w:hAnsi="Arial" w:cs="Arial"/>
          <w:color w:val="FF0000"/>
          <w:sz w:val="28"/>
        </w:rPr>
        <w:t>supersedes</w:t>
      </w:r>
      <w:r w:rsidRPr="0012229C">
        <w:rPr>
          <w:rFonts w:ascii="Arial" w:eastAsia="MS ????" w:hAnsi="Arial" w:cs="Arial"/>
          <w:color w:val="FF0000"/>
          <w:sz w:val="28"/>
        </w:rPr>
        <w:t xml:space="preserve"> the previous version </w:t>
      </w:r>
      <w:r w:rsidR="004C7F3A">
        <w:rPr>
          <w:rFonts w:ascii="Arial" w:eastAsia="MS ????" w:hAnsi="Arial" w:cs="Arial"/>
          <w:color w:val="FF0000"/>
          <w:sz w:val="28"/>
        </w:rPr>
        <w:t xml:space="preserve">that was </w:t>
      </w:r>
      <w:r w:rsidRPr="0012229C">
        <w:rPr>
          <w:rFonts w:ascii="Arial" w:eastAsia="MS ????" w:hAnsi="Arial" w:cs="Arial"/>
          <w:color w:val="FF0000"/>
          <w:sz w:val="28"/>
        </w:rPr>
        <w:t xml:space="preserve">distributed in advance of the </w:t>
      </w:r>
      <w:r w:rsidR="00503BB8">
        <w:rPr>
          <w:rFonts w:ascii="Arial" w:eastAsia="MS ????" w:hAnsi="Arial" w:cs="Arial"/>
          <w:color w:val="FF0000"/>
          <w:sz w:val="28"/>
        </w:rPr>
        <w:t>c</w:t>
      </w:r>
      <w:r w:rsidRPr="0012229C">
        <w:rPr>
          <w:rFonts w:ascii="Arial" w:eastAsia="MS ????" w:hAnsi="Arial" w:cs="Arial"/>
          <w:color w:val="FF0000"/>
          <w:sz w:val="28"/>
        </w:rPr>
        <w:t xml:space="preserve">onference </w:t>
      </w:r>
      <w:r w:rsidR="00503BB8">
        <w:rPr>
          <w:rFonts w:ascii="Arial" w:eastAsia="MS ????" w:hAnsi="Arial" w:cs="Arial"/>
          <w:color w:val="FF0000"/>
          <w:sz w:val="28"/>
        </w:rPr>
        <w:t>c</w:t>
      </w:r>
      <w:r w:rsidRPr="0012229C">
        <w:rPr>
          <w:rFonts w:ascii="Arial" w:eastAsia="MS ????" w:hAnsi="Arial" w:cs="Arial"/>
          <w:color w:val="FF0000"/>
          <w:sz w:val="28"/>
        </w:rPr>
        <w:t>all</w:t>
      </w:r>
      <w:r w:rsidR="00A440E5">
        <w:rPr>
          <w:rFonts w:ascii="Arial" w:eastAsia="MS ????" w:hAnsi="Arial" w:cs="Arial"/>
          <w:color w:val="FF0000"/>
          <w:sz w:val="28"/>
        </w:rPr>
        <w:t xml:space="preserve"> on April 14, 2020</w:t>
      </w:r>
      <w:r w:rsidRPr="0012229C">
        <w:rPr>
          <w:rFonts w:ascii="Arial" w:eastAsia="MS ????" w:hAnsi="Arial" w:cs="Arial"/>
          <w:color w:val="FF0000"/>
          <w:sz w:val="28"/>
        </w:rPr>
        <w:t xml:space="preserve">. </w:t>
      </w:r>
      <w:bookmarkStart w:id="46" w:name="_Hlk38014776"/>
      <w:r w:rsidRPr="0012229C">
        <w:rPr>
          <w:rFonts w:ascii="Arial" w:eastAsia="MS ????" w:hAnsi="Arial" w:cs="Arial"/>
          <w:color w:val="FF0000"/>
          <w:sz w:val="28"/>
        </w:rPr>
        <w:t>Saved or printed copies of the previous version should be discarded</w:t>
      </w:r>
      <w:proofErr w:type="gramStart"/>
      <w:r w:rsidRPr="0012229C">
        <w:rPr>
          <w:rFonts w:ascii="Arial" w:eastAsia="MS ????" w:hAnsi="Arial" w:cs="Arial"/>
          <w:color w:val="FF0000"/>
          <w:sz w:val="28"/>
        </w:rPr>
        <w:t xml:space="preserve">. </w:t>
      </w:r>
      <w:r>
        <w:rPr>
          <w:rFonts w:ascii="Arial" w:eastAsia="MS ????" w:hAnsi="Arial" w:cs="Arial"/>
          <w:color w:val="FF0000"/>
          <w:sz w:val="28"/>
        </w:rPr>
        <w:t xml:space="preserve"> </w:t>
      </w:r>
      <w:proofErr w:type="gramEnd"/>
      <w:r w:rsidR="004C7F3A">
        <w:rPr>
          <w:rFonts w:ascii="Arial" w:eastAsia="MS ????" w:hAnsi="Arial" w:cs="Arial"/>
          <w:color w:val="FF0000"/>
          <w:sz w:val="28"/>
        </w:rPr>
        <w:t xml:space="preserve"> </w:t>
      </w:r>
    </w:p>
    <w:bookmarkEnd w:id="46"/>
    <w:p w14:paraId="0E290435" w14:textId="530ED4A4" w:rsidR="004C7F3A" w:rsidRPr="0012229C" w:rsidRDefault="004C7F3A" w:rsidP="004C7F3A">
      <w:pPr>
        <w:keepNext/>
        <w:keepLines/>
        <w:shd w:val="clear" w:color="auto" w:fill="DBE5F1" w:themeFill="accent1" w:themeFillTint="33"/>
        <w:outlineLvl w:val="1"/>
        <w:rPr>
          <w:rFonts w:ascii="Arial" w:eastAsia="MS ????" w:hAnsi="Arial" w:cs="Arial"/>
          <w:color w:val="FF0000"/>
          <w:sz w:val="28"/>
        </w:rPr>
      </w:pPr>
      <w:r>
        <w:rPr>
          <w:rFonts w:ascii="Arial" w:eastAsia="MS ????" w:hAnsi="Arial" w:cs="Arial"/>
          <w:color w:val="FF0000"/>
          <w:sz w:val="28"/>
        </w:rPr>
        <w:br/>
        <w:t xml:space="preserve">Please see page 4 for further details concerning the correction. </w:t>
      </w:r>
    </w:p>
    <w:p w14:paraId="405054DC" w14:textId="414CA71D" w:rsidR="0012229C" w:rsidRDefault="0012229C" w:rsidP="00C53795">
      <w:pPr>
        <w:keepNext/>
        <w:keepLines/>
        <w:jc w:val="center"/>
        <w:outlineLvl w:val="1"/>
        <w:rPr>
          <w:rFonts w:ascii="Arial" w:eastAsia="MS ????" w:hAnsi="Arial" w:cs="Arial"/>
          <w:color w:val="365F91" w:themeColor="accent1" w:themeShade="BF"/>
          <w:sz w:val="28"/>
        </w:rPr>
      </w:pPr>
    </w:p>
    <w:p w14:paraId="78BD7094" w14:textId="63FE8C8F" w:rsidR="00A0458C" w:rsidRDefault="002A757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7"/>
      <w:bookmarkEnd w:id="48"/>
      <w:bookmarkEnd w:id="49"/>
      <w:bookmarkEnd w:id="50"/>
      <w:bookmarkEnd w:id="51"/>
      <w:bookmarkEnd w:id="52"/>
      <w:bookmarkEnd w:id="53"/>
      <w:bookmarkEnd w:id="54"/>
      <w:bookmarkEnd w:id="55"/>
      <w:r>
        <w:rPr>
          <w:rFonts w:ascii="Arial" w:hAnsi="Arial" w:cs="Arial"/>
          <w:color w:val="000000" w:themeColor="text1"/>
        </w:rPr>
        <w:t xml:space="preserve"> </w:t>
      </w:r>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30526522"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w:t>
      </w:r>
      <w:r w:rsidR="00746697">
        <w:rPr>
          <w:rFonts w:ascii="Arial" w:hAnsi="Arial" w:cs="Arial"/>
          <w:color w:val="000000" w:themeColor="text1"/>
        </w:rPr>
        <w:t xml:space="preserve"> </w:t>
      </w: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w:t>
      </w:r>
      <w:r w:rsidR="00EF2734">
        <w:rPr>
          <w:rFonts w:ascii="Arial" w:hAnsi="Arial" w:cs="Arial"/>
          <w:color w:val="000000" w:themeColor="text1"/>
        </w:rPr>
        <w:t xml:space="preserve"> The Call Notes for the </w:t>
      </w:r>
      <w:r w:rsidR="00AA31CC">
        <w:rPr>
          <w:rFonts w:ascii="Arial" w:hAnsi="Arial" w:cs="Arial"/>
          <w:color w:val="000000" w:themeColor="text1"/>
        </w:rPr>
        <w:t xml:space="preserve">March </w:t>
      </w:r>
      <w:r w:rsidR="00EF2734">
        <w:rPr>
          <w:rFonts w:ascii="Arial" w:hAnsi="Arial" w:cs="Arial"/>
          <w:color w:val="000000" w:themeColor="text1"/>
        </w:rPr>
        <w:t xml:space="preserve">Call </w:t>
      </w:r>
      <w:r w:rsidR="00617579">
        <w:rPr>
          <w:rFonts w:ascii="Arial" w:hAnsi="Arial" w:cs="Arial"/>
          <w:color w:val="000000" w:themeColor="text1"/>
        </w:rPr>
        <w:t xml:space="preserve">are in this Read Ahead. </w:t>
      </w:r>
      <w:r w:rsidR="00AB24D2">
        <w:rPr>
          <w:rFonts w:ascii="Arial" w:hAnsi="Arial" w:cs="Arial"/>
          <w:color w:val="000000" w:themeColor="text1"/>
        </w:rPr>
        <w:t>The TMS # for th</w:t>
      </w:r>
      <w:r w:rsidR="00617579">
        <w:rPr>
          <w:rFonts w:ascii="Arial" w:hAnsi="Arial" w:cs="Arial"/>
          <w:color w:val="000000" w:themeColor="text1"/>
        </w:rPr>
        <w:t>is month</w:t>
      </w:r>
      <w:r w:rsidR="00196ACD">
        <w:rPr>
          <w:rFonts w:ascii="Arial" w:hAnsi="Arial" w:cs="Arial"/>
          <w:color w:val="000000" w:themeColor="text1"/>
        </w:rPr>
        <w:t>’</w:t>
      </w:r>
      <w:r w:rsidR="00AB24D2">
        <w:rPr>
          <w:rFonts w:ascii="Arial" w:hAnsi="Arial" w:cs="Arial"/>
          <w:color w:val="000000" w:themeColor="text1"/>
        </w:rPr>
        <w:t xml:space="preserve">s call </w:t>
      </w:r>
      <w:r w:rsidR="00E57132">
        <w:rPr>
          <w:rFonts w:ascii="Arial" w:hAnsi="Arial" w:cs="Arial"/>
          <w:color w:val="000000" w:themeColor="text1"/>
        </w:rPr>
        <w:t xml:space="preserve">will be </w:t>
      </w:r>
      <w:r w:rsidR="00E57132" w:rsidRPr="00E57132">
        <w:rPr>
          <w:rFonts w:ascii="Arial" w:hAnsi="Arial" w:cs="Arial"/>
          <w:color w:val="000000" w:themeColor="text1"/>
        </w:rPr>
        <w:t xml:space="preserve">provided during the call </w:t>
      </w:r>
      <w:r w:rsidR="005D15E3">
        <w:rPr>
          <w:rFonts w:ascii="Arial" w:hAnsi="Arial" w:cs="Arial"/>
          <w:color w:val="000000" w:themeColor="text1"/>
        </w:rPr>
        <w:t xml:space="preserve">and </w:t>
      </w:r>
      <w:r w:rsidR="00AB24D2">
        <w:rPr>
          <w:rFonts w:ascii="Arial" w:hAnsi="Arial" w:cs="Arial"/>
          <w:color w:val="000000" w:themeColor="text1"/>
        </w:rPr>
        <w:t xml:space="preserve">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w:t>
      </w:r>
      <w:r w:rsidR="009A4065">
        <w:rPr>
          <w:rFonts w:ascii="Arial" w:hAnsi="Arial" w:cs="Arial"/>
          <w:color w:val="000000" w:themeColor="text1"/>
        </w:rPr>
        <w:t xml:space="preserve"> </w:t>
      </w:r>
      <w:r w:rsidR="002208A2">
        <w:rPr>
          <w:rFonts w:ascii="Arial" w:hAnsi="Arial" w:cs="Arial"/>
          <w:color w:val="000000" w:themeColor="text1"/>
        </w:rPr>
        <w:t xml:space="preserve">A Calendar Blast will notify the field when the </w:t>
      </w:r>
      <w:r>
        <w:rPr>
          <w:rFonts w:ascii="Arial" w:hAnsi="Arial" w:cs="Arial"/>
          <w:color w:val="000000" w:themeColor="text1"/>
        </w:rPr>
        <w:t xml:space="preserve">TMS # is active.  </w:t>
      </w:r>
      <w:r w:rsidR="002A757B">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Pr="00CB2E49" w:rsidRDefault="00E549B3" w:rsidP="00E549B3">
      <w:pPr>
        <w:autoSpaceDE w:val="0"/>
        <w:autoSpaceDN w:val="0"/>
        <w:rPr>
          <w:rFonts w:ascii="Arial" w:hAnsi="Arial" w:cs="Arial"/>
          <w:b/>
          <w:bCs/>
          <w:color w:val="000000" w:themeColor="text1"/>
        </w:rPr>
      </w:pPr>
      <w:r w:rsidRPr="00CB2E49">
        <w:rPr>
          <w:rFonts w:ascii="Arial" w:hAnsi="Arial" w:cs="Arial"/>
          <w:b/>
          <w:bCs/>
          <w:color w:val="000000" w:themeColor="text1"/>
        </w:rPr>
        <w:t>Call in info:</w:t>
      </w:r>
    </w:p>
    <w:p w14:paraId="7B1E523B" w14:textId="7E029E47" w:rsidR="00E549B3" w:rsidRPr="0035383B" w:rsidRDefault="001A2981"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7B0BBD15"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353ADAEF"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 xml:space="preserve">presenter </w:t>
      </w:r>
      <w:r w:rsidR="00173817">
        <w:rPr>
          <w:rFonts w:ascii="Arial" w:hAnsi="Arial" w:cs="Arial"/>
          <w:color w:val="auto"/>
        </w:rPr>
        <w:t>un</w:t>
      </w:r>
      <w:r>
        <w:rPr>
          <w:rFonts w:ascii="Arial" w:hAnsi="Arial" w:cs="Arial"/>
          <w:color w:val="auto"/>
        </w:rPr>
        <w:t>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17AED6DB"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r w:rsidR="00DC33FC">
        <w:rPr>
          <w:rFonts w:ascii="Arial" w:hAnsi="Arial" w:cs="Arial"/>
          <w:color w:val="auto"/>
        </w:rPr>
        <w:t>.</w:t>
      </w:r>
    </w:p>
    <w:p w14:paraId="78BD70A2" w14:textId="61FBBDB0"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 xml:space="preserve">If you are dialed in through a phone (select “Call me at” or “Don’t Join Audio” when signing into Skype), </w:t>
      </w:r>
      <w:r>
        <w:rPr>
          <w:rFonts w:ascii="Arial" w:hAnsi="Arial" w:cs="Arial"/>
          <w:color w:val="auto"/>
        </w:rPr>
        <w:lastRenderedPageBreak/>
        <w:t>unmute yourself using *6</w:t>
      </w:r>
      <w:r w:rsidR="00DC33FC">
        <w:rPr>
          <w:rFonts w:ascii="Arial" w:hAnsi="Arial" w:cs="Arial"/>
          <w:color w:val="auto"/>
        </w:rPr>
        <w:t>.</w:t>
      </w:r>
      <w:r>
        <w:rPr>
          <w:rFonts w:ascii="Arial" w:hAnsi="Arial" w:cs="Arial"/>
          <w:color w:val="auto"/>
        </w:rPr>
        <w:t xml:space="preserve"> </w:t>
      </w:r>
    </w:p>
    <w:p w14:paraId="78BD70A3" w14:textId="11A8E6E7"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Do not unmute yourself if you do not need to speak</w:t>
      </w:r>
      <w:r w:rsidR="00DC33FC">
        <w:rPr>
          <w:rFonts w:ascii="Arial" w:hAnsi="Arial" w:cs="Arial"/>
          <w:color w:val="auto"/>
        </w:rPr>
        <w:t>.</w:t>
      </w:r>
      <w:r>
        <w:rPr>
          <w:rFonts w:ascii="Arial" w:hAnsi="Arial" w:cs="Arial"/>
          <w:color w:val="auto"/>
        </w:rPr>
        <w:t xml:space="preserve">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400DD30C" w14:textId="6F758D86" w:rsidR="008C13D3" w:rsidRDefault="008C13D3" w:rsidP="008C13D3">
      <w:pPr>
        <w:pStyle w:val="Heading10"/>
        <w:rPr>
          <w:sz w:val="32"/>
        </w:rPr>
      </w:pPr>
      <w:r>
        <w:rPr>
          <w:sz w:val="32"/>
        </w:rPr>
        <w:t>COVID-19 Topics for Discussion</w:t>
      </w:r>
    </w:p>
    <w:p w14:paraId="54AD5A44" w14:textId="77777777" w:rsidR="008C13D3" w:rsidRDefault="008C13D3" w:rsidP="00DE5BA7">
      <w:pPr>
        <w:rPr>
          <w:rFonts w:ascii="Arial" w:hAnsi="Arial"/>
          <w:b/>
          <w:bCs/>
          <w:sz w:val="28"/>
          <w:szCs w:val="28"/>
          <w:u w:val="single"/>
        </w:rPr>
      </w:pPr>
    </w:p>
    <w:p w14:paraId="54095BAB" w14:textId="036F5CE0" w:rsidR="00DE5BA7" w:rsidRPr="00DE5BA7" w:rsidRDefault="00DE5BA7" w:rsidP="00DE5BA7">
      <w:pPr>
        <w:rPr>
          <w:rFonts w:ascii="Arial" w:hAnsi="Arial"/>
          <w:b/>
          <w:bCs/>
          <w:color w:val="auto"/>
          <w:sz w:val="28"/>
          <w:szCs w:val="28"/>
          <w:u w:val="single"/>
        </w:rPr>
      </w:pPr>
      <w:r w:rsidRPr="00DE5BA7">
        <w:rPr>
          <w:rFonts w:ascii="Arial" w:hAnsi="Arial"/>
          <w:b/>
          <w:bCs/>
          <w:sz w:val="28"/>
          <w:szCs w:val="28"/>
          <w:u w:val="single"/>
        </w:rPr>
        <w:t>COVID-19</w:t>
      </w:r>
    </w:p>
    <w:p w14:paraId="060E878A" w14:textId="104D2832" w:rsidR="00DE5BA7" w:rsidRDefault="008D7E93" w:rsidP="00DE5BA7">
      <w:pPr>
        <w:rPr>
          <w:rFonts w:ascii="Arial" w:hAnsi="Arial"/>
        </w:rPr>
      </w:pPr>
      <w:r>
        <w:rPr>
          <w:rFonts w:ascii="Arial" w:hAnsi="Arial"/>
        </w:rPr>
        <w:t>T</w:t>
      </w:r>
      <w:r w:rsidR="00DE5BA7">
        <w:rPr>
          <w:rFonts w:ascii="Arial" w:hAnsi="Arial"/>
        </w:rPr>
        <w:t xml:space="preserve">his is a very difficult time, things are very </w:t>
      </w:r>
      <w:r w:rsidR="00E17D2E">
        <w:rPr>
          <w:rFonts w:ascii="Arial" w:hAnsi="Arial"/>
        </w:rPr>
        <w:t>fluid,</w:t>
      </w:r>
      <w:r w:rsidR="00DE5BA7">
        <w:rPr>
          <w:rFonts w:ascii="Arial" w:hAnsi="Arial"/>
        </w:rPr>
        <w:t xml:space="preserve"> and some changes/decisions are happening as we speak.</w:t>
      </w:r>
      <w:r w:rsidR="000930C4">
        <w:rPr>
          <w:rFonts w:ascii="Arial" w:hAnsi="Arial"/>
        </w:rPr>
        <w:t xml:space="preserve"> </w:t>
      </w:r>
      <w:r w:rsidR="00DE5BA7">
        <w:rPr>
          <w:rFonts w:ascii="Arial" w:hAnsi="Arial"/>
        </w:rPr>
        <w:t>We know you might have many questions and we hope t</w:t>
      </w:r>
      <w:r w:rsidR="000930C4">
        <w:rPr>
          <w:rFonts w:ascii="Arial" w:hAnsi="Arial"/>
        </w:rPr>
        <w:t xml:space="preserve">he information in this Read Ahead answers </w:t>
      </w:r>
      <w:r w:rsidR="00DE5BA7">
        <w:rPr>
          <w:rFonts w:ascii="Arial" w:hAnsi="Arial"/>
        </w:rPr>
        <w:t xml:space="preserve">most </w:t>
      </w:r>
      <w:r w:rsidR="000930C4">
        <w:rPr>
          <w:rFonts w:ascii="Arial" w:hAnsi="Arial"/>
        </w:rPr>
        <w:t xml:space="preserve">of them.  </w:t>
      </w:r>
      <w:r w:rsidR="00DE5BA7">
        <w:rPr>
          <w:rFonts w:ascii="Arial" w:hAnsi="Arial"/>
        </w:rPr>
        <w:t>Please read the topics/</w:t>
      </w:r>
      <w:r w:rsidR="00E17D2E">
        <w:rPr>
          <w:rFonts w:ascii="Arial" w:hAnsi="Arial"/>
        </w:rPr>
        <w:t>write-ups and</w:t>
      </w:r>
      <w:r w:rsidR="00DE5BA7">
        <w:rPr>
          <w:rFonts w:ascii="Arial" w:hAnsi="Arial"/>
        </w:rPr>
        <w:t xml:space="preserve"> ask any questions (at the appropriate time) as needed. </w:t>
      </w:r>
    </w:p>
    <w:p w14:paraId="67FB4874" w14:textId="2E177A76" w:rsidR="005135FA" w:rsidRDefault="005135FA" w:rsidP="00262DF3">
      <w:pPr>
        <w:pStyle w:val="Heading10"/>
        <w:rPr>
          <w:sz w:val="32"/>
        </w:rPr>
      </w:pPr>
    </w:p>
    <w:p w14:paraId="068098A4" w14:textId="624AA53C" w:rsidR="005135FA" w:rsidRPr="00B05AD8" w:rsidRDefault="005135FA" w:rsidP="00262DF3">
      <w:pPr>
        <w:pStyle w:val="Heading10"/>
        <w:rPr>
          <w:color w:val="auto"/>
          <w:sz w:val="28"/>
          <w:szCs w:val="28"/>
        </w:rPr>
      </w:pPr>
      <w:r w:rsidRPr="005135FA">
        <w:rPr>
          <w:color w:val="auto"/>
          <w:sz w:val="28"/>
          <w:szCs w:val="28"/>
        </w:rPr>
        <w:t>Requesting BDD and IDES Exams During the COVID-19 Pandemic</w:t>
      </w:r>
      <w:r>
        <w:rPr>
          <w:color w:val="auto"/>
          <w:sz w:val="28"/>
          <w:szCs w:val="28"/>
        </w:rPr>
        <w:t xml:space="preserve"> </w:t>
      </w:r>
      <w:r w:rsidR="00B05AD8">
        <w:rPr>
          <w:color w:val="auto"/>
          <w:sz w:val="28"/>
          <w:szCs w:val="28"/>
        </w:rPr>
        <w:t>Memo</w:t>
      </w:r>
    </w:p>
    <w:p w14:paraId="7860DB1C" w14:textId="7ED339B5" w:rsidR="00B05AD8" w:rsidRDefault="00B05AD8" w:rsidP="00262DF3">
      <w:pPr>
        <w:pStyle w:val="Heading10"/>
        <w:rPr>
          <w:b w:val="0"/>
          <w:bCs/>
          <w:color w:val="auto"/>
          <w:sz w:val="24"/>
          <w:u w:val="none"/>
        </w:rPr>
      </w:pPr>
      <w:r>
        <w:rPr>
          <w:b w:val="0"/>
          <w:bCs/>
          <w:color w:val="auto"/>
          <w:sz w:val="24"/>
          <w:u w:val="none"/>
        </w:rPr>
        <w:t>Comp Service</w:t>
      </w:r>
      <w:r w:rsidR="005D34B1">
        <w:rPr>
          <w:b w:val="0"/>
          <w:bCs/>
          <w:color w:val="auto"/>
          <w:sz w:val="24"/>
          <w:u w:val="none"/>
        </w:rPr>
        <w:t xml:space="preserve"> </w:t>
      </w:r>
      <w:r w:rsidR="005E7521" w:rsidRPr="005E7521">
        <w:rPr>
          <w:b w:val="0"/>
          <w:bCs/>
          <w:color w:val="auto"/>
          <w:sz w:val="24"/>
          <w:u w:val="none"/>
        </w:rPr>
        <w:t>IDES/BDD Program Office</w:t>
      </w:r>
      <w:r>
        <w:rPr>
          <w:b w:val="0"/>
          <w:bCs/>
          <w:color w:val="auto"/>
          <w:sz w:val="24"/>
          <w:u w:val="none"/>
        </w:rPr>
        <w:t xml:space="preserve"> published this </w:t>
      </w:r>
      <w:hyperlink r:id="rId13" w:history="1">
        <w:r w:rsidRPr="00B05AD8">
          <w:rPr>
            <w:rStyle w:val="Hyperlink"/>
            <w:b w:val="0"/>
            <w:bCs/>
            <w:sz w:val="24"/>
          </w:rPr>
          <w:t>memo</w:t>
        </w:r>
      </w:hyperlink>
      <w:r>
        <w:rPr>
          <w:b w:val="0"/>
          <w:bCs/>
          <w:color w:val="auto"/>
          <w:sz w:val="24"/>
          <w:u w:val="none"/>
        </w:rPr>
        <w:t xml:space="preserve"> dated April 1 to provide </w:t>
      </w:r>
      <w:r w:rsidR="003F1D3E">
        <w:rPr>
          <w:b w:val="0"/>
          <w:bCs/>
          <w:color w:val="auto"/>
          <w:sz w:val="24"/>
          <w:u w:val="none"/>
        </w:rPr>
        <w:t xml:space="preserve">BDD and IDES personnel information </w:t>
      </w:r>
      <w:r>
        <w:rPr>
          <w:b w:val="0"/>
          <w:bCs/>
          <w:color w:val="auto"/>
          <w:sz w:val="24"/>
          <w:u w:val="none"/>
        </w:rPr>
        <w:t xml:space="preserve">on exams as a result of COVID-19.  </w:t>
      </w:r>
    </w:p>
    <w:p w14:paraId="685BF360" w14:textId="77777777" w:rsidR="00B05AD8" w:rsidRDefault="00B05AD8" w:rsidP="00262DF3">
      <w:pPr>
        <w:pStyle w:val="Heading10"/>
        <w:rPr>
          <w:b w:val="0"/>
          <w:bCs/>
          <w:color w:val="auto"/>
          <w:sz w:val="24"/>
          <w:u w:val="none"/>
        </w:rPr>
      </w:pPr>
    </w:p>
    <w:p w14:paraId="67237AFA" w14:textId="3F8D6566" w:rsidR="00B05AD8" w:rsidRDefault="004E0832" w:rsidP="00262DF3">
      <w:pPr>
        <w:pStyle w:val="Heading10"/>
        <w:rPr>
          <w:b w:val="0"/>
          <w:bCs/>
          <w:color w:val="auto"/>
          <w:sz w:val="24"/>
          <w:u w:val="none"/>
        </w:rPr>
      </w:pPr>
      <w:r>
        <w:rPr>
          <w:i/>
          <w:iCs/>
          <w:color w:val="auto"/>
          <w:sz w:val="24"/>
          <w:u w:val="none"/>
        </w:rPr>
        <w:t>Most</w:t>
      </w:r>
      <w:r w:rsidR="00B05AD8" w:rsidRPr="00CB2E49">
        <w:rPr>
          <w:i/>
          <w:iCs/>
          <w:color w:val="auto"/>
          <w:sz w:val="24"/>
          <w:u w:val="none"/>
        </w:rPr>
        <w:t xml:space="preserve"> recent information since the distribution of the memo</w:t>
      </w:r>
      <w:r w:rsidR="00B05AD8">
        <w:rPr>
          <w:b w:val="0"/>
          <w:bCs/>
          <w:color w:val="auto"/>
          <w:sz w:val="24"/>
          <w:u w:val="none"/>
        </w:rPr>
        <w:t>.</w:t>
      </w:r>
    </w:p>
    <w:p w14:paraId="4FF38EDA" w14:textId="3372DBB5" w:rsidR="00CC290E" w:rsidRPr="00CC290E" w:rsidRDefault="00CC290E" w:rsidP="00CC290E">
      <w:pPr>
        <w:pStyle w:val="Heading10"/>
        <w:numPr>
          <w:ilvl w:val="0"/>
          <w:numId w:val="32"/>
        </w:numPr>
        <w:rPr>
          <w:b w:val="0"/>
          <w:bCs/>
          <w:color w:val="auto"/>
          <w:sz w:val="24"/>
          <w:u w:val="none"/>
        </w:rPr>
      </w:pPr>
      <w:r w:rsidRPr="00CC290E">
        <w:rPr>
          <w:b w:val="0"/>
          <w:bCs/>
          <w:color w:val="auto"/>
          <w:sz w:val="24"/>
          <w:u w:val="none"/>
        </w:rPr>
        <w:t>No new exam request</w:t>
      </w:r>
      <w:r w:rsidR="005B561B">
        <w:rPr>
          <w:b w:val="0"/>
          <w:bCs/>
          <w:color w:val="auto"/>
          <w:sz w:val="24"/>
          <w:u w:val="none"/>
        </w:rPr>
        <w:t>s</w:t>
      </w:r>
      <w:r w:rsidRPr="00CC290E">
        <w:rPr>
          <w:b w:val="0"/>
          <w:bCs/>
          <w:color w:val="auto"/>
          <w:sz w:val="24"/>
          <w:u w:val="none"/>
        </w:rPr>
        <w:t xml:space="preserve"> should be submitted to VHA. Point forward, all examination requests should be submitted in </w:t>
      </w:r>
      <w:r w:rsidR="005B561B">
        <w:rPr>
          <w:b w:val="0"/>
          <w:bCs/>
          <w:color w:val="auto"/>
          <w:sz w:val="24"/>
          <w:u w:val="none"/>
        </w:rPr>
        <w:t>Exam Management System (</w:t>
      </w:r>
      <w:r w:rsidRPr="00CC290E">
        <w:rPr>
          <w:b w:val="0"/>
          <w:bCs/>
          <w:color w:val="auto"/>
          <w:sz w:val="24"/>
          <w:u w:val="none"/>
        </w:rPr>
        <w:t>EMS</w:t>
      </w:r>
      <w:r w:rsidR="005B561B">
        <w:rPr>
          <w:b w:val="0"/>
          <w:bCs/>
          <w:color w:val="auto"/>
          <w:sz w:val="24"/>
          <w:u w:val="none"/>
        </w:rPr>
        <w:t>)</w:t>
      </w:r>
      <w:r w:rsidR="004A0E4E">
        <w:rPr>
          <w:b w:val="0"/>
          <w:bCs/>
          <w:color w:val="auto"/>
          <w:sz w:val="24"/>
          <w:u w:val="none"/>
        </w:rPr>
        <w:t xml:space="preserve"> to con</w:t>
      </w:r>
      <w:r w:rsidRPr="00CC290E">
        <w:rPr>
          <w:b w:val="0"/>
          <w:bCs/>
          <w:color w:val="auto"/>
          <w:sz w:val="24"/>
          <w:u w:val="none"/>
        </w:rPr>
        <w:t xml:space="preserve">tract vendors. </w:t>
      </w:r>
      <w:r w:rsidR="00E338CB">
        <w:rPr>
          <w:b w:val="0"/>
          <w:bCs/>
          <w:color w:val="auto"/>
          <w:sz w:val="24"/>
          <w:u w:val="none"/>
        </w:rPr>
        <w:t xml:space="preserve"> </w:t>
      </w:r>
    </w:p>
    <w:p w14:paraId="0B9FD01E" w14:textId="31C025B2" w:rsidR="00E338CB" w:rsidRPr="00E338CB" w:rsidRDefault="00CC290E" w:rsidP="00E338CB">
      <w:pPr>
        <w:pStyle w:val="ListParagraph"/>
        <w:numPr>
          <w:ilvl w:val="0"/>
          <w:numId w:val="32"/>
        </w:numPr>
        <w:rPr>
          <w:rFonts w:ascii="Arial" w:hAnsi="Arial" w:cs="Arial"/>
          <w:bCs/>
          <w:color w:val="auto"/>
          <w:bdr w:val="none" w:sz="0" w:space="0" w:color="auto" w:frame="1"/>
        </w:rPr>
      </w:pPr>
      <w:r w:rsidRPr="00E338CB">
        <w:rPr>
          <w:rFonts w:ascii="Arial" w:hAnsi="Arial" w:cs="Arial"/>
          <w:bCs/>
          <w:color w:val="auto"/>
        </w:rPr>
        <w:t xml:space="preserve">Exams requests that were previously submitted to VHA will be cancelled by VHA except where the exam has been initiated, or where VHA determines the exams can be accomplished via Telehealth technology. Any examinations that are cancelled by VHA should be </w:t>
      </w:r>
      <w:r w:rsidR="00CB4ED7">
        <w:rPr>
          <w:rFonts w:ascii="Arial" w:hAnsi="Arial" w:cs="Arial"/>
          <w:bCs/>
          <w:color w:val="auto"/>
        </w:rPr>
        <w:t>submitted</w:t>
      </w:r>
      <w:r w:rsidRPr="00E338CB">
        <w:rPr>
          <w:rFonts w:ascii="Arial" w:hAnsi="Arial" w:cs="Arial"/>
          <w:bCs/>
          <w:color w:val="auto"/>
        </w:rPr>
        <w:t xml:space="preserve"> to VBA vendors via EMS.</w:t>
      </w:r>
      <w:r w:rsidR="00E338CB" w:rsidRPr="00E338CB">
        <w:rPr>
          <w:rFonts w:ascii="Arial" w:hAnsi="Arial" w:cs="Arial"/>
          <w:b/>
          <w:bCs/>
          <w:color w:val="auto"/>
        </w:rPr>
        <w:t xml:space="preserve"> </w:t>
      </w:r>
      <w:r w:rsidR="00E338CB" w:rsidRPr="00E338CB">
        <w:rPr>
          <w:rFonts w:ascii="Arial" w:hAnsi="Arial" w:cs="Arial"/>
          <w:bCs/>
          <w:color w:val="auto"/>
          <w:bdr w:val="none" w:sz="0" w:space="0" w:color="auto" w:frame="1"/>
        </w:rPr>
        <w:t>Clarifications needed from VHA should still be requested</w:t>
      </w:r>
      <w:r w:rsidR="00993354">
        <w:rPr>
          <w:rFonts w:ascii="Arial" w:hAnsi="Arial" w:cs="Arial"/>
          <w:bCs/>
          <w:color w:val="auto"/>
          <w:bdr w:val="none" w:sz="0" w:space="0" w:color="auto" w:frame="1"/>
        </w:rPr>
        <w:t xml:space="preserve"> in CAPRI</w:t>
      </w:r>
      <w:r w:rsidR="00E338CB" w:rsidRPr="00E338CB">
        <w:rPr>
          <w:rFonts w:ascii="Arial" w:hAnsi="Arial" w:cs="Arial"/>
          <w:bCs/>
          <w:color w:val="auto"/>
          <w:bdr w:val="none" w:sz="0" w:space="0" w:color="auto" w:frame="1"/>
        </w:rPr>
        <w:t>.</w:t>
      </w:r>
    </w:p>
    <w:p w14:paraId="462945A3" w14:textId="58637184" w:rsidR="00CC290E" w:rsidRPr="00CC290E" w:rsidRDefault="00CC290E" w:rsidP="00CC290E">
      <w:pPr>
        <w:pStyle w:val="Heading10"/>
        <w:numPr>
          <w:ilvl w:val="0"/>
          <w:numId w:val="32"/>
        </w:numPr>
        <w:rPr>
          <w:b w:val="0"/>
          <w:bCs/>
          <w:color w:val="auto"/>
          <w:sz w:val="24"/>
          <w:u w:val="none"/>
        </w:rPr>
      </w:pPr>
      <w:r w:rsidRPr="00CC290E">
        <w:rPr>
          <w:b w:val="0"/>
          <w:bCs/>
          <w:color w:val="auto"/>
          <w:sz w:val="24"/>
          <w:u w:val="none"/>
        </w:rPr>
        <w:t xml:space="preserve">Exams submitted to VBA </w:t>
      </w:r>
      <w:r w:rsidR="00AA31CC">
        <w:rPr>
          <w:b w:val="0"/>
          <w:bCs/>
          <w:color w:val="auto"/>
          <w:sz w:val="24"/>
          <w:u w:val="none"/>
        </w:rPr>
        <w:t>v</w:t>
      </w:r>
      <w:r w:rsidRPr="00CC290E">
        <w:rPr>
          <w:b w:val="0"/>
          <w:bCs/>
          <w:color w:val="auto"/>
          <w:sz w:val="24"/>
          <w:u w:val="none"/>
        </w:rPr>
        <w:t xml:space="preserve">endors should </w:t>
      </w:r>
      <w:r w:rsidRPr="00CB2E49">
        <w:rPr>
          <w:b w:val="0"/>
          <w:bCs/>
          <w:color w:val="auto"/>
          <w:sz w:val="24"/>
        </w:rPr>
        <w:t>NOT</w:t>
      </w:r>
      <w:r w:rsidRPr="00CC290E">
        <w:rPr>
          <w:b w:val="0"/>
          <w:bCs/>
          <w:color w:val="auto"/>
          <w:sz w:val="24"/>
          <w:u w:val="none"/>
        </w:rPr>
        <w:t xml:space="preserve"> be cancelled due to reasons associated with COVID-19.   Examiners should not cancel E</w:t>
      </w:r>
      <w:r w:rsidR="005B561B">
        <w:rPr>
          <w:b w:val="0"/>
          <w:bCs/>
          <w:color w:val="auto"/>
          <w:sz w:val="24"/>
          <w:u w:val="none"/>
        </w:rPr>
        <w:t>xam Scheduling Requests (E</w:t>
      </w:r>
      <w:r w:rsidRPr="00CC290E">
        <w:rPr>
          <w:b w:val="0"/>
          <w:bCs/>
          <w:color w:val="auto"/>
          <w:sz w:val="24"/>
          <w:u w:val="none"/>
        </w:rPr>
        <w:t>SRs</w:t>
      </w:r>
      <w:r w:rsidR="005B561B">
        <w:rPr>
          <w:b w:val="0"/>
          <w:bCs/>
          <w:color w:val="auto"/>
          <w:sz w:val="24"/>
          <w:u w:val="none"/>
        </w:rPr>
        <w:t>)</w:t>
      </w:r>
      <w:r w:rsidRPr="00CC290E">
        <w:rPr>
          <w:b w:val="0"/>
          <w:bCs/>
          <w:color w:val="auto"/>
          <w:sz w:val="24"/>
          <w:u w:val="none"/>
        </w:rPr>
        <w:t xml:space="preserve"> for COVID</w:t>
      </w:r>
      <w:r w:rsidR="00A53BCF">
        <w:rPr>
          <w:b w:val="0"/>
          <w:bCs/>
          <w:color w:val="auto"/>
          <w:sz w:val="24"/>
          <w:u w:val="none"/>
        </w:rPr>
        <w:t>-19</w:t>
      </w:r>
      <w:r w:rsidRPr="00CC290E">
        <w:rPr>
          <w:b w:val="0"/>
          <w:bCs/>
          <w:color w:val="auto"/>
          <w:sz w:val="24"/>
          <w:u w:val="none"/>
        </w:rPr>
        <w:t xml:space="preserve"> related issues. MSCs must not cancel any ESRs (neither in part or in full) at the request or direction of the exam provider.  </w:t>
      </w:r>
    </w:p>
    <w:p w14:paraId="38615CC6" w14:textId="6C839DE4" w:rsidR="00CC290E" w:rsidRDefault="00CC290E" w:rsidP="00CC290E">
      <w:pPr>
        <w:pStyle w:val="Heading10"/>
        <w:numPr>
          <w:ilvl w:val="0"/>
          <w:numId w:val="32"/>
        </w:numPr>
        <w:rPr>
          <w:b w:val="0"/>
          <w:bCs/>
          <w:color w:val="auto"/>
          <w:sz w:val="24"/>
          <w:u w:val="none"/>
        </w:rPr>
      </w:pPr>
      <w:r w:rsidRPr="00CC290E">
        <w:rPr>
          <w:b w:val="0"/>
          <w:bCs/>
          <w:color w:val="auto"/>
          <w:sz w:val="24"/>
          <w:u w:val="none"/>
        </w:rPr>
        <w:t>Contract providers may cancel scheduled appointments for reason</w:t>
      </w:r>
      <w:r w:rsidR="00093068">
        <w:rPr>
          <w:b w:val="0"/>
          <w:bCs/>
          <w:color w:val="auto"/>
          <w:sz w:val="24"/>
          <w:u w:val="none"/>
        </w:rPr>
        <w:t>s</w:t>
      </w:r>
      <w:r w:rsidRPr="00CC290E">
        <w:rPr>
          <w:b w:val="0"/>
          <w:bCs/>
          <w:color w:val="auto"/>
          <w:sz w:val="24"/>
          <w:u w:val="none"/>
        </w:rPr>
        <w:t xml:space="preserve"> relating to COVID-19, but they should not cancel the pending ESR. When appointments are cancelled, the status will be shown as OPEN in EMS. In these instances, the provider will contact the participant to reschedule the appointment at an appropriate time—no further action is required by the MSC. </w:t>
      </w:r>
    </w:p>
    <w:p w14:paraId="65A7EA37" w14:textId="5291777F" w:rsidR="000D4A61" w:rsidRPr="000D4A61" w:rsidRDefault="000D4A61" w:rsidP="00BE4772">
      <w:pPr>
        <w:pStyle w:val="ListParagraph"/>
        <w:numPr>
          <w:ilvl w:val="0"/>
          <w:numId w:val="35"/>
        </w:numPr>
        <w:ind w:left="2160"/>
        <w:rPr>
          <w:rFonts w:ascii="Arial" w:hAnsi="Arial" w:cs="Arial"/>
          <w:bCs/>
          <w:color w:val="auto"/>
          <w:bdr w:val="none" w:sz="0" w:space="0" w:color="auto" w:frame="1"/>
        </w:rPr>
      </w:pPr>
      <w:r w:rsidRPr="000D4A61">
        <w:rPr>
          <w:rFonts w:ascii="Arial" w:hAnsi="Arial" w:cs="Arial"/>
          <w:bCs/>
          <w:color w:val="auto"/>
          <w:bdr w:val="none" w:sz="0" w:space="0" w:color="auto" w:frame="1"/>
        </w:rPr>
        <w:t xml:space="preserve">QTC is sending text messages to SMs about their exams being postponed, not cancelled.  Exams will be re-scheduled ASAP. The text will read something like “Due to the Coronavirus pandemic in the US, and per the Department of Veterans Affairs order, QTC is postponing all in-clinic examinations until further notice. We are working with the VA for expansion of alternative methods for completing exams.” </w:t>
      </w:r>
    </w:p>
    <w:p w14:paraId="6BA84F94" w14:textId="77777777" w:rsidR="00D80901" w:rsidRPr="00D80901" w:rsidRDefault="00D80901" w:rsidP="00D80901">
      <w:pPr>
        <w:numPr>
          <w:ilvl w:val="0"/>
          <w:numId w:val="32"/>
        </w:numPr>
        <w:tabs>
          <w:tab w:val="left" w:pos="0"/>
        </w:tabs>
        <w:outlineLvl w:val="0"/>
        <w:rPr>
          <w:rFonts w:ascii="Arial" w:hAnsi="Arial" w:cs="Arial"/>
          <w:bCs/>
          <w:color w:val="auto"/>
          <w:bdr w:val="none" w:sz="0" w:space="0" w:color="auto" w:frame="1"/>
        </w:rPr>
      </w:pPr>
      <w:bookmarkStart w:id="56" w:name="_Hlk37668307"/>
      <w:r w:rsidRPr="00D80901">
        <w:rPr>
          <w:rFonts w:ascii="Arial" w:hAnsi="Arial" w:cs="Arial"/>
          <w:bCs/>
          <w:color w:val="auto"/>
          <w:bdr w:val="none" w:sz="0" w:space="0" w:color="auto" w:frame="1"/>
        </w:rPr>
        <w:t xml:space="preserve">If an ESR, or a specific contention is erroneously cancelled by the exam provider, the MSC must resubmit the ESR. </w:t>
      </w:r>
    </w:p>
    <w:p w14:paraId="3301DDC0" w14:textId="5345CE4E" w:rsidR="00D80901" w:rsidRPr="00D80901" w:rsidRDefault="00D80901" w:rsidP="00D80901">
      <w:pPr>
        <w:numPr>
          <w:ilvl w:val="0"/>
          <w:numId w:val="34"/>
        </w:numPr>
        <w:tabs>
          <w:tab w:val="left" w:pos="0"/>
        </w:tabs>
        <w:outlineLvl w:val="0"/>
        <w:rPr>
          <w:rFonts w:ascii="Arial" w:hAnsi="Arial" w:cs="Arial"/>
          <w:bCs/>
          <w:color w:val="auto"/>
          <w:bdr w:val="none" w:sz="0" w:space="0" w:color="auto" w:frame="1"/>
        </w:rPr>
      </w:pPr>
      <w:r w:rsidRPr="00D80901">
        <w:rPr>
          <w:rFonts w:ascii="Arial" w:hAnsi="Arial" w:cs="Arial"/>
          <w:bCs/>
          <w:color w:val="auto"/>
          <w:bdr w:val="none" w:sz="0" w:space="0" w:color="auto" w:frame="1"/>
        </w:rPr>
        <w:t xml:space="preserve">If the entire ESR shows a CANCELLED status, the MSC must re-submit the entire request, to include the SHA DBQ    </w:t>
      </w:r>
    </w:p>
    <w:p w14:paraId="69A4CFB6" w14:textId="5753949C" w:rsidR="00D80901" w:rsidRPr="00D80901" w:rsidRDefault="00D80901" w:rsidP="00D80901">
      <w:pPr>
        <w:numPr>
          <w:ilvl w:val="0"/>
          <w:numId w:val="34"/>
        </w:numPr>
        <w:tabs>
          <w:tab w:val="left" w:pos="0"/>
        </w:tabs>
        <w:outlineLvl w:val="0"/>
        <w:rPr>
          <w:rFonts w:ascii="Arial" w:hAnsi="Arial" w:cs="Arial"/>
          <w:bCs/>
          <w:color w:val="auto"/>
          <w:bdr w:val="none" w:sz="0" w:space="0" w:color="auto" w:frame="1"/>
        </w:rPr>
      </w:pPr>
      <w:r w:rsidRPr="00D80901">
        <w:rPr>
          <w:rFonts w:ascii="Arial" w:hAnsi="Arial" w:cs="Arial"/>
          <w:bCs/>
          <w:color w:val="auto"/>
          <w:bdr w:val="none" w:sz="0" w:space="0" w:color="auto" w:frame="1"/>
        </w:rPr>
        <w:t xml:space="preserve">If a contention is </w:t>
      </w:r>
      <w:r w:rsidR="00E17D2E" w:rsidRPr="00D80901">
        <w:rPr>
          <w:rFonts w:ascii="Arial" w:hAnsi="Arial" w:cs="Arial"/>
          <w:bCs/>
          <w:color w:val="auto"/>
          <w:bdr w:val="none" w:sz="0" w:space="0" w:color="auto" w:frame="1"/>
        </w:rPr>
        <w:t>showing</w:t>
      </w:r>
      <w:r w:rsidRPr="00D80901">
        <w:rPr>
          <w:rFonts w:ascii="Arial" w:hAnsi="Arial" w:cs="Arial"/>
          <w:bCs/>
          <w:color w:val="auto"/>
          <w:bdr w:val="none" w:sz="0" w:space="0" w:color="auto" w:frame="1"/>
        </w:rPr>
        <w:t xml:space="preserve"> a CANCELLED status, the MSC must submit another ESR and request only the specific DBQ relating to that condition—</w:t>
      </w:r>
      <w:r w:rsidR="00577ACD" w:rsidRPr="00CB2E49">
        <w:rPr>
          <w:rFonts w:ascii="Arial" w:hAnsi="Arial" w:cs="Arial"/>
          <w:b/>
          <w:color w:val="auto"/>
          <w:bdr w:val="none" w:sz="0" w:space="0" w:color="auto" w:frame="1"/>
        </w:rPr>
        <w:t>DO</w:t>
      </w:r>
      <w:r w:rsidR="00496A8E" w:rsidRPr="00CB2E49">
        <w:rPr>
          <w:rFonts w:ascii="Arial" w:hAnsi="Arial" w:cs="Arial"/>
          <w:b/>
          <w:color w:val="auto"/>
          <w:bdr w:val="none" w:sz="0" w:space="0" w:color="auto" w:frame="1"/>
        </w:rPr>
        <w:t xml:space="preserve"> </w:t>
      </w:r>
      <w:r w:rsidRPr="00CB2E49">
        <w:rPr>
          <w:rFonts w:ascii="Arial" w:hAnsi="Arial" w:cs="Arial"/>
          <w:b/>
          <w:color w:val="auto"/>
          <w:bdr w:val="none" w:sz="0" w:space="0" w:color="auto" w:frame="1"/>
        </w:rPr>
        <w:t xml:space="preserve">NOT </w:t>
      </w:r>
      <w:r w:rsidRPr="00577ACD">
        <w:rPr>
          <w:rFonts w:ascii="Arial" w:hAnsi="Arial" w:cs="Arial"/>
          <w:bCs/>
          <w:color w:val="auto"/>
          <w:bdr w:val="none" w:sz="0" w:space="0" w:color="auto" w:frame="1"/>
        </w:rPr>
        <w:t>request</w:t>
      </w:r>
      <w:r w:rsidRPr="00D80901">
        <w:rPr>
          <w:rFonts w:ascii="Arial" w:hAnsi="Arial" w:cs="Arial"/>
          <w:bCs/>
          <w:color w:val="auto"/>
          <w:bdr w:val="none" w:sz="0" w:space="0" w:color="auto" w:frame="1"/>
        </w:rPr>
        <w:t xml:space="preserve"> another SHA DBQ</w:t>
      </w:r>
      <w:r w:rsidR="00496A8E">
        <w:rPr>
          <w:rFonts w:ascii="Arial" w:hAnsi="Arial" w:cs="Arial"/>
          <w:bCs/>
          <w:color w:val="auto"/>
          <w:bdr w:val="none" w:sz="0" w:space="0" w:color="auto" w:frame="1"/>
        </w:rPr>
        <w:t xml:space="preserve"> unless the SHA DBQ was not completed</w:t>
      </w:r>
    </w:p>
    <w:p w14:paraId="72C16576" w14:textId="1947B985" w:rsidR="00D80901" w:rsidRPr="00D80901" w:rsidRDefault="00D80901" w:rsidP="00D80901">
      <w:pPr>
        <w:numPr>
          <w:ilvl w:val="0"/>
          <w:numId w:val="34"/>
        </w:numPr>
        <w:tabs>
          <w:tab w:val="left" w:pos="0"/>
        </w:tabs>
        <w:outlineLvl w:val="0"/>
        <w:rPr>
          <w:rFonts w:ascii="Arial" w:hAnsi="Arial" w:cs="Arial"/>
          <w:bCs/>
          <w:color w:val="auto"/>
          <w:bdr w:val="none" w:sz="0" w:space="0" w:color="auto" w:frame="1"/>
        </w:rPr>
      </w:pPr>
      <w:r w:rsidRPr="00D80901">
        <w:rPr>
          <w:rFonts w:ascii="Arial" w:hAnsi="Arial" w:cs="Arial"/>
          <w:bCs/>
          <w:color w:val="auto"/>
          <w:bdr w:val="none" w:sz="0" w:space="0" w:color="auto" w:frame="1"/>
        </w:rPr>
        <w:t xml:space="preserve">If </w:t>
      </w:r>
      <w:r w:rsidR="00577ACD">
        <w:rPr>
          <w:rFonts w:ascii="Arial" w:hAnsi="Arial" w:cs="Arial"/>
          <w:bCs/>
          <w:color w:val="auto"/>
          <w:bdr w:val="none" w:sz="0" w:space="0" w:color="auto" w:frame="1"/>
        </w:rPr>
        <w:t>the</w:t>
      </w:r>
      <w:r w:rsidRPr="00D80901">
        <w:rPr>
          <w:rFonts w:ascii="Arial" w:hAnsi="Arial" w:cs="Arial"/>
          <w:bCs/>
          <w:color w:val="auto"/>
          <w:bdr w:val="none" w:sz="0" w:space="0" w:color="auto" w:frame="1"/>
        </w:rPr>
        <w:t xml:space="preserve"> ESR or </w:t>
      </w:r>
      <w:r w:rsidR="00E17D2E" w:rsidRPr="00D80901">
        <w:rPr>
          <w:rFonts w:ascii="Arial" w:hAnsi="Arial" w:cs="Arial"/>
          <w:bCs/>
          <w:color w:val="auto"/>
          <w:bdr w:val="none" w:sz="0" w:space="0" w:color="auto" w:frame="1"/>
        </w:rPr>
        <w:t>contention</w:t>
      </w:r>
      <w:r w:rsidRPr="00D80901">
        <w:rPr>
          <w:rFonts w:ascii="Arial" w:hAnsi="Arial" w:cs="Arial"/>
          <w:bCs/>
          <w:color w:val="auto"/>
          <w:bdr w:val="none" w:sz="0" w:space="0" w:color="auto" w:frame="1"/>
        </w:rPr>
        <w:t xml:space="preserve"> exam is cancelled, </w:t>
      </w:r>
      <w:bookmarkStart w:id="57" w:name="_Hlk37143709"/>
      <w:r w:rsidRPr="00D80901">
        <w:rPr>
          <w:rFonts w:ascii="Arial" w:hAnsi="Arial" w:cs="Arial"/>
          <w:bCs/>
          <w:color w:val="auto"/>
          <w:bdr w:val="none" w:sz="0" w:space="0" w:color="auto" w:frame="1"/>
        </w:rPr>
        <w:t xml:space="preserve">contact </w:t>
      </w:r>
      <w:hyperlink r:id="rId14" w:history="1">
        <w:r w:rsidRPr="00D80901">
          <w:rPr>
            <w:rFonts w:ascii="Arial" w:hAnsi="Arial" w:cs="Arial"/>
            <w:bCs/>
            <w:color w:val="0000FF"/>
            <w:u w:val="single"/>
            <w:bdr w:val="none" w:sz="0" w:space="0" w:color="auto" w:frame="1"/>
          </w:rPr>
          <w:t>Contract Exams</w:t>
        </w:r>
      </w:hyperlink>
      <w:r w:rsidRPr="00D80901">
        <w:rPr>
          <w:rFonts w:ascii="Arial" w:hAnsi="Arial" w:cs="Arial"/>
          <w:bCs/>
          <w:color w:val="auto"/>
          <w:bdr w:val="none" w:sz="0" w:space="0" w:color="auto" w:frame="1"/>
        </w:rPr>
        <w:t xml:space="preserve"> and cc</w:t>
      </w:r>
      <w:r w:rsidR="008A0F11">
        <w:rPr>
          <w:rFonts w:ascii="Arial" w:hAnsi="Arial" w:cs="Arial"/>
          <w:bCs/>
          <w:color w:val="auto"/>
          <w:bdr w:val="none" w:sz="0" w:space="0" w:color="auto" w:frame="1"/>
        </w:rPr>
        <w:t>:</w:t>
      </w:r>
      <w:r w:rsidRPr="00D80901">
        <w:rPr>
          <w:rFonts w:ascii="Arial" w:hAnsi="Arial" w:cs="Arial"/>
          <w:bCs/>
          <w:color w:val="auto"/>
          <w:bdr w:val="none" w:sz="0" w:space="0" w:color="auto" w:frame="1"/>
        </w:rPr>
        <w:t xml:space="preserve"> the </w:t>
      </w:r>
      <w:hyperlink r:id="rId15" w:history="1">
        <w:r w:rsidRPr="00D80901">
          <w:rPr>
            <w:rFonts w:ascii="Arial" w:hAnsi="Arial" w:cs="Arial"/>
            <w:bCs/>
            <w:color w:val="0000FF"/>
            <w:u w:val="single"/>
            <w:bdr w:val="none" w:sz="0" w:space="0" w:color="auto" w:frame="1"/>
          </w:rPr>
          <w:t>BDD</w:t>
        </w:r>
      </w:hyperlink>
      <w:r w:rsidRPr="00D80901">
        <w:rPr>
          <w:rFonts w:ascii="Arial" w:hAnsi="Arial" w:cs="Arial"/>
          <w:bCs/>
          <w:color w:val="auto"/>
          <w:bdr w:val="none" w:sz="0" w:space="0" w:color="auto" w:frame="1"/>
        </w:rPr>
        <w:t xml:space="preserve"> or </w:t>
      </w:r>
      <w:hyperlink r:id="rId16" w:history="1">
        <w:r w:rsidRPr="00D80901">
          <w:rPr>
            <w:rFonts w:ascii="Arial" w:hAnsi="Arial" w:cs="Arial"/>
            <w:bCs/>
            <w:color w:val="0000FF"/>
            <w:u w:val="single"/>
            <w:bdr w:val="none" w:sz="0" w:space="0" w:color="auto" w:frame="1"/>
          </w:rPr>
          <w:t>IDES</w:t>
        </w:r>
      </w:hyperlink>
      <w:r w:rsidRPr="00D80901">
        <w:rPr>
          <w:rFonts w:ascii="Arial" w:hAnsi="Arial" w:cs="Arial"/>
          <w:bCs/>
          <w:color w:val="auto"/>
          <w:bdr w:val="none" w:sz="0" w:space="0" w:color="auto" w:frame="1"/>
        </w:rPr>
        <w:t xml:space="preserve"> </w:t>
      </w:r>
      <w:r w:rsidR="008A0F11">
        <w:rPr>
          <w:rFonts w:ascii="Arial" w:hAnsi="Arial" w:cs="Arial"/>
          <w:bCs/>
          <w:color w:val="auto"/>
          <w:bdr w:val="none" w:sz="0" w:space="0" w:color="auto" w:frame="1"/>
        </w:rPr>
        <w:t>mail</w:t>
      </w:r>
      <w:r w:rsidRPr="00D80901">
        <w:rPr>
          <w:rFonts w:ascii="Arial" w:hAnsi="Arial" w:cs="Arial"/>
          <w:bCs/>
          <w:color w:val="auto"/>
          <w:bdr w:val="none" w:sz="0" w:space="0" w:color="auto" w:frame="1"/>
        </w:rPr>
        <w:t xml:space="preserve">box </w:t>
      </w:r>
      <w:bookmarkEnd w:id="57"/>
      <w:r w:rsidRPr="00D80901">
        <w:rPr>
          <w:rFonts w:ascii="Arial" w:hAnsi="Arial" w:cs="Arial"/>
          <w:bCs/>
          <w:color w:val="auto"/>
          <w:bdr w:val="none" w:sz="0" w:space="0" w:color="auto" w:frame="1"/>
        </w:rPr>
        <w:t xml:space="preserve">with </w:t>
      </w:r>
      <w:r w:rsidR="00C67D10">
        <w:rPr>
          <w:rFonts w:ascii="Arial" w:hAnsi="Arial" w:cs="Arial"/>
          <w:bCs/>
          <w:color w:val="auto"/>
          <w:bdr w:val="none" w:sz="0" w:space="0" w:color="auto" w:frame="1"/>
        </w:rPr>
        <w:t>claim number</w:t>
      </w:r>
      <w:r w:rsidRPr="00D80901">
        <w:rPr>
          <w:rFonts w:ascii="Arial" w:hAnsi="Arial" w:cs="Arial"/>
          <w:bCs/>
          <w:color w:val="auto"/>
          <w:bdr w:val="none" w:sz="0" w:space="0" w:color="auto" w:frame="1"/>
        </w:rPr>
        <w:t xml:space="preserve"> and details  </w:t>
      </w:r>
    </w:p>
    <w:p w14:paraId="21070EC2" w14:textId="77777777" w:rsidR="00D80901" w:rsidRDefault="00D80901" w:rsidP="00D80901">
      <w:pPr>
        <w:pStyle w:val="Heading10"/>
        <w:ind w:left="720"/>
        <w:rPr>
          <w:b w:val="0"/>
          <w:bCs/>
          <w:color w:val="auto"/>
          <w:sz w:val="24"/>
          <w:u w:val="none"/>
        </w:rPr>
      </w:pPr>
    </w:p>
    <w:p w14:paraId="58F6EFA8" w14:textId="2564DCA8" w:rsidR="00CC290E" w:rsidRDefault="00CC290E" w:rsidP="00CC290E">
      <w:pPr>
        <w:pStyle w:val="Heading10"/>
        <w:rPr>
          <w:b w:val="0"/>
          <w:bCs/>
          <w:color w:val="auto"/>
          <w:sz w:val="24"/>
          <w:u w:val="none"/>
        </w:rPr>
      </w:pPr>
    </w:p>
    <w:p w14:paraId="2971EED3" w14:textId="77777777" w:rsidR="001C79A6" w:rsidRPr="00CC290E" w:rsidRDefault="001C79A6" w:rsidP="00CC290E">
      <w:pPr>
        <w:pStyle w:val="Heading10"/>
        <w:rPr>
          <w:b w:val="0"/>
          <w:bCs/>
          <w:color w:val="auto"/>
          <w:sz w:val="24"/>
          <w:u w:val="none"/>
        </w:rPr>
      </w:pPr>
    </w:p>
    <w:p w14:paraId="6A746ABA" w14:textId="0F2F46BA" w:rsidR="00F50153" w:rsidRDefault="00F50153" w:rsidP="00F50153">
      <w:pPr>
        <w:pStyle w:val="Heading10"/>
        <w:rPr>
          <w:b w:val="0"/>
          <w:bCs/>
          <w:color w:val="auto"/>
          <w:sz w:val="24"/>
          <w:u w:val="none"/>
        </w:rPr>
      </w:pPr>
    </w:p>
    <w:p w14:paraId="0695F200" w14:textId="2C751CC6" w:rsidR="008A0F11" w:rsidRPr="00CB2E49" w:rsidRDefault="008A0F11" w:rsidP="00F50153">
      <w:pPr>
        <w:pStyle w:val="Heading10"/>
        <w:rPr>
          <w:color w:val="auto"/>
          <w:sz w:val="24"/>
          <w:u w:val="none"/>
        </w:rPr>
      </w:pPr>
      <w:r w:rsidRPr="00CB2E49">
        <w:rPr>
          <w:color w:val="auto"/>
          <w:sz w:val="24"/>
          <w:u w:val="none"/>
        </w:rPr>
        <w:t>Example 1:</w:t>
      </w:r>
    </w:p>
    <w:tbl>
      <w:tblPr>
        <w:tblStyle w:val="TableGrid"/>
        <w:tblW w:w="0" w:type="auto"/>
        <w:tblLook w:val="04A0" w:firstRow="1" w:lastRow="0" w:firstColumn="1" w:lastColumn="0" w:noHBand="0" w:noVBand="1"/>
      </w:tblPr>
      <w:tblGrid>
        <w:gridCol w:w="11754"/>
      </w:tblGrid>
      <w:tr w:rsidR="008A0F11" w14:paraId="4F7C8005" w14:textId="77777777" w:rsidTr="00CB2E49">
        <w:trPr>
          <w:trHeight w:val="5912"/>
        </w:trPr>
        <w:tc>
          <w:tcPr>
            <w:tcW w:w="11754" w:type="dxa"/>
          </w:tcPr>
          <w:p w14:paraId="648A5298" w14:textId="77777777" w:rsidR="008A0F11" w:rsidRDefault="008A0F11" w:rsidP="00F50153">
            <w:pPr>
              <w:pStyle w:val="Heading10"/>
              <w:rPr>
                <w:rFonts w:ascii="Times New Roman" w:hAnsi="Times New Roman" w:cs="Times New Roman"/>
                <w:b w:val="0"/>
                <w:noProof/>
                <w:color w:val="000000"/>
                <w:sz w:val="24"/>
                <w:u w:val="none"/>
                <w:bdr w:val="none" w:sz="0" w:space="0" w:color="auto"/>
              </w:rPr>
            </w:pPr>
          </w:p>
          <w:p w14:paraId="4568BF10" w14:textId="77777777" w:rsidR="008A0F11" w:rsidRPr="00656A78" w:rsidRDefault="008A0F11" w:rsidP="00CB2E49">
            <w:pPr>
              <w:rPr>
                <w:rFonts w:ascii="Arial" w:hAnsi="Arial" w:cs="Arial"/>
                <w:color w:val="auto"/>
                <w:sz w:val="24"/>
                <w:szCs w:val="24"/>
              </w:rPr>
            </w:pPr>
            <w:r w:rsidRPr="00656A78">
              <w:rPr>
                <w:rFonts w:ascii="Arial" w:hAnsi="Arial" w:cs="Arial"/>
                <w:sz w:val="24"/>
                <w:szCs w:val="24"/>
              </w:rPr>
              <w:t>ESR remains “OPEN”</w:t>
            </w:r>
          </w:p>
          <w:p w14:paraId="5E7699E2" w14:textId="2349A151" w:rsidR="008A0F11" w:rsidRPr="00656A78" w:rsidRDefault="008A0F11" w:rsidP="00CB2E49">
            <w:pPr>
              <w:rPr>
                <w:rFonts w:ascii="Arial" w:hAnsi="Arial" w:cs="Arial"/>
                <w:sz w:val="24"/>
                <w:szCs w:val="24"/>
              </w:rPr>
            </w:pPr>
            <w:r w:rsidRPr="00656A78">
              <w:rPr>
                <w:rFonts w:ascii="Arial" w:hAnsi="Arial" w:cs="Arial"/>
                <w:sz w:val="24"/>
                <w:szCs w:val="24"/>
              </w:rPr>
              <w:t xml:space="preserve">Bronchitis Contention was “CANCELED” the vendor canceled the contention on the ESR. </w:t>
            </w:r>
            <w:r w:rsidR="001C79A6" w:rsidRPr="00656A78">
              <w:rPr>
                <w:rFonts w:ascii="Arial" w:hAnsi="Arial" w:cs="Arial"/>
                <w:sz w:val="24"/>
                <w:szCs w:val="24"/>
              </w:rPr>
              <w:t>The c</w:t>
            </w:r>
            <w:r w:rsidRPr="00656A78">
              <w:rPr>
                <w:rFonts w:ascii="Arial" w:hAnsi="Arial" w:cs="Arial"/>
                <w:sz w:val="24"/>
                <w:szCs w:val="24"/>
              </w:rPr>
              <w:t xml:space="preserve">ancelation document is in the e-folder, </w:t>
            </w:r>
            <w:r w:rsidR="001C79A6" w:rsidRPr="00656A78">
              <w:rPr>
                <w:rFonts w:ascii="Arial" w:hAnsi="Arial" w:cs="Arial"/>
                <w:sz w:val="24"/>
                <w:szCs w:val="24"/>
              </w:rPr>
              <w:t>and</w:t>
            </w:r>
            <w:r w:rsidRPr="00656A78">
              <w:rPr>
                <w:rFonts w:ascii="Arial" w:hAnsi="Arial" w:cs="Arial"/>
                <w:sz w:val="24"/>
                <w:szCs w:val="24"/>
              </w:rPr>
              <w:t xml:space="preserve"> was “properly executed”</w:t>
            </w:r>
            <w:r w:rsidR="001C79A6" w:rsidRPr="00656A78">
              <w:rPr>
                <w:rFonts w:ascii="Arial" w:hAnsi="Arial" w:cs="Arial"/>
                <w:sz w:val="24"/>
                <w:szCs w:val="24"/>
              </w:rPr>
              <w:t>. T</w:t>
            </w:r>
            <w:r w:rsidRPr="00656A78">
              <w:rPr>
                <w:rFonts w:ascii="Arial" w:hAnsi="Arial" w:cs="Arial"/>
                <w:sz w:val="24"/>
                <w:szCs w:val="24"/>
              </w:rPr>
              <w:t>herefore</w:t>
            </w:r>
            <w:r w:rsidR="001C79A6" w:rsidRPr="00656A78">
              <w:rPr>
                <w:rFonts w:ascii="Arial" w:hAnsi="Arial" w:cs="Arial"/>
                <w:sz w:val="24"/>
                <w:szCs w:val="24"/>
              </w:rPr>
              <w:t>,</w:t>
            </w:r>
            <w:r w:rsidRPr="00656A78">
              <w:rPr>
                <w:rFonts w:ascii="Arial" w:hAnsi="Arial" w:cs="Arial"/>
                <w:sz w:val="24"/>
                <w:szCs w:val="24"/>
              </w:rPr>
              <w:t xml:space="preserve"> the MSC should resubmit an ESR for that contention and request the DBQ for that contention only. The contention is available in EMS</w:t>
            </w:r>
            <w:r w:rsidR="001C79A6" w:rsidRPr="00656A78">
              <w:rPr>
                <w:rFonts w:ascii="Arial" w:hAnsi="Arial" w:cs="Arial"/>
                <w:sz w:val="24"/>
                <w:szCs w:val="24"/>
              </w:rPr>
              <w:t>-the exam can be resubmitted.</w:t>
            </w:r>
          </w:p>
          <w:p w14:paraId="0E9167FE" w14:textId="77777777" w:rsidR="008A0F11" w:rsidRDefault="008A0F11" w:rsidP="00F50153">
            <w:pPr>
              <w:pStyle w:val="Heading10"/>
              <w:rPr>
                <w:rFonts w:ascii="Times New Roman" w:hAnsi="Times New Roman" w:cs="Times New Roman"/>
                <w:b w:val="0"/>
                <w:noProof/>
                <w:color w:val="000000"/>
                <w:sz w:val="24"/>
                <w:u w:val="none"/>
                <w:bdr w:val="none" w:sz="0" w:space="0" w:color="auto"/>
              </w:rPr>
            </w:pPr>
          </w:p>
          <w:p w14:paraId="6D72282F" w14:textId="67D26C4B" w:rsidR="008A0F11" w:rsidRDefault="008A0F11" w:rsidP="00F50153">
            <w:pPr>
              <w:pStyle w:val="Heading10"/>
              <w:rPr>
                <w:b w:val="0"/>
                <w:bCs/>
                <w:color w:val="auto"/>
                <w:sz w:val="24"/>
                <w:u w:val="none"/>
              </w:rPr>
            </w:pPr>
            <w:r w:rsidRPr="00F50153">
              <w:rPr>
                <w:rFonts w:ascii="Times New Roman" w:hAnsi="Times New Roman" w:cs="Times New Roman"/>
                <w:b w:val="0"/>
                <w:noProof/>
                <w:color w:val="000000"/>
                <w:sz w:val="24"/>
                <w:u w:val="none"/>
                <w:bdr w:val="none" w:sz="0" w:space="0" w:color="auto"/>
              </w:rPr>
              <w:drawing>
                <wp:inline distT="0" distB="0" distL="0" distR="0" wp14:anchorId="585694D2" wp14:editId="0C981A1A">
                  <wp:extent cx="7470140" cy="220947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470140" cy="2209478"/>
                          </a:xfrm>
                          <a:prstGeom prst="rect">
                            <a:avLst/>
                          </a:prstGeom>
                          <a:noFill/>
                          <a:ln>
                            <a:noFill/>
                          </a:ln>
                        </pic:spPr>
                      </pic:pic>
                    </a:graphicData>
                  </a:graphic>
                </wp:inline>
              </w:drawing>
            </w:r>
          </w:p>
        </w:tc>
      </w:tr>
    </w:tbl>
    <w:p w14:paraId="3C2C6017" w14:textId="77777777" w:rsidR="008A0F11" w:rsidRDefault="008A0F11" w:rsidP="00F50153">
      <w:pPr>
        <w:pStyle w:val="Heading10"/>
        <w:rPr>
          <w:b w:val="0"/>
          <w:bCs/>
          <w:color w:val="auto"/>
          <w:sz w:val="24"/>
          <w:u w:val="none"/>
        </w:rPr>
      </w:pPr>
    </w:p>
    <w:p w14:paraId="5A668815" w14:textId="50E425C8" w:rsidR="00F50153" w:rsidRPr="00CB2E49" w:rsidRDefault="00F50153" w:rsidP="00F50153">
      <w:pPr>
        <w:pStyle w:val="Heading10"/>
        <w:rPr>
          <w:bCs/>
          <w:color w:val="auto"/>
          <w:sz w:val="24"/>
          <w:u w:val="none"/>
        </w:rPr>
      </w:pPr>
    </w:p>
    <w:p w14:paraId="65DB3197" w14:textId="0440D929" w:rsidR="008A0F11" w:rsidRDefault="001C79A6" w:rsidP="008A64A9">
      <w:pPr>
        <w:rPr>
          <w:rFonts w:ascii="Arial" w:hAnsi="Arial" w:cs="Arial"/>
        </w:rPr>
      </w:pPr>
      <w:r w:rsidRPr="00CB2E49">
        <w:rPr>
          <w:rFonts w:ascii="Arial" w:hAnsi="Arial" w:cs="Arial"/>
          <w:b/>
          <w:bCs/>
        </w:rPr>
        <w:t>Example 2:</w:t>
      </w:r>
    </w:p>
    <w:tbl>
      <w:tblPr>
        <w:tblStyle w:val="TableGrid"/>
        <w:tblW w:w="0" w:type="auto"/>
        <w:tblLook w:val="04A0" w:firstRow="1" w:lastRow="0" w:firstColumn="1" w:lastColumn="0" w:noHBand="0" w:noVBand="1"/>
      </w:tblPr>
      <w:tblGrid>
        <w:gridCol w:w="11754"/>
      </w:tblGrid>
      <w:tr w:rsidR="008A0F11" w14:paraId="003430AF" w14:textId="77777777" w:rsidTr="008A0F11">
        <w:tc>
          <w:tcPr>
            <w:tcW w:w="11754" w:type="dxa"/>
          </w:tcPr>
          <w:p w14:paraId="771C61E2" w14:textId="77777777" w:rsidR="001C79A6" w:rsidRDefault="001C79A6" w:rsidP="001C79A6">
            <w:pPr>
              <w:rPr>
                <w:rFonts w:ascii="Arial" w:hAnsi="Arial" w:cs="Arial"/>
              </w:rPr>
            </w:pPr>
          </w:p>
          <w:p w14:paraId="351C2003" w14:textId="696D5B04" w:rsidR="008A0F11" w:rsidRPr="00656A78" w:rsidRDefault="008A0F11" w:rsidP="00CB2E49">
            <w:pPr>
              <w:rPr>
                <w:rFonts w:ascii="Arial" w:hAnsi="Arial" w:cs="Arial"/>
                <w:sz w:val="24"/>
                <w:szCs w:val="24"/>
              </w:rPr>
            </w:pPr>
            <w:r w:rsidRPr="00656A78">
              <w:rPr>
                <w:rFonts w:ascii="Arial" w:hAnsi="Arial" w:cs="Arial"/>
                <w:sz w:val="24"/>
                <w:szCs w:val="24"/>
              </w:rPr>
              <w:t>Onychomycosis/Tinea Pedis exam appointment was canceled. The status in EMS shows “SCHEDULED” for the contention but “CANCELED” under the EMS status. This means the vendor only canceled the appointment and will reschedule. No action needed by the MSC</w:t>
            </w:r>
            <w:r w:rsidR="00E27EBF" w:rsidRPr="00656A78">
              <w:rPr>
                <w:rFonts w:ascii="Arial" w:hAnsi="Arial" w:cs="Arial"/>
                <w:sz w:val="24"/>
                <w:szCs w:val="24"/>
              </w:rPr>
              <w:t xml:space="preserve"> because the contention is no longer available in EMS.</w:t>
            </w:r>
          </w:p>
          <w:p w14:paraId="1304E943" w14:textId="77777777" w:rsidR="008A0F11" w:rsidRDefault="008A0F11" w:rsidP="008A0F11">
            <w:pPr>
              <w:pStyle w:val="Heading10"/>
              <w:rPr>
                <w:b w:val="0"/>
                <w:bCs/>
                <w:color w:val="auto"/>
                <w:sz w:val="24"/>
                <w:u w:val="none"/>
              </w:rPr>
            </w:pPr>
          </w:p>
          <w:p w14:paraId="2F1CD56B" w14:textId="12A450BE" w:rsidR="008A0F11" w:rsidRPr="00BD11FD" w:rsidRDefault="008A0F11" w:rsidP="00BD11FD">
            <w:pPr>
              <w:pStyle w:val="Heading10"/>
              <w:rPr>
                <w:b w:val="0"/>
                <w:bCs/>
                <w:color w:val="auto"/>
                <w:sz w:val="24"/>
                <w:u w:val="none"/>
              </w:rPr>
            </w:pPr>
            <w:r>
              <w:rPr>
                <w:noProof/>
              </w:rPr>
              <w:drawing>
                <wp:inline distT="0" distB="0" distL="0" distR="0" wp14:anchorId="42A445EC" wp14:editId="331B46ED">
                  <wp:extent cx="7470140" cy="572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470140" cy="572135"/>
                          </a:xfrm>
                          <a:prstGeom prst="rect">
                            <a:avLst/>
                          </a:prstGeom>
                          <a:noFill/>
                          <a:ln>
                            <a:noFill/>
                          </a:ln>
                        </pic:spPr>
                      </pic:pic>
                    </a:graphicData>
                  </a:graphic>
                </wp:inline>
              </w:drawing>
            </w:r>
          </w:p>
        </w:tc>
      </w:tr>
      <w:bookmarkEnd w:id="56"/>
    </w:tbl>
    <w:p w14:paraId="1B4E2E4A" w14:textId="77777777" w:rsidR="008A64A9" w:rsidRPr="008A64A9" w:rsidRDefault="008A64A9" w:rsidP="008A64A9">
      <w:pPr>
        <w:rPr>
          <w:rFonts w:ascii="Arial" w:hAnsi="Arial" w:cs="Arial"/>
        </w:rPr>
      </w:pPr>
    </w:p>
    <w:p w14:paraId="7EC99EA3" w14:textId="64B1E0E9" w:rsidR="005135FA" w:rsidRDefault="005135FA" w:rsidP="00262DF3">
      <w:pPr>
        <w:pStyle w:val="Heading10"/>
        <w:rPr>
          <w:color w:val="auto"/>
          <w:sz w:val="28"/>
          <w:szCs w:val="28"/>
        </w:rPr>
      </w:pPr>
      <w:r w:rsidRPr="005135FA">
        <w:rPr>
          <w:color w:val="auto"/>
          <w:sz w:val="28"/>
          <w:szCs w:val="28"/>
        </w:rPr>
        <w:t>Impact of the COVID-19 Pandemic on the IDES Processing</w:t>
      </w:r>
      <w:r>
        <w:rPr>
          <w:color w:val="auto"/>
          <w:sz w:val="28"/>
          <w:szCs w:val="28"/>
        </w:rPr>
        <w:t xml:space="preserve"> </w:t>
      </w:r>
      <w:r w:rsidR="008C13D3">
        <w:rPr>
          <w:color w:val="auto"/>
          <w:sz w:val="28"/>
          <w:szCs w:val="28"/>
        </w:rPr>
        <w:t>Memo</w:t>
      </w:r>
    </w:p>
    <w:p w14:paraId="4C1335FF" w14:textId="3AAE48F4" w:rsidR="005135FA" w:rsidRDefault="008C13D3" w:rsidP="00262DF3">
      <w:pPr>
        <w:pStyle w:val="Heading10"/>
        <w:rPr>
          <w:b w:val="0"/>
          <w:bCs/>
          <w:color w:val="auto"/>
          <w:sz w:val="24"/>
          <w:u w:val="none"/>
        </w:rPr>
      </w:pPr>
      <w:r w:rsidRPr="008C13D3">
        <w:rPr>
          <w:b w:val="0"/>
          <w:bCs/>
          <w:color w:val="auto"/>
          <w:sz w:val="24"/>
          <w:u w:val="none"/>
        </w:rPr>
        <w:t xml:space="preserve">Comp Service </w:t>
      </w:r>
      <w:r w:rsidR="005E7521" w:rsidRPr="005E7521">
        <w:rPr>
          <w:b w:val="0"/>
          <w:bCs/>
          <w:color w:val="auto"/>
          <w:sz w:val="24"/>
          <w:u w:val="none"/>
        </w:rPr>
        <w:t xml:space="preserve">IDES/BDD Program Office </w:t>
      </w:r>
      <w:r w:rsidRPr="008C13D3">
        <w:rPr>
          <w:b w:val="0"/>
          <w:bCs/>
          <w:color w:val="auto"/>
          <w:sz w:val="24"/>
          <w:u w:val="none"/>
        </w:rPr>
        <w:t xml:space="preserve">published this </w:t>
      </w:r>
      <w:hyperlink r:id="rId21" w:history="1">
        <w:r w:rsidRPr="008C13D3">
          <w:rPr>
            <w:rStyle w:val="Hyperlink"/>
            <w:b w:val="0"/>
            <w:bCs/>
            <w:sz w:val="24"/>
          </w:rPr>
          <w:t>memo</w:t>
        </w:r>
      </w:hyperlink>
      <w:r w:rsidRPr="008C13D3">
        <w:rPr>
          <w:b w:val="0"/>
          <w:bCs/>
          <w:color w:val="auto"/>
          <w:sz w:val="24"/>
          <w:u w:val="none"/>
        </w:rPr>
        <w:t xml:space="preserve"> dated </w:t>
      </w:r>
      <w:r>
        <w:rPr>
          <w:b w:val="0"/>
          <w:bCs/>
          <w:color w:val="auto"/>
          <w:sz w:val="24"/>
          <w:u w:val="none"/>
        </w:rPr>
        <w:t>March 27</w:t>
      </w:r>
      <w:r w:rsidRPr="008C13D3">
        <w:rPr>
          <w:b w:val="0"/>
          <w:bCs/>
          <w:color w:val="auto"/>
          <w:sz w:val="24"/>
          <w:u w:val="none"/>
        </w:rPr>
        <w:t xml:space="preserve"> information on </w:t>
      </w:r>
      <w:r w:rsidR="003F1D3E">
        <w:rPr>
          <w:b w:val="0"/>
          <w:bCs/>
          <w:color w:val="auto"/>
          <w:sz w:val="24"/>
          <w:u w:val="none"/>
        </w:rPr>
        <w:t xml:space="preserve">IDES processing </w:t>
      </w:r>
      <w:r w:rsidRPr="008C13D3">
        <w:rPr>
          <w:b w:val="0"/>
          <w:bCs/>
          <w:color w:val="auto"/>
          <w:sz w:val="24"/>
          <w:u w:val="none"/>
        </w:rPr>
        <w:t xml:space="preserve">as a result of COVID-19.  </w:t>
      </w:r>
    </w:p>
    <w:p w14:paraId="4C077F4A" w14:textId="59DAF6BB" w:rsidR="00217FD7" w:rsidRDefault="00175508" w:rsidP="00262DF3">
      <w:pPr>
        <w:pStyle w:val="Heading10"/>
        <w:rPr>
          <w:b w:val="0"/>
          <w:bCs/>
          <w:color w:val="auto"/>
          <w:sz w:val="24"/>
          <w:u w:val="none"/>
        </w:rPr>
      </w:pPr>
      <w:r>
        <w:rPr>
          <w:color w:val="auto"/>
          <w:sz w:val="28"/>
          <w:szCs w:val="28"/>
        </w:rPr>
        <w:t xml:space="preserve"> </w:t>
      </w:r>
    </w:p>
    <w:p w14:paraId="7D4B646D" w14:textId="7EE35EEC" w:rsidR="00217FD7" w:rsidRDefault="00217FD7" w:rsidP="00262DF3">
      <w:pPr>
        <w:pStyle w:val="Heading10"/>
        <w:rPr>
          <w:b w:val="0"/>
          <w:bCs/>
          <w:color w:val="auto"/>
          <w:sz w:val="24"/>
          <w:u w:val="none"/>
        </w:rPr>
      </w:pPr>
    </w:p>
    <w:p w14:paraId="37778699" w14:textId="16A36168" w:rsidR="008C13D3" w:rsidRDefault="008C13D3" w:rsidP="008C13D3">
      <w:pPr>
        <w:pStyle w:val="Heading10"/>
        <w:rPr>
          <w:sz w:val="32"/>
        </w:rPr>
      </w:pPr>
      <w:r>
        <w:rPr>
          <w:sz w:val="32"/>
        </w:rPr>
        <w:lastRenderedPageBreak/>
        <w:t>General Topics for Discussion</w:t>
      </w:r>
    </w:p>
    <w:p w14:paraId="7A0A5B7B" w14:textId="7A6488F9" w:rsidR="008C13D3" w:rsidRDefault="008C13D3" w:rsidP="00623CB5">
      <w:pPr>
        <w:pStyle w:val="Heading10"/>
        <w:rPr>
          <w:bCs/>
          <w:color w:val="201F1E"/>
          <w:sz w:val="28"/>
          <w:szCs w:val="28"/>
        </w:rPr>
      </w:pPr>
    </w:p>
    <w:p w14:paraId="654D6B90" w14:textId="1846706F" w:rsidR="00301D3A" w:rsidRPr="00301D3A" w:rsidRDefault="007829FB" w:rsidP="00173817">
      <w:pPr>
        <w:pStyle w:val="Heading10"/>
        <w:rPr>
          <w:bCs/>
          <w:color w:val="201F1E"/>
          <w:szCs w:val="28"/>
        </w:rPr>
      </w:pPr>
      <w:r>
        <w:rPr>
          <w:bCs/>
          <w:color w:val="201F1E"/>
          <w:sz w:val="28"/>
          <w:szCs w:val="28"/>
        </w:rPr>
        <w:t>MSC Conference</w:t>
      </w:r>
    </w:p>
    <w:p w14:paraId="79CCA8F9" w14:textId="56396B2A" w:rsidR="00473041" w:rsidRDefault="007829FB" w:rsidP="00473041">
      <w:pPr>
        <w:rPr>
          <w:rFonts w:ascii="Arial" w:hAnsi="Arial" w:cs="Arial"/>
          <w:bCs/>
          <w:color w:val="201F1E"/>
          <w:szCs w:val="28"/>
        </w:rPr>
      </w:pPr>
      <w:r>
        <w:rPr>
          <w:rFonts w:ascii="Arial" w:hAnsi="Arial" w:cs="Arial"/>
          <w:bCs/>
          <w:color w:val="201F1E"/>
          <w:szCs w:val="28"/>
        </w:rPr>
        <w:t xml:space="preserve">The MSC Conference scheduled for May </w:t>
      </w:r>
      <w:r w:rsidR="0085483A">
        <w:rPr>
          <w:rFonts w:ascii="Arial" w:hAnsi="Arial" w:cs="Arial"/>
          <w:bCs/>
          <w:color w:val="201F1E"/>
          <w:szCs w:val="28"/>
        </w:rPr>
        <w:t xml:space="preserve">2020 </w:t>
      </w:r>
      <w:r>
        <w:rPr>
          <w:rFonts w:ascii="Arial" w:hAnsi="Arial" w:cs="Arial"/>
          <w:bCs/>
          <w:color w:val="201F1E"/>
          <w:szCs w:val="28"/>
        </w:rPr>
        <w:t>has been postponed</w:t>
      </w:r>
      <w:r w:rsidR="00424989">
        <w:rPr>
          <w:rFonts w:ascii="Arial" w:hAnsi="Arial" w:cs="Arial"/>
          <w:bCs/>
          <w:color w:val="201F1E"/>
          <w:szCs w:val="28"/>
        </w:rPr>
        <w:t xml:space="preserve"> </w:t>
      </w:r>
      <w:r w:rsidR="00E27EBF">
        <w:rPr>
          <w:rFonts w:ascii="Arial" w:hAnsi="Arial" w:cs="Arial"/>
          <w:bCs/>
          <w:color w:val="201F1E"/>
          <w:szCs w:val="28"/>
        </w:rPr>
        <w:t xml:space="preserve">to August 2020. Information will be provided as it becomes available.  </w:t>
      </w:r>
    </w:p>
    <w:p w14:paraId="4CC5313A" w14:textId="77777777" w:rsidR="007829FB" w:rsidRDefault="007829FB" w:rsidP="00473041">
      <w:pPr>
        <w:rPr>
          <w:rFonts w:ascii="Arial" w:hAnsi="Arial" w:cs="Arial"/>
          <w:bCs/>
          <w:color w:val="201F1E"/>
          <w:szCs w:val="28"/>
        </w:rPr>
      </w:pPr>
    </w:p>
    <w:p w14:paraId="02ADBA25" w14:textId="40383B00" w:rsidR="000529D1" w:rsidRDefault="000529D1" w:rsidP="000529D1">
      <w:pPr>
        <w:pStyle w:val="Heading10"/>
        <w:rPr>
          <w:sz w:val="32"/>
        </w:rPr>
      </w:pPr>
      <w:bookmarkStart w:id="58" w:name="_Hlk34988243"/>
      <w:r>
        <w:rPr>
          <w:sz w:val="32"/>
        </w:rPr>
        <w:t xml:space="preserve">IDES Specific Topics </w:t>
      </w:r>
    </w:p>
    <w:p w14:paraId="483C4B63" w14:textId="340C74B0" w:rsidR="00175508" w:rsidRPr="0012229C" w:rsidRDefault="00175508" w:rsidP="000529D1">
      <w:pPr>
        <w:pStyle w:val="Heading10"/>
        <w:rPr>
          <w:b w:val="0"/>
          <w:bCs/>
          <w:sz w:val="24"/>
          <w:szCs w:val="20"/>
          <w:u w:val="none"/>
        </w:rPr>
      </w:pPr>
    </w:p>
    <w:p w14:paraId="62C164BB" w14:textId="1911FEFD" w:rsidR="0012229C" w:rsidRPr="00DE727F" w:rsidRDefault="0012229C" w:rsidP="004C7F3A">
      <w:pPr>
        <w:pStyle w:val="Heading10"/>
        <w:shd w:val="clear" w:color="auto" w:fill="DBE5F1" w:themeFill="accent1" w:themeFillTint="33"/>
        <w:rPr>
          <w:b w:val="0"/>
          <w:bCs/>
          <w:color w:val="FF0000"/>
          <w:sz w:val="24"/>
          <w:szCs w:val="20"/>
          <w:u w:val="none"/>
        </w:rPr>
      </w:pPr>
      <w:r w:rsidRPr="00DE727F">
        <w:rPr>
          <w:color w:val="FF0000"/>
          <w:sz w:val="24"/>
          <w:szCs w:val="20"/>
          <w:u w:val="none"/>
        </w:rPr>
        <w:t>UPDATE:</w:t>
      </w:r>
      <w:r w:rsidRPr="00DE727F">
        <w:rPr>
          <w:b w:val="0"/>
          <w:bCs/>
          <w:color w:val="FF0000"/>
          <w:sz w:val="24"/>
          <w:szCs w:val="20"/>
          <w:u w:val="none"/>
        </w:rPr>
        <w:t xml:space="preserve">  Please disregard references to the need for the Intake </w:t>
      </w:r>
      <w:r w:rsidR="00BE7519" w:rsidRPr="00DE727F">
        <w:rPr>
          <w:b w:val="0"/>
          <w:bCs/>
          <w:color w:val="FF0000"/>
          <w:sz w:val="24"/>
          <w:szCs w:val="20"/>
          <w:u w:val="none"/>
        </w:rPr>
        <w:t>Analyst</w:t>
      </w:r>
      <w:r w:rsidRPr="00DE727F">
        <w:rPr>
          <w:b w:val="0"/>
          <w:bCs/>
          <w:color w:val="FF0000"/>
          <w:sz w:val="24"/>
          <w:szCs w:val="20"/>
          <w:u w:val="none"/>
        </w:rPr>
        <w:t xml:space="preserve"> Role for MSCs discussed on the teleconference call and indicated on the earlier version of the Read-ahead.   </w:t>
      </w:r>
    </w:p>
    <w:p w14:paraId="10B1C662" w14:textId="0F146A2E" w:rsidR="0012229C" w:rsidRPr="00DE727F" w:rsidRDefault="0012229C" w:rsidP="004C7F3A">
      <w:pPr>
        <w:pStyle w:val="Heading10"/>
        <w:shd w:val="clear" w:color="auto" w:fill="DBE5F1" w:themeFill="accent1" w:themeFillTint="33"/>
        <w:rPr>
          <w:b w:val="0"/>
          <w:bCs/>
          <w:color w:val="FF0000"/>
          <w:sz w:val="24"/>
          <w:szCs w:val="20"/>
          <w:u w:val="none"/>
        </w:rPr>
      </w:pPr>
    </w:p>
    <w:p w14:paraId="20E94D79" w14:textId="4CBAD413" w:rsidR="00DE727F" w:rsidRPr="00DE727F" w:rsidRDefault="0012229C" w:rsidP="004C7F3A">
      <w:pPr>
        <w:pStyle w:val="Heading10"/>
        <w:shd w:val="clear" w:color="auto" w:fill="DBE5F1" w:themeFill="accent1" w:themeFillTint="33"/>
        <w:rPr>
          <w:b w:val="0"/>
          <w:bCs/>
          <w:color w:val="FF0000"/>
          <w:sz w:val="24"/>
          <w:szCs w:val="20"/>
          <w:u w:val="none"/>
        </w:rPr>
      </w:pPr>
      <w:r w:rsidRPr="00DE727F">
        <w:rPr>
          <w:b w:val="0"/>
          <w:bCs/>
          <w:color w:val="FF0000"/>
          <w:sz w:val="24"/>
          <w:szCs w:val="20"/>
          <w:u w:val="none"/>
        </w:rPr>
        <w:t xml:space="preserve">IDES MSCs do not require the Intake Analyst Role (or any </w:t>
      </w:r>
      <w:r w:rsidRPr="00870208">
        <w:rPr>
          <w:b w:val="0"/>
          <w:bCs/>
          <w:color w:val="FF0000"/>
          <w:sz w:val="24"/>
          <w:szCs w:val="20"/>
          <w:u w:val="none"/>
        </w:rPr>
        <w:t xml:space="preserve">other special VBMS permissions) to utilize either of the </w:t>
      </w:r>
      <w:proofErr w:type="spellStart"/>
      <w:r w:rsidRPr="00870208">
        <w:rPr>
          <w:b w:val="0"/>
          <w:bCs/>
          <w:color w:val="FF0000"/>
          <w:sz w:val="24"/>
          <w:szCs w:val="20"/>
          <w:u w:val="none"/>
        </w:rPr>
        <w:t>eBenefits</w:t>
      </w:r>
      <w:proofErr w:type="spellEnd"/>
      <w:r w:rsidRPr="00870208">
        <w:rPr>
          <w:b w:val="0"/>
          <w:bCs/>
          <w:color w:val="FF0000"/>
          <w:sz w:val="24"/>
          <w:szCs w:val="20"/>
          <w:u w:val="none"/>
        </w:rPr>
        <w:t xml:space="preserve"> workaround</w:t>
      </w:r>
      <w:r w:rsidR="00C07AFB" w:rsidRPr="00870208">
        <w:rPr>
          <w:b w:val="0"/>
          <w:bCs/>
          <w:color w:val="FF0000"/>
          <w:sz w:val="24"/>
          <w:szCs w:val="20"/>
          <w:u w:val="none"/>
        </w:rPr>
        <w:t>s</w:t>
      </w:r>
      <w:r w:rsidRPr="00870208">
        <w:rPr>
          <w:b w:val="0"/>
          <w:bCs/>
          <w:color w:val="FF0000"/>
          <w:sz w:val="24"/>
          <w:szCs w:val="20"/>
          <w:u w:val="none"/>
        </w:rPr>
        <w:t xml:space="preserve"> described below. </w:t>
      </w:r>
      <w:r w:rsidR="00DE727F" w:rsidRPr="00870208">
        <w:rPr>
          <w:b w:val="0"/>
          <w:bCs/>
          <w:color w:val="FF0000"/>
          <w:sz w:val="24"/>
          <w:szCs w:val="20"/>
          <w:u w:val="none"/>
        </w:rPr>
        <w:t>Contrary to previous indications</w:t>
      </w:r>
      <w:r w:rsidR="00870208" w:rsidRPr="00870208">
        <w:rPr>
          <w:b w:val="0"/>
          <w:bCs/>
          <w:color w:val="FF0000"/>
          <w:sz w:val="24"/>
          <w:szCs w:val="20"/>
          <w:u w:val="none"/>
        </w:rPr>
        <w:t>,</w:t>
      </w:r>
      <w:r w:rsidR="00C07AFB" w:rsidRPr="00870208">
        <w:rPr>
          <w:b w:val="0"/>
          <w:bCs/>
          <w:color w:val="FF0000"/>
          <w:sz w:val="24"/>
          <w:szCs w:val="20"/>
          <w:u w:val="none"/>
        </w:rPr>
        <w:t xml:space="preserve"> it</w:t>
      </w:r>
      <w:r w:rsidR="00DE727F" w:rsidRPr="00870208">
        <w:rPr>
          <w:b w:val="0"/>
          <w:bCs/>
          <w:color w:val="FF0000"/>
          <w:sz w:val="24"/>
          <w:szCs w:val="20"/>
          <w:u w:val="none"/>
        </w:rPr>
        <w:t xml:space="preserve"> </w:t>
      </w:r>
      <w:r w:rsidRPr="00870208">
        <w:rPr>
          <w:b w:val="0"/>
          <w:bCs/>
          <w:color w:val="FF0000"/>
          <w:sz w:val="24"/>
          <w:szCs w:val="20"/>
          <w:u w:val="none"/>
        </w:rPr>
        <w:t xml:space="preserve">is </w:t>
      </w:r>
      <w:r w:rsidRPr="00870208">
        <w:rPr>
          <w:color w:val="FF0000"/>
          <w:sz w:val="24"/>
          <w:szCs w:val="20"/>
          <w:u w:val="none"/>
        </w:rPr>
        <w:t>not</w:t>
      </w:r>
      <w:r w:rsidRPr="00870208">
        <w:rPr>
          <w:b w:val="0"/>
          <w:bCs/>
          <w:color w:val="FF0000"/>
          <w:sz w:val="24"/>
          <w:szCs w:val="20"/>
          <w:u w:val="none"/>
        </w:rPr>
        <w:t xml:space="preserve"> necessary for the MSC to have the ability to assign cases to themselves </w:t>
      </w:r>
      <w:r w:rsidR="00DE727F" w:rsidRPr="00870208">
        <w:rPr>
          <w:b w:val="0"/>
          <w:bCs/>
          <w:color w:val="FF0000"/>
          <w:sz w:val="24"/>
          <w:szCs w:val="20"/>
          <w:u w:val="none"/>
        </w:rPr>
        <w:t xml:space="preserve">in VBMS </w:t>
      </w:r>
      <w:r w:rsidR="00C07AFB" w:rsidRPr="00870208">
        <w:rPr>
          <w:b w:val="0"/>
          <w:bCs/>
          <w:color w:val="FF0000"/>
          <w:sz w:val="24"/>
          <w:szCs w:val="20"/>
          <w:u w:val="none"/>
        </w:rPr>
        <w:t xml:space="preserve">in order </w:t>
      </w:r>
      <w:r w:rsidRPr="00870208">
        <w:rPr>
          <w:b w:val="0"/>
          <w:bCs/>
          <w:color w:val="FF0000"/>
          <w:sz w:val="24"/>
          <w:szCs w:val="20"/>
          <w:u w:val="none"/>
        </w:rPr>
        <w:t>t</w:t>
      </w:r>
      <w:r w:rsidR="00BD11FD" w:rsidRPr="00870208">
        <w:rPr>
          <w:b w:val="0"/>
          <w:bCs/>
          <w:color w:val="FF0000"/>
          <w:sz w:val="24"/>
          <w:szCs w:val="20"/>
          <w:u w:val="none"/>
        </w:rPr>
        <w:t>o</w:t>
      </w:r>
      <w:r w:rsidRPr="00870208">
        <w:rPr>
          <w:b w:val="0"/>
          <w:bCs/>
          <w:color w:val="FF0000"/>
          <w:sz w:val="24"/>
          <w:szCs w:val="20"/>
          <w:u w:val="none"/>
        </w:rPr>
        <w:t xml:space="preserve"> complete the </w:t>
      </w:r>
      <w:r w:rsidR="00BD11FD" w:rsidRPr="00870208">
        <w:rPr>
          <w:b w:val="0"/>
          <w:bCs/>
          <w:color w:val="FF0000"/>
          <w:sz w:val="24"/>
          <w:szCs w:val="20"/>
          <w:u w:val="none"/>
        </w:rPr>
        <w:t>required actions described under</w:t>
      </w:r>
      <w:r w:rsidR="00DE727F" w:rsidRPr="00870208">
        <w:rPr>
          <w:b w:val="0"/>
          <w:bCs/>
          <w:color w:val="FF0000"/>
          <w:sz w:val="24"/>
          <w:szCs w:val="20"/>
          <w:u w:val="none"/>
        </w:rPr>
        <w:t xml:space="preserve"> Method 2</w:t>
      </w:r>
      <w:r w:rsidR="00BD11FD" w:rsidRPr="00870208">
        <w:rPr>
          <w:b w:val="0"/>
          <w:bCs/>
          <w:color w:val="FF0000"/>
          <w:sz w:val="24"/>
          <w:szCs w:val="20"/>
          <w:u w:val="none"/>
        </w:rPr>
        <w:t xml:space="preserve">. These changes have been </w:t>
      </w:r>
      <w:r w:rsidR="00BE7519" w:rsidRPr="00870208">
        <w:rPr>
          <w:b w:val="0"/>
          <w:bCs/>
          <w:color w:val="FF0000"/>
          <w:sz w:val="24"/>
          <w:szCs w:val="20"/>
          <w:u w:val="none"/>
        </w:rPr>
        <w:t>incorporated</w:t>
      </w:r>
      <w:r w:rsidR="00BD11FD" w:rsidRPr="00870208">
        <w:rPr>
          <w:b w:val="0"/>
          <w:bCs/>
          <w:color w:val="FF0000"/>
          <w:sz w:val="24"/>
          <w:szCs w:val="20"/>
          <w:u w:val="none"/>
        </w:rPr>
        <w:t xml:space="preserve"> in the updated</w:t>
      </w:r>
      <w:r w:rsidR="00BD11FD">
        <w:rPr>
          <w:b w:val="0"/>
          <w:bCs/>
          <w:color w:val="FF0000"/>
          <w:sz w:val="24"/>
          <w:szCs w:val="20"/>
          <w:u w:val="none"/>
        </w:rPr>
        <w:t xml:space="preserve"> message/table below. </w:t>
      </w:r>
    </w:p>
    <w:p w14:paraId="123FDB20" w14:textId="77777777" w:rsidR="00DE727F" w:rsidRPr="004C7F3A" w:rsidRDefault="00DE727F" w:rsidP="004C7F3A">
      <w:pPr>
        <w:pStyle w:val="Heading10"/>
        <w:shd w:val="clear" w:color="auto" w:fill="DBE5F1" w:themeFill="accent1" w:themeFillTint="33"/>
        <w:rPr>
          <w:color w:val="FF0000"/>
          <w:sz w:val="24"/>
          <w:szCs w:val="20"/>
          <w:u w:val="none"/>
        </w:rPr>
      </w:pPr>
    </w:p>
    <w:p w14:paraId="1D3A329E" w14:textId="6435234E" w:rsidR="0012229C" w:rsidRPr="00DE727F" w:rsidRDefault="00DE727F" w:rsidP="004C7F3A">
      <w:pPr>
        <w:pStyle w:val="Heading10"/>
        <w:shd w:val="clear" w:color="auto" w:fill="DBE5F1" w:themeFill="accent1" w:themeFillTint="33"/>
        <w:rPr>
          <w:b w:val="0"/>
          <w:bCs/>
          <w:color w:val="FF0000"/>
          <w:sz w:val="24"/>
          <w:szCs w:val="20"/>
          <w:u w:val="none"/>
        </w:rPr>
      </w:pPr>
      <w:r w:rsidRPr="004C7F3A">
        <w:rPr>
          <w:color w:val="FF0000"/>
          <w:sz w:val="24"/>
          <w:szCs w:val="20"/>
          <w:u w:val="none"/>
        </w:rPr>
        <w:t>I</w:t>
      </w:r>
      <w:r w:rsidR="004C7F3A" w:rsidRPr="004C7F3A">
        <w:rPr>
          <w:color w:val="FF0000"/>
          <w:sz w:val="24"/>
          <w:szCs w:val="20"/>
          <w:u w:val="none"/>
        </w:rPr>
        <w:t>mportant</w:t>
      </w:r>
      <w:r w:rsidR="004C7F3A">
        <w:rPr>
          <w:b w:val="0"/>
          <w:bCs/>
          <w:color w:val="FF0000"/>
          <w:sz w:val="24"/>
          <w:szCs w:val="20"/>
          <w:u w:val="none"/>
        </w:rPr>
        <w:t>: It</w:t>
      </w:r>
      <w:r w:rsidRPr="00DE727F">
        <w:rPr>
          <w:b w:val="0"/>
          <w:bCs/>
          <w:color w:val="FF0000"/>
          <w:sz w:val="24"/>
          <w:szCs w:val="20"/>
          <w:u w:val="none"/>
        </w:rPr>
        <w:t xml:space="preserve"> </w:t>
      </w:r>
      <w:r w:rsidR="004C7F3A">
        <w:rPr>
          <w:b w:val="0"/>
          <w:bCs/>
          <w:color w:val="FF0000"/>
          <w:sz w:val="24"/>
          <w:szCs w:val="20"/>
          <w:u w:val="none"/>
        </w:rPr>
        <w:t xml:space="preserve">still </w:t>
      </w:r>
      <w:r w:rsidR="0012229C" w:rsidRPr="00DE727F">
        <w:rPr>
          <w:b w:val="0"/>
          <w:bCs/>
          <w:color w:val="FF0000"/>
          <w:sz w:val="24"/>
          <w:szCs w:val="20"/>
          <w:u w:val="none"/>
        </w:rPr>
        <w:t>remains critical</w:t>
      </w:r>
      <w:r w:rsidRPr="00DE727F">
        <w:rPr>
          <w:b w:val="0"/>
          <w:bCs/>
          <w:color w:val="FF0000"/>
          <w:sz w:val="24"/>
          <w:szCs w:val="20"/>
          <w:u w:val="none"/>
        </w:rPr>
        <w:t xml:space="preserve"> that the MSC take timely action to cancel any system</w:t>
      </w:r>
      <w:r w:rsidR="00BD11FD">
        <w:rPr>
          <w:b w:val="0"/>
          <w:bCs/>
          <w:color w:val="FF0000"/>
          <w:sz w:val="24"/>
          <w:szCs w:val="20"/>
          <w:u w:val="none"/>
        </w:rPr>
        <w:t>-</w:t>
      </w:r>
      <w:r w:rsidRPr="00DE727F">
        <w:rPr>
          <w:b w:val="0"/>
          <w:bCs/>
          <w:color w:val="FF0000"/>
          <w:sz w:val="24"/>
          <w:szCs w:val="20"/>
          <w:u w:val="none"/>
        </w:rPr>
        <w:t xml:space="preserve">generated EP </w:t>
      </w:r>
      <w:r w:rsidR="00BD11FD">
        <w:rPr>
          <w:b w:val="0"/>
          <w:bCs/>
          <w:color w:val="FF0000"/>
          <w:sz w:val="24"/>
          <w:szCs w:val="20"/>
          <w:u w:val="none"/>
        </w:rPr>
        <w:t xml:space="preserve">that is </w:t>
      </w:r>
      <w:r w:rsidRPr="00DE727F">
        <w:rPr>
          <w:b w:val="0"/>
          <w:bCs/>
          <w:color w:val="FF0000"/>
          <w:sz w:val="24"/>
          <w:szCs w:val="20"/>
          <w:u w:val="none"/>
        </w:rPr>
        <w:t xml:space="preserve">established as a result of an IDES application that is submitted via eBenefits (as specified in </w:t>
      </w:r>
      <w:r w:rsidR="00BD11FD">
        <w:rPr>
          <w:b w:val="0"/>
          <w:bCs/>
          <w:color w:val="FF0000"/>
          <w:sz w:val="24"/>
          <w:szCs w:val="20"/>
          <w:u w:val="none"/>
        </w:rPr>
        <w:t xml:space="preserve">Step 8 of </w:t>
      </w:r>
      <w:r w:rsidRPr="00DE727F">
        <w:rPr>
          <w:b w:val="0"/>
          <w:bCs/>
          <w:color w:val="FF0000"/>
          <w:sz w:val="24"/>
          <w:szCs w:val="20"/>
          <w:u w:val="none"/>
        </w:rPr>
        <w:t>the table below)</w:t>
      </w:r>
      <w:r w:rsidR="00BD11FD">
        <w:rPr>
          <w:b w:val="0"/>
          <w:bCs/>
          <w:color w:val="FF0000"/>
          <w:sz w:val="24"/>
          <w:szCs w:val="20"/>
          <w:u w:val="none"/>
        </w:rPr>
        <w:t xml:space="preserve">. </w:t>
      </w:r>
    </w:p>
    <w:p w14:paraId="2ED0AC84" w14:textId="77777777" w:rsidR="0012229C" w:rsidRDefault="0012229C" w:rsidP="000529D1">
      <w:pPr>
        <w:pStyle w:val="Heading10"/>
        <w:rPr>
          <w:sz w:val="32"/>
        </w:rPr>
      </w:pPr>
    </w:p>
    <w:p w14:paraId="5F2814F1" w14:textId="5B26425B" w:rsidR="00175508" w:rsidRPr="00175508" w:rsidRDefault="00175508" w:rsidP="00175508">
      <w:pPr>
        <w:rPr>
          <w:rFonts w:ascii="Arial" w:hAnsi="Arial" w:cs="Arial"/>
          <w:b/>
          <w:bCs/>
          <w:sz w:val="28"/>
          <w:szCs w:val="28"/>
          <w:u w:val="single"/>
        </w:rPr>
      </w:pPr>
      <w:r w:rsidRPr="008F3A5D">
        <w:rPr>
          <w:rFonts w:ascii="Arial" w:hAnsi="Arial" w:cs="Arial"/>
          <w:b/>
          <w:bCs/>
          <w:sz w:val="28"/>
          <w:szCs w:val="28"/>
          <w:u w:val="single"/>
        </w:rPr>
        <w:t>Transmission of IDES Applications/Documents via eBenefits</w:t>
      </w:r>
    </w:p>
    <w:p w14:paraId="1FB851DF" w14:textId="58C9BA0A" w:rsidR="00175508" w:rsidRPr="00B85292" w:rsidRDefault="00175508" w:rsidP="00175508">
      <w:pPr>
        <w:pStyle w:val="Default"/>
      </w:pPr>
      <w:r w:rsidRPr="00B85292">
        <w:t xml:space="preserve">In accordance with social distancing requirements, MSCs are encouraged to complete IDES Initial Interviews telephonically (as described in </w:t>
      </w:r>
      <w:hyperlink r:id="rId22" w:anchor="4" w:history="1">
        <w:r w:rsidR="00403A3F" w:rsidRPr="004F2690">
          <w:rPr>
            <w:rStyle w:val="Hyperlink"/>
          </w:rPr>
          <w:t>M21-1 III.i.2.D.4.</w:t>
        </w:r>
        <w:r w:rsidR="00403A3F">
          <w:rPr>
            <w:rStyle w:val="Hyperlink"/>
          </w:rPr>
          <w:t>d</w:t>
        </w:r>
      </w:hyperlink>
      <w:r w:rsidRPr="00B85292">
        <w:t>) to the fullest extent possible during the pandemic.</w:t>
      </w:r>
      <w:bookmarkStart w:id="59" w:name="_Hlk37254607"/>
      <w:r w:rsidRPr="00B85292">
        <w:t xml:space="preserve"> </w:t>
      </w:r>
      <w:bookmarkStart w:id="60" w:name="_Hlk37687845"/>
      <w:r w:rsidR="00403A3F">
        <w:fldChar w:fldCharType="begin"/>
      </w:r>
      <w:r w:rsidR="00403A3F">
        <w:instrText xml:space="preserve"> HYPERLINK "https://vaww.vrm.km.va.gov/system/templates/selfservice/va_kanew/help/agent/locale/en-US/portal/554400000001034/content/554400000033257/M21-1-Part-III-Subpart-i-Chapter-2-Section-D-Overview-of-the-Integrated-Disability-Evaluation-System-IDES-and-Initial-Claims-Development?query=ides" \l "4" </w:instrText>
      </w:r>
      <w:r w:rsidR="00403A3F">
        <w:fldChar w:fldCharType="separate"/>
      </w:r>
      <w:r w:rsidR="00403A3F" w:rsidRPr="004F2690">
        <w:rPr>
          <w:rStyle w:val="Hyperlink"/>
        </w:rPr>
        <w:t>M21-1 III.i.</w:t>
      </w:r>
      <w:proofErr w:type="gramStart"/>
      <w:r w:rsidR="00403A3F" w:rsidRPr="004F2690">
        <w:rPr>
          <w:rStyle w:val="Hyperlink"/>
        </w:rPr>
        <w:t>2.D.4.f</w:t>
      </w:r>
      <w:proofErr w:type="gramEnd"/>
      <w:r w:rsidR="00403A3F">
        <w:fldChar w:fldCharType="end"/>
      </w:r>
      <w:bookmarkEnd w:id="59"/>
      <w:bookmarkEnd w:id="60"/>
      <w:r w:rsidR="00403A3F">
        <w:t xml:space="preserve"> </w:t>
      </w:r>
      <w:r w:rsidRPr="00B85292">
        <w:t>discusses three means for participants to return documents to the MSC: SAFE, encrypted email, and secure fax. It is recognized that each of these means have limitations and present challenges which may complicate and/or delay document transmission.</w:t>
      </w:r>
      <w:r w:rsidR="00B85292">
        <w:t xml:space="preserve"> </w:t>
      </w:r>
      <w:r w:rsidRPr="00B85292">
        <w:t xml:space="preserve">These challenges are now compounded by the fact that effectively all IDES interviews are completed telephonically. As such, an alternative procedure (using eBenefits) will now be allowed in limited circumstances to facilitate transmission of applications and supporting documents from IDES participants.  </w:t>
      </w:r>
    </w:p>
    <w:p w14:paraId="7D299633" w14:textId="77777777" w:rsidR="00175508" w:rsidRDefault="00175508" w:rsidP="00175508">
      <w:pPr>
        <w:pStyle w:val="Default"/>
        <w:rPr>
          <w:sz w:val="22"/>
          <w:szCs w:val="22"/>
        </w:rPr>
      </w:pPr>
    </w:p>
    <w:p w14:paraId="3F741997" w14:textId="4DF2E7BA" w:rsidR="00175508" w:rsidRPr="00B85292" w:rsidRDefault="00175508" w:rsidP="00175508">
      <w:pPr>
        <w:rPr>
          <w:rFonts w:ascii="Arial" w:hAnsi="Arial" w:cs="Arial"/>
        </w:rPr>
      </w:pPr>
      <w:r w:rsidRPr="00B85292">
        <w:rPr>
          <w:rFonts w:ascii="Arial" w:hAnsi="Arial" w:cs="Arial"/>
          <w:b/>
          <w:bCs/>
        </w:rPr>
        <w:t>Note:</w:t>
      </w:r>
      <w:r w:rsidRPr="00B85292">
        <w:rPr>
          <w:rFonts w:ascii="Arial" w:hAnsi="Arial" w:cs="Arial"/>
        </w:rPr>
        <w:t xml:space="preserve"> The processes described below are temporary workarounds intended to mitigate complications associated with the COVID-19 Pandemic, and address challenges associated with telephone interviews.</w:t>
      </w:r>
      <w:r w:rsidR="00B85292">
        <w:rPr>
          <w:rFonts w:ascii="Arial" w:hAnsi="Arial" w:cs="Arial"/>
        </w:rPr>
        <w:t xml:space="preserve"> </w:t>
      </w:r>
      <w:r w:rsidRPr="00B85292">
        <w:rPr>
          <w:rFonts w:ascii="Arial" w:hAnsi="Arial" w:cs="Arial"/>
        </w:rPr>
        <w:t xml:space="preserve">The guidance does not represent a permanent change to IDES application procedures; these workarounds will remain allowable until further notice. </w:t>
      </w:r>
    </w:p>
    <w:p w14:paraId="08D12547" w14:textId="77777777" w:rsidR="00175508" w:rsidRPr="00B85292" w:rsidRDefault="00175508" w:rsidP="00175508">
      <w:pPr>
        <w:rPr>
          <w:rFonts w:ascii="Arial" w:hAnsi="Arial" w:cs="Arial"/>
        </w:rPr>
      </w:pPr>
    </w:p>
    <w:p w14:paraId="64068175" w14:textId="77777777" w:rsidR="00175508" w:rsidRPr="00B85292" w:rsidRDefault="00175508" w:rsidP="00175508">
      <w:pPr>
        <w:rPr>
          <w:rFonts w:ascii="Arial" w:hAnsi="Arial" w:cs="Arial"/>
          <w:b/>
          <w:bCs/>
        </w:rPr>
      </w:pPr>
      <w:r w:rsidRPr="00B85292">
        <w:rPr>
          <w:rFonts w:ascii="Arial" w:hAnsi="Arial" w:cs="Arial"/>
          <w:b/>
          <w:bCs/>
        </w:rPr>
        <w:t xml:space="preserve">Method 1:  Uploading Supporting Documents via eBenefits </w:t>
      </w:r>
    </w:p>
    <w:p w14:paraId="68A149E8" w14:textId="05909E0F" w:rsidR="00175508" w:rsidRPr="00B85292" w:rsidRDefault="00175508" w:rsidP="00175508">
      <w:pPr>
        <w:rPr>
          <w:rFonts w:ascii="Arial" w:hAnsi="Arial" w:cs="Arial"/>
        </w:rPr>
      </w:pPr>
      <w:r w:rsidRPr="00B85292">
        <w:rPr>
          <w:rFonts w:ascii="Arial" w:hAnsi="Arial" w:cs="Arial"/>
        </w:rPr>
        <w:t xml:space="preserve">In addition to the means to return documents identified in </w:t>
      </w:r>
      <w:hyperlink r:id="rId23" w:anchor="4" w:history="1">
        <w:r w:rsidR="004F2690" w:rsidRPr="004F2690">
          <w:rPr>
            <w:rStyle w:val="Hyperlink"/>
            <w:rFonts w:ascii="Arial" w:hAnsi="Arial" w:cs="Arial"/>
          </w:rPr>
          <w:t>M21-1 III.i.2.D.4.f</w:t>
        </w:r>
      </w:hyperlink>
      <w:r w:rsidRPr="00B85292">
        <w:rPr>
          <w:rFonts w:ascii="Arial" w:hAnsi="Arial" w:cs="Arial"/>
        </w:rPr>
        <w:t xml:space="preserve">, MSCs may now advise IDES participants that they can return documents (including the completed VA Form 21-526EZ) using the </w:t>
      </w:r>
      <w:r w:rsidRPr="00B85292">
        <w:rPr>
          <w:rFonts w:ascii="Arial" w:hAnsi="Arial" w:cs="Arial"/>
          <w:i/>
          <w:iCs/>
        </w:rPr>
        <w:t>Upload Supporting Documents</w:t>
      </w:r>
      <w:r w:rsidRPr="00B85292">
        <w:rPr>
          <w:rFonts w:ascii="Arial" w:hAnsi="Arial" w:cs="Arial"/>
        </w:rPr>
        <w:t xml:space="preserve"> functionality in eBenefits.  </w:t>
      </w:r>
    </w:p>
    <w:p w14:paraId="0E9D3269" w14:textId="77777777" w:rsidR="00175508" w:rsidRPr="00B85292" w:rsidRDefault="00175508" w:rsidP="00175508">
      <w:pPr>
        <w:rPr>
          <w:rFonts w:ascii="Arial" w:hAnsi="Arial" w:cs="Arial"/>
        </w:rPr>
      </w:pPr>
    </w:p>
    <w:p w14:paraId="3FA3938D" w14:textId="04D1FD55" w:rsidR="00175508" w:rsidRPr="00B85292" w:rsidRDefault="00175508" w:rsidP="00175508">
      <w:pPr>
        <w:pStyle w:val="NoSpacing"/>
        <w:rPr>
          <w:rFonts w:ascii="Arial" w:hAnsi="Arial" w:cs="Arial"/>
        </w:rPr>
      </w:pPr>
      <w:r w:rsidRPr="00B85292">
        <w:rPr>
          <w:rFonts w:ascii="Arial" w:hAnsi="Arial" w:cs="Arial"/>
        </w:rPr>
        <w:t>To upload documents in eBenefits, the participant must have a pending EP 689, (which should have been established by the MSC in advance of the initial interview per standard IDES procedure).</w:t>
      </w:r>
      <w:r w:rsidR="00B85292">
        <w:rPr>
          <w:rFonts w:ascii="Arial" w:hAnsi="Arial" w:cs="Arial"/>
        </w:rPr>
        <w:t xml:space="preserve"> </w:t>
      </w:r>
      <w:r w:rsidRPr="00B85292">
        <w:rPr>
          <w:rFonts w:ascii="Arial" w:hAnsi="Arial" w:cs="Arial"/>
        </w:rPr>
        <w:t xml:space="preserve">Additionally, the MSC must advise the participant to:  </w:t>
      </w:r>
    </w:p>
    <w:p w14:paraId="016064EA" w14:textId="0248D61D" w:rsidR="00175508" w:rsidRPr="00B85292" w:rsidRDefault="00175508" w:rsidP="00175508">
      <w:pPr>
        <w:pStyle w:val="ListParagraph"/>
        <w:numPr>
          <w:ilvl w:val="0"/>
          <w:numId w:val="39"/>
        </w:numPr>
        <w:spacing w:after="160" w:line="259" w:lineRule="auto"/>
        <w:rPr>
          <w:rFonts w:ascii="Arial" w:hAnsi="Arial" w:cs="Arial"/>
        </w:rPr>
      </w:pPr>
      <w:r w:rsidRPr="00B85292">
        <w:rPr>
          <w:rFonts w:ascii="Arial" w:hAnsi="Arial" w:cs="Arial"/>
        </w:rPr>
        <w:lastRenderedPageBreak/>
        <w:t xml:space="preserve">complete and sign the </w:t>
      </w:r>
      <w:r w:rsidR="007C57DA">
        <w:rPr>
          <w:rFonts w:ascii="Arial" w:hAnsi="Arial" w:cs="Arial"/>
        </w:rPr>
        <w:t xml:space="preserve">VA Form </w:t>
      </w:r>
      <w:r w:rsidRPr="00B85292">
        <w:rPr>
          <w:rFonts w:ascii="Arial" w:hAnsi="Arial" w:cs="Arial"/>
        </w:rPr>
        <w:t>21-526EZ in hard copy or via fillable PDF,</w:t>
      </w:r>
    </w:p>
    <w:p w14:paraId="6A0C0C91" w14:textId="77777777" w:rsidR="00175508" w:rsidRPr="00B85292" w:rsidRDefault="00175508" w:rsidP="00175508">
      <w:pPr>
        <w:pStyle w:val="ListParagraph"/>
        <w:numPr>
          <w:ilvl w:val="0"/>
          <w:numId w:val="39"/>
        </w:numPr>
        <w:spacing w:after="160" w:line="259" w:lineRule="auto"/>
        <w:rPr>
          <w:rFonts w:ascii="Arial" w:hAnsi="Arial" w:cs="Arial"/>
        </w:rPr>
      </w:pPr>
      <w:r w:rsidRPr="00B85292">
        <w:rPr>
          <w:rFonts w:ascii="Arial" w:hAnsi="Arial" w:cs="Arial"/>
        </w:rPr>
        <w:t>log in (or register for) eBenefits,</w:t>
      </w:r>
    </w:p>
    <w:p w14:paraId="6B4B1348" w14:textId="77777777" w:rsidR="00175508" w:rsidRPr="00B85292" w:rsidRDefault="00175508" w:rsidP="00175508">
      <w:pPr>
        <w:pStyle w:val="ListParagraph"/>
        <w:numPr>
          <w:ilvl w:val="0"/>
          <w:numId w:val="39"/>
        </w:numPr>
        <w:spacing w:after="160" w:line="259" w:lineRule="auto"/>
        <w:rPr>
          <w:rFonts w:ascii="Arial" w:hAnsi="Arial" w:cs="Arial"/>
        </w:rPr>
      </w:pPr>
      <w:r w:rsidRPr="00B85292">
        <w:rPr>
          <w:rFonts w:ascii="Arial" w:hAnsi="Arial" w:cs="Arial"/>
        </w:rPr>
        <w:t xml:space="preserve">follow prompts to </w:t>
      </w:r>
      <w:r w:rsidRPr="00B85292">
        <w:rPr>
          <w:rFonts w:ascii="Arial" w:hAnsi="Arial" w:cs="Arial"/>
          <w:i/>
          <w:iCs/>
        </w:rPr>
        <w:t>Upload Supporting Documents</w:t>
      </w:r>
      <w:r w:rsidRPr="00B85292">
        <w:rPr>
          <w:rFonts w:ascii="Arial" w:hAnsi="Arial" w:cs="Arial"/>
        </w:rPr>
        <w:t xml:space="preserve">, and </w:t>
      </w:r>
    </w:p>
    <w:p w14:paraId="3A2F9915" w14:textId="77777777" w:rsidR="00175508" w:rsidRPr="00B85292" w:rsidRDefault="00175508" w:rsidP="00175508">
      <w:pPr>
        <w:pStyle w:val="ListParagraph"/>
        <w:numPr>
          <w:ilvl w:val="0"/>
          <w:numId w:val="39"/>
        </w:numPr>
        <w:spacing w:after="160" w:line="259" w:lineRule="auto"/>
        <w:rPr>
          <w:rFonts w:ascii="Arial" w:hAnsi="Arial" w:cs="Arial"/>
        </w:rPr>
      </w:pPr>
      <w:r w:rsidRPr="00B85292">
        <w:rPr>
          <w:rFonts w:ascii="Arial" w:hAnsi="Arial" w:cs="Arial"/>
        </w:rPr>
        <w:t xml:space="preserve">notify the MSC that the documents have been successfully uploaded </w:t>
      </w:r>
    </w:p>
    <w:p w14:paraId="4F109212" w14:textId="77777777" w:rsidR="00175508" w:rsidRPr="00B85292" w:rsidRDefault="00175508" w:rsidP="00175508">
      <w:pPr>
        <w:pStyle w:val="NoSpacing"/>
        <w:rPr>
          <w:rFonts w:ascii="Arial" w:hAnsi="Arial" w:cs="Arial"/>
        </w:rPr>
      </w:pPr>
      <w:r w:rsidRPr="00B85292">
        <w:rPr>
          <w:rFonts w:ascii="Arial" w:hAnsi="Arial" w:cs="Arial"/>
        </w:rPr>
        <w:t xml:space="preserve">After the participant takes the actions described above, the MSC must: </w:t>
      </w:r>
    </w:p>
    <w:p w14:paraId="49C09567" w14:textId="77777777" w:rsidR="00175508" w:rsidRPr="00B85292" w:rsidRDefault="00175508" w:rsidP="00175508">
      <w:pPr>
        <w:pStyle w:val="ListParagraph"/>
        <w:numPr>
          <w:ilvl w:val="0"/>
          <w:numId w:val="40"/>
        </w:numPr>
        <w:spacing w:after="160" w:line="259" w:lineRule="auto"/>
        <w:rPr>
          <w:rFonts w:ascii="Arial" w:hAnsi="Arial" w:cs="Arial"/>
        </w:rPr>
      </w:pPr>
      <w:r w:rsidRPr="00B85292">
        <w:rPr>
          <w:rFonts w:ascii="Arial" w:hAnsi="Arial" w:cs="Arial"/>
        </w:rPr>
        <w:t xml:space="preserve">Review the documents in the participant’s eFolder. </w:t>
      </w:r>
    </w:p>
    <w:p w14:paraId="7C307A97" w14:textId="6842A04F" w:rsidR="00175508" w:rsidRPr="00B85292" w:rsidRDefault="00175508" w:rsidP="00175508">
      <w:pPr>
        <w:pStyle w:val="ListParagraph"/>
        <w:numPr>
          <w:ilvl w:val="0"/>
          <w:numId w:val="40"/>
        </w:numPr>
        <w:spacing w:after="160" w:line="259" w:lineRule="auto"/>
        <w:rPr>
          <w:rFonts w:ascii="Arial" w:hAnsi="Arial" w:cs="Arial"/>
        </w:rPr>
      </w:pPr>
      <w:r w:rsidRPr="00B85292">
        <w:rPr>
          <w:rFonts w:ascii="Arial" w:hAnsi="Arial" w:cs="Arial"/>
        </w:rPr>
        <w:t xml:space="preserve">Ensure that the </w:t>
      </w:r>
      <w:r w:rsidR="007C57DA">
        <w:rPr>
          <w:rFonts w:ascii="Arial" w:hAnsi="Arial" w:cs="Arial"/>
        </w:rPr>
        <w:t xml:space="preserve">VA Form </w:t>
      </w:r>
      <w:r w:rsidRPr="00B85292">
        <w:rPr>
          <w:rFonts w:ascii="Arial" w:hAnsi="Arial" w:cs="Arial"/>
        </w:rPr>
        <w:t xml:space="preserve">21-526EZ is completed and signed.  </w:t>
      </w:r>
    </w:p>
    <w:p w14:paraId="6ADBDB74" w14:textId="73977581" w:rsidR="00175508" w:rsidRPr="00B85292" w:rsidRDefault="00175508" w:rsidP="00175508">
      <w:pPr>
        <w:pStyle w:val="ListParagraph"/>
        <w:numPr>
          <w:ilvl w:val="0"/>
          <w:numId w:val="40"/>
        </w:numPr>
        <w:spacing w:after="160" w:line="259" w:lineRule="auto"/>
        <w:rPr>
          <w:rFonts w:ascii="Arial" w:hAnsi="Arial" w:cs="Arial"/>
        </w:rPr>
      </w:pPr>
      <w:r w:rsidRPr="00B85292">
        <w:rPr>
          <w:rFonts w:ascii="Arial" w:hAnsi="Arial" w:cs="Arial"/>
        </w:rPr>
        <w:t xml:space="preserve">Enter the conditions indicated on the </w:t>
      </w:r>
      <w:r w:rsidR="007C57DA">
        <w:rPr>
          <w:rFonts w:ascii="Arial" w:hAnsi="Arial" w:cs="Arial"/>
        </w:rPr>
        <w:t xml:space="preserve">VA Form </w:t>
      </w:r>
      <w:r w:rsidRPr="00B85292">
        <w:rPr>
          <w:rFonts w:ascii="Arial" w:hAnsi="Arial" w:cs="Arial"/>
        </w:rPr>
        <w:t xml:space="preserve">21-526EZ as contentions under the EP 689, and </w:t>
      </w:r>
    </w:p>
    <w:p w14:paraId="11852B2C" w14:textId="32FCB1AD" w:rsidR="00175508" w:rsidRPr="00A00642" w:rsidRDefault="00175508" w:rsidP="00F80BCA">
      <w:pPr>
        <w:pStyle w:val="ListParagraph"/>
        <w:numPr>
          <w:ilvl w:val="0"/>
          <w:numId w:val="40"/>
        </w:numPr>
        <w:spacing w:after="160" w:line="259" w:lineRule="auto"/>
        <w:rPr>
          <w:rFonts w:ascii="Arial" w:hAnsi="Arial" w:cs="Arial"/>
          <w:u w:val="single"/>
        </w:rPr>
      </w:pPr>
      <w:r w:rsidRPr="00A00642">
        <w:rPr>
          <w:rFonts w:ascii="Arial" w:hAnsi="Arial" w:cs="Arial"/>
        </w:rPr>
        <w:t xml:space="preserve">Continue routine IDES processing  </w:t>
      </w:r>
    </w:p>
    <w:p w14:paraId="3CD5E2E5" w14:textId="77777777" w:rsidR="00175508" w:rsidRPr="00B85292" w:rsidRDefault="00175508" w:rsidP="00175508">
      <w:pPr>
        <w:rPr>
          <w:rFonts w:ascii="Arial" w:hAnsi="Arial" w:cs="Arial"/>
          <w:b/>
          <w:bCs/>
        </w:rPr>
      </w:pPr>
      <w:r w:rsidRPr="00B85292">
        <w:rPr>
          <w:rFonts w:ascii="Arial" w:hAnsi="Arial" w:cs="Arial"/>
          <w:b/>
          <w:bCs/>
        </w:rPr>
        <w:t xml:space="preserve">Method 2. Completing and Submitting VA Compensation Applications via eBenefits </w:t>
      </w:r>
    </w:p>
    <w:p w14:paraId="746E2F99" w14:textId="45D86E3C" w:rsidR="00175508" w:rsidRPr="00B85292" w:rsidRDefault="00175508" w:rsidP="00175508">
      <w:pPr>
        <w:rPr>
          <w:rFonts w:ascii="Arial" w:hAnsi="Arial" w:cs="Arial"/>
        </w:rPr>
      </w:pPr>
      <w:r w:rsidRPr="00B85292">
        <w:rPr>
          <w:rFonts w:ascii="Arial" w:hAnsi="Arial" w:cs="Arial"/>
          <w:b/>
          <w:bCs/>
          <w:i/>
          <w:iCs/>
        </w:rPr>
        <w:t xml:space="preserve">Important: </w:t>
      </w:r>
    </w:p>
    <w:p w14:paraId="454592DF" w14:textId="77777777" w:rsidR="00555229" w:rsidRPr="00B85292" w:rsidRDefault="00555229" w:rsidP="00175508">
      <w:pPr>
        <w:rPr>
          <w:rFonts w:ascii="Arial" w:hAnsi="Arial" w:cs="Arial"/>
        </w:rPr>
      </w:pPr>
    </w:p>
    <w:p w14:paraId="4224FA91" w14:textId="1CEB2AB4" w:rsidR="00175508" w:rsidRDefault="00175508" w:rsidP="00175508">
      <w:pPr>
        <w:pStyle w:val="Default"/>
      </w:pPr>
      <w:r w:rsidRPr="00B85292">
        <w:t>Li</w:t>
      </w:r>
      <w:r w:rsidR="00555229" w:rsidRPr="00B85292">
        <w:t>ke</w:t>
      </w:r>
      <w:r w:rsidRPr="00B85292">
        <w:t xml:space="preserve"> the process described in Method 1, this method will </w:t>
      </w:r>
      <w:r w:rsidR="00555229" w:rsidRPr="00B85292">
        <w:t xml:space="preserve">also </w:t>
      </w:r>
      <w:r w:rsidRPr="00B85292">
        <w:t xml:space="preserve">ensure documents submitted by the participant are automatically included in the participant’s eFolder, eliminating the need for the MSC to upload files to VBMS. Additionally, this method eliminates the need for MSC to manually enter claimed conditions as contentions in VBMS, which removes a time consuming MSC task and the potential for data entry errors.   Further, this method also serves to resolve challenges associated the applicant affixing his or her electronic signature to PDF applications. </w:t>
      </w:r>
    </w:p>
    <w:p w14:paraId="58FA4469" w14:textId="141F45F1" w:rsidR="00297CAE" w:rsidRDefault="00297CAE" w:rsidP="00175508">
      <w:pPr>
        <w:pStyle w:val="Default"/>
      </w:pPr>
    </w:p>
    <w:p w14:paraId="0ECAE135" w14:textId="16678878" w:rsidR="00297CAE" w:rsidRPr="00870208" w:rsidRDefault="00297CAE" w:rsidP="00175508">
      <w:pPr>
        <w:pStyle w:val="Default"/>
      </w:pPr>
      <w:r w:rsidRPr="00870208">
        <w:t xml:space="preserve">While this method provides significant </w:t>
      </w:r>
      <w:r w:rsidR="00BE7519" w:rsidRPr="00870208">
        <w:t>efficiencies</w:t>
      </w:r>
      <w:r w:rsidRPr="00870208">
        <w:t>, it also involves some degree of complication and risk</w:t>
      </w:r>
      <w:r w:rsidR="000A235E" w:rsidRPr="00870208">
        <w:t xml:space="preserve"> if</w:t>
      </w:r>
      <w:r w:rsidRPr="00870208">
        <w:t xml:space="preserve"> the </w:t>
      </w:r>
      <w:r w:rsidR="000A235E" w:rsidRPr="00870208">
        <w:t>procedure is</w:t>
      </w:r>
      <w:r w:rsidRPr="00870208">
        <w:t xml:space="preserve"> not </w:t>
      </w:r>
      <w:r w:rsidR="000A235E" w:rsidRPr="00870208">
        <w:t>executed</w:t>
      </w:r>
      <w:r w:rsidRPr="00870208">
        <w:t xml:space="preserve"> carefully and correctly.</w:t>
      </w:r>
      <w:r w:rsidR="00C07AFB" w:rsidRPr="00870208">
        <w:t xml:space="preserve"> </w:t>
      </w:r>
      <w:r w:rsidRPr="00870208">
        <w:t xml:space="preserve">Intake sites </w:t>
      </w:r>
      <w:r w:rsidR="00ED2084" w:rsidRPr="00870208">
        <w:t xml:space="preserve">that </w:t>
      </w:r>
      <w:r w:rsidRPr="00870208">
        <w:t xml:space="preserve">elect to utilize this method must ensure that </w:t>
      </w:r>
      <w:r w:rsidR="000A235E" w:rsidRPr="00870208">
        <w:t xml:space="preserve">the actions </w:t>
      </w:r>
      <w:r w:rsidR="00ED2084" w:rsidRPr="00870208">
        <w:t xml:space="preserve">are completed </w:t>
      </w:r>
      <w:r w:rsidR="000A235E" w:rsidRPr="00870208">
        <w:t xml:space="preserve">exactly as specified in the table below. </w:t>
      </w:r>
    </w:p>
    <w:p w14:paraId="45E56FE9" w14:textId="5A62877B" w:rsidR="00175508" w:rsidRPr="00870208" w:rsidRDefault="000A235E" w:rsidP="00175508">
      <w:pPr>
        <w:rPr>
          <w:rFonts w:ascii="Arial" w:hAnsi="Arial" w:cs="Arial"/>
        </w:rPr>
      </w:pPr>
      <w:r w:rsidRPr="00870208">
        <w:rPr>
          <w:rFonts w:ascii="Arial" w:hAnsi="Arial" w:cs="Arial"/>
        </w:rPr>
        <w:t xml:space="preserve"> </w:t>
      </w:r>
    </w:p>
    <w:tbl>
      <w:tblPr>
        <w:tblStyle w:val="TableGrid"/>
        <w:tblW w:w="0" w:type="auto"/>
        <w:tblLook w:val="04A0" w:firstRow="1" w:lastRow="0" w:firstColumn="1" w:lastColumn="0" w:noHBand="0" w:noVBand="1"/>
      </w:tblPr>
      <w:tblGrid>
        <w:gridCol w:w="805"/>
        <w:gridCol w:w="10620"/>
      </w:tblGrid>
      <w:tr w:rsidR="00175508" w:rsidRPr="00870208" w14:paraId="5EA799DA" w14:textId="77777777" w:rsidTr="00175508">
        <w:trPr>
          <w:trHeight w:val="368"/>
        </w:trPr>
        <w:tc>
          <w:tcPr>
            <w:tcW w:w="805" w:type="dxa"/>
          </w:tcPr>
          <w:p w14:paraId="097046B3" w14:textId="77777777" w:rsidR="00175508" w:rsidRPr="00870208" w:rsidRDefault="00175508" w:rsidP="00842012">
            <w:pPr>
              <w:jc w:val="both"/>
              <w:rPr>
                <w:rFonts w:ascii="Arial" w:hAnsi="Arial" w:cs="Arial"/>
                <w:b/>
                <w:bCs/>
                <w:sz w:val="24"/>
                <w:szCs w:val="24"/>
              </w:rPr>
            </w:pPr>
            <w:r w:rsidRPr="00870208">
              <w:rPr>
                <w:rFonts w:ascii="Arial" w:hAnsi="Arial" w:cs="Arial"/>
                <w:b/>
                <w:bCs/>
                <w:sz w:val="24"/>
                <w:szCs w:val="24"/>
              </w:rPr>
              <w:t>Step</w:t>
            </w:r>
          </w:p>
        </w:tc>
        <w:tc>
          <w:tcPr>
            <w:tcW w:w="10620" w:type="dxa"/>
          </w:tcPr>
          <w:p w14:paraId="3354FE2C" w14:textId="77777777" w:rsidR="00175508" w:rsidRPr="00870208" w:rsidRDefault="00175508" w:rsidP="00842012">
            <w:pPr>
              <w:ind w:left="166"/>
              <w:rPr>
                <w:rFonts w:ascii="Arial" w:hAnsi="Arial" w:cs="Arial"/>
                <w:b/>
                <w:bCs/>
                <w:sz w:val="24"/>
                <w:szCs w:val="24"/>
              </w:rPr>
            </w:pPr>
            <w:r w:rsidRPr="00870208">
              <w:rPr>
                <w:rFonts w:ascii="Arial" w:hAnsi="Arial" w:cs="Arial"/>
                <w:b/>
                <w:bCs/>
                <w:sz w:val="24"/>
                <w:szCs w:val="24"/>
              </w:rPr>
              <w:t xml:space="preserve">Action </w:t>
            </w:r>
          </w:p>
        </w:tc>
      </w:tr>
      <w:tr w:rsidR="00175508" w:rsidRPr="00870208" w14:paraId="76BC599D" w14:textId="77777777" w:rsidTr="00175508">
        <w:trPr>
          <w:trHeight w:val="467"/>
        </w:trPr>
        <w:tc>
          <w:tcPr>
            <w:tcW w:w="805" w:type="dxa"/>
          </w:tcPr>
          <w:p w14:paraId="5EC61F0E"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7ADB0DA4" w14:textId="6E9C9FC2" w:rsidR="00175508" w:rsidRPr="00870208" w:rsidRDefault="00175508" w:rsidP="00842012">
            <w:pPr>
              <w:ind w:left="166"/>
              <w:rPr>
                <w:rFonts w:ascii="Arial" w:hAnsi="Arial" w:cs="Arial"/>
                <w:sz w:val="24"/>
                <w:szCs w:val="24"/>
              </w:rPr>
            </w:pPr>
            <w:r w:rsidRPr="00870208">
              <w:rPr>
                <w:rFonts w:ascii="Arial" w:hAnsi="Arial" w:cs="Arial"/>
                <w:sz w:val="24"/>
                <w:szCs w:val="24"/>
              </w:rPr>
              <w:t>Upon receipt of a complete referral, establish EP 689</w:t>
            </w:r>
            <w:r w:rsidR="00A00642" w:rsidRPr="00870208">
              <w:rPr>
                <w:rFonts w:ascii="Arial" w:hAnsi="Arial" w:cs="Arial"/>
                <w:sz w:val="24"/>
                <w:szCs w:val="24"/>
              </w:rPr>
              <w:t xml:space="preserve"> in VBMS and enter the referred conditions as </w:t>
            </w:r>
            <w:r w:rsidR="00BE7519" w:rsidRPr="00870208">
              <w:rPr>
                <w:rFonts w:ascii="Arial" w:hAnsi="Arial" w:cs="Arial"/>
                <w:sz w:val="24"/>
                <w:szCs w:val="24"/>
              </w:rPr>
              <w:t>contentions, schedule</w:t>
            </w:r>
            <w:r w:rsidRPr="00870208">
              <w:rPr>
                <w:rFonts w:ascii="Arial" w:hAnsi="Arial" w:cs="Arial"/>
                <w:sz w:val="24"/>
                <w:szCs w:val="24"/>
              </w:rPr>
              <w:t xml:space="preserve"> the initial interview, and complete all required pre-interview actions in accordance with standard IDES procedure</w:t>
            </w:r>
            <w:r w:rsidR="00B85292" w:rsidRPr="00870208">
              <w:rPr>
                <w:rFonts w:ascii="Arial" w:hAnsi="Arial" w:cs="Arial"/>
                <w:sz w:val="24"/>
                <w:szCs w:val="24"/>
              </w:rPr>
              <w:t>s</w:t>
            </w:r>
            <w:r w:rsidRPr="00870208">
              <w:rPr>
                <w:rFonts w:ascii="Arial" w:hAnsi="Arial" w:cs="Arial"/>
                <w:sz w:val="24"/>
                <w:szCs w:val="24"/>
              </w:rPr>
              <w:t>.</w:t>
            </w:r>
          </w:p>
          <w:p w14:paraId="71A23446" w14:textId="41808780" w:rsidR="00175508" w:rsidRPr="00870208" w:rsidRDefault="00175508" w:rsidP="00842012">
            <w:pPr>
              <w:ind w:left="166"/>
              <w:rPr>
                <w:rFonts w:ascii="Arial" w:hAnsi="Arial" w:cs="Arial"/>
                <w:sz w:val="24"/>
                <w:szCs w:val="24"/>
              </w:rPr>
            </w:pPr>
          </w:p>
        </w:tc>
      </w:tr>
      <w:tr w:rsidR="00175508" w:rsidRPr="00870208" w14:paraId="03C50DF1" w14:textId="77777777" w:rsidTr="00175508">
        <w:tc>
          <w:tcPr>
            <w:tcW w:w="805" w:type="dxa"/>
          </w:tcPr>
          <w:p w14:paraId="32C6C35D"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6D1F87A4" w14:textId="58C1CEFF" w:rsidR="00175508" w:rsidRPr="00870208" w:rsidRDefault="00175508" w:rsidP="00842012">
            <w:pPr>
              <w:ind w:left="166"/>
              <w:rPr>
                <w:rFonts w:ascii="Arial" w:hAnsi="Arial" w:cs="Arial"/>
                <w:sz w:val="24"/>
                <w:szCs w:val="24"/>
              </w:rPr>
            </w:pPr>
            <w:r w:rsidRPr="00870208">
              <w:rPr>
                <w:rFonts w:ascii="Arial" w:hAnsi="Arial" w:cs="Arial"/>
                <w:sz w:val="24"/>
                <w:szCs w:val="24"/>
              </w:rPr>
              <w:t xml:space="preserve">Conduct the </w:t>
            </w:r>
            <w:r w:rsidR="00B85292" w:rsidRPr="00870208">
              <w:rPr>
                <w:rFonts w:ascii="Arial" w:hAnsi="Arial" w:cs="Arial"/>
                <w:sz w:val="24"/>
                <w:szCs w:val="24"/>
              </w:rPr>
              <w:t>i</w:t>
            </w:r>
            <w:r w:rsidRPr="00870208">
              <w:rPr>
                <w:rFonts w:ascii="Arial" w:hAnsi="Arial" w:cs="Arial"/>
                <w:sz w:val="24"/>
                <w:szCs w:val="24"/>
              </w:rPr>
              <w:t xml:space="preserve">nitial </w:t>
            </w:r>
            <w:r w:rsidR="00B85292" w:rsidRPr="00870208">
              <w:rPr>
                <w:rFonts w:ascii="Arial" w:hAnsi="Arial" w:cs="Arial"/>
                <w:sz w:val="24"/>
                <w:szCs w:val="24"/>
              </w:rPr>
              <w:t>i</w:t>
            </w:r>
            <w:r w:rsidRPr="00870208">
              <w:rPr>
                <w:rFonts w:ascii="Arial" w:hAnsi="Arial" w:cs="Arial"/>
                <w:sz w:val="24"/>
                <w:szCs w:val="24"/>
              </w:rPr>
              <w:t xml:space="preserve">nterview in accordance with </w:t>
            </w:r>
            <w:hyperlink r:id="rId24" w:anchor="4" w:history="1">
              <w:r w:rsidR="007074BF" w:rsidRPr="00870208">
                <w:rPr>
                  <w:rStyle w:val="Hyperlink"/>
                  <w:rFonts w:ascii="Arial" w:hAnsi="Arial" w:cs="Arial"/>
                  <w:sz w:val="24"/>
                  <w:szCs w:val="24"/>
                </w:rPr>
                <w:t>M21-1 III.i.2.D.4.d</w:t>
              </w:r>
            </w:hyperlink>
          </w:p>
          <w:p w14:paraId="0E418CD9" w14:textId="40A74C1B" w:rsidR="00175508" w:rsidRPr="00870208" w:rsidRDefault="00175508" w:rsidP="00842012">
            <w:pPr>
              <w:ind w:left="166"/>
              <w:rPr>
                <w:rFonts w:ascii="Arial" w:hAnsi="Arial" w:cs="Arial"/>
                <w:sz w:val="24"/>
                <w:szCs w:val="24"/>
              </w:rPr>
            </w:pPr>
          </w:p>
        </w:tc>
      </w:tr>
      <w:tr w:rsidR="00175508" w:rsidRPr="00870208" w14:paraId="531242D7" w14:textId="77777777" w:rsidTr="00175508">
        <w:tc>
          <w:tcPr>
            <w:tcW w:w="805" w:type="dxa"/>
          </w:tcPr>
          <w:p w14:paraId="39B4975D"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601FA931" w14:textId="77777777" w:rsidR="00175508" w:rsidRPr="00870208" w:rsidRDefault="00175508" w:rsidP="00842012">
            <w:pPr>
              <w:ind w:left="166"/>
              <w:rPr>
                <w:rFonts w:ascii="Arial" w:hAnsi="Arial" w:cs="Arial"/>
                <w:sz w:val="24"/>
                <w:szCs w:val="24"/>
              </w:rPr>
            </w:pPr>
            <w:r w:rsidRPr="00870208">
              <w:rPr>
                <w:rFonts w:ascii="Arial" w:hAnsi="Arial" w:cs="Arial"/>
                <w:sz w:val="24"/>
                <w:szCs w:val="24"/>
              </w:rPr>
              <w:t>Advise the participant to submit his or her application for VA Compensation (along with any additional documentation) via eBenefits; the MSC must explain that the participant will need to</w:t>
            </w:r>
          </w:p>
          <w:p w14:paraId="39AAB7E9" w14:textId="77777777" w:rsidR="00175508" w:rsidRPr="00870208" w:rsidRDefault="00175508" w:rsidP="00175508">
            <w:pPr>
              <w:pStyle w:val="ListParagraph"/>
              <w:numPr>
                <w:ilvl w:val="0"/>
                <w:numId w:val="37"/>
              </w:numPr>
              <w:ind w:left="166" w:firstLine="270"/>
              <w:rPr>
                <w:rFonts w:ascii="Arial" w:hAnsi="Arial" w:cs="Arial"/>
                <w:sz w:val="24"/>
                <w:szCs w:val="24"/>
              </w:rPr>
            </w:pPr>
            <w:r w:rsidRPr="00870208">
              <w:rPr>
                <w:rFonts w:ascii="Arial" w:hAnsi="Arial" w:cs="Arial"/>
                <w:sz w:val="24"/>
                <w:szCs w:val="24"/>
              </w:rPr>
              <w:t xml:space="preserve">visit </w:t>
            </w:r>
            <w:hyperlink r:id="rId25" w:history="1">
              <w:r w:rsidRPr="00870208">
                <w:rPr>
                  <w:rStyle w:val="Hyperlink"/>
                  <w:rFonts w:ascii="Arial" w:hAnsi="Arial" w:cs="Arial"/>
                  <w:sz w:val="24"/>
                  <w:szCs w:val="24"/>
                </w:rPr>
                <w:t>https://www.ebenefits.va.gov/ebenefits/homepage</w:t>
              </w:r>
            </w:hyperlink>
            <w:r w:rsidRPr="00870208">
              <w:rPr>
                <w:rFonts w:ascii="Arial" w:hAnsi="Arial" w:cs="Arial"/>
                <w:sz w:val="24"/>
                <w:szCs w:val="24"/>
              </w:rPr>
              <w:t xml:space="preserve"> </w:t>
            </w:r>
          </w:p>
          <w:p w14:paraId="655E29D4" w14:textId="77777777" w:rsidR="00175508" w:rsidRPr="00870208" w:rsidRDefault="00175508" w:rsidP="00175508">
            <w:pPr>
              <w:pStyle w:val="ListParagraph"/>
              <w:numPr>
                <w:ilvl w:val="0"/>
                <w:numId w:val="37"/>
              </w:numPr>
              <w:ind w:left="166" w:firstLine="270"/>
              <w:rPr>
                <w:rFonts w:ascii="Arial" w:hAnsi="Arial" w:cs="Arial"/>
                <w:sz w:val="24"/>
                <w:szCs w:val="24"/>
              </w:rPr>
            </w:pPr>
            <w:r w:rsidRPr="00870208">
              <w:rPr>
                <w:rFonts w:ascii="Arial" w:hAnsi="Arial" w:cs="Arial"/>
                <w:sz w:val="24"/>
                <w:szCs w:val="24"/>
              </w:rPr>
              <w:t>log on (or register for an account)</w:t>
            </w:r>
          </w:p>
          <w:p w14:paraId="68778F17" w14:textId="77777777" w:rsidR="00175508" w:rsidRPr="00870208" w:rsidRDefault="00175508" w:rsidP="00175508">
            <w:pPr>
              <w:pStyle w:val="ListParagraph"/>
              <w:numPr>
                <w:ilvl w:val="0"/>
                <w:numId w:val="37"/>
              </w:numPr>
              <w:ind w:left="166" w:firstLine="270"/>
              <w:rPr>
                <w:rFonts w:ascii="Arial" w:hAnsi="Arial" w:cs="Arial"/>
                <w:sz w:val="24"/>
                <w:szCs w:val="24"/>
              </w:rPr>
            </w:pPr>
            <w:r w:rsidRPr="00870208">
              <w:rPr>
                <w:rFonts w:ascii="Arial" w:hAnsi="Arial" w:cs="Arial"/>
                <w:sz w:val="24"/>
                <w:szCs w:val="24"/>
              </w:rPr>
              <w:t xml:space="preserve">click </w:t>
            </w:r>
            <w:r w:rsidRPr="00870208">
              <w:rPr>
                <w:rFonts w:ascii="Arial" w:hAnsi="Arial" w:cs="Arial"/>
                <w:i/>
                <w:iCs/>
                <w:sz w:val="24"/>
                <w:szCs w:val="24"/>
              </w:rPr>
              <w:t>Apply;</w:t>
            </w:r>
            <w:r w:rsidRPr="00870208">
              <w:rPr>
                <w:rFonts w:ascii="Arial" w:hAnsi="Arial" w:cs="Arial"/>
                <w:sz w:val="24"/>
                <w:szCs w:val="24"/>
              </w:rPr>
              <w:t xml:space="preserve"> then </w:t>
            </w:r>
            <w:r w:rsidRPr="00870208">
              <w:rPr>
                <w:rFonts w:ascii="Arial" w:hAnsi="Arial" w:cs="Arial"/>
                <w:i/>
                <w:iCs/>
                <w:sz w:val="24"/>
                <w:szCs w:val="24"/>
              </w:rPr>
              <w:t>Compensation</w:t>
            </w:r>
          </w:p>
          <w:p w14:paraId="4DB966D5" w14:textId="77777777" w:rsidR="00175508" w:rsidRPr="00870208" w:rsidRDefault="00175508" w:rsidP="00175508">
            <w:pPr>
              <w:pStyle w:val="ListParagraph"/>
              <w:numPr>
                <w:ilvl w:val="0"/>
                <w:numId w:val="37"/>
              </w:numPr>
              <w:ind w:left="166" w:firstLine="270"/>
              <w:rPr>
                <w:rFonts w:ascii="Arial" w:hAnsi="Arial" w:cs="Arial"/>
                <w:sz w:val="24"/>
                <w:szCs w:val="24"/>
              </w:rPr>
            </w:pPr>
            <w:r w:rsidRPr="00870208">
              <w:rPr>
                <w:rFonts w:ascii="Arial" w:hAnsi="Arial" w:cs="Arial"/>
                <w:sz w:val="24"/>
                <w:szCs w:val="24"/>
              </w:rPr>
              <w:t>follow system prompts to complete application</w:t>
            </w:r>
          </w:p>
          <w:p w14:paraId="5CAACE6C" w14:textId="7C1990B9" w:rsidR="00175508" w:rsidRPr="00870208" w:rsidRDefault="00B85292" w:rsidP="00175508">
            <w:pPr>
              <w:pStyle w:val="ListParagraph"/>
              <w:numPr>
                <w:ilvl w:val="0"/>
                <w:numId w:val="37"/>
              </w:numPr>
              <w:ind w:left="706" w:hanging="270"/>
              <w:rPr>
                <w:rFonts w:ascii="Arial" w:hAnsi="Arial" w:cs="Arial"/>
                <w:sz w:val="24"/>
                <w:szCs w:val="24"/>
              </w:rPr>
            </w:pPr>
            <w:r w:rsidRPr="00870208">
              <w:rPr>
                <w:rFonts w:ascii="Arial" w:hAnsi="Arial" w:cs="Arial"/>
                <w:sz w:val="24"/>
                <w:szCs w:val="24"/>
              </w:rPr>
              <w:t>w</w:t>
            </w:r>
            <w:r w:rsidR="00175508" w:rsidRPr="00870208">
              <w:rPr>
                <w:rFonts w:ascii="Arial" w:hAnsi="Arial" w:cs="Arial"/>
                <w:sz w:val="24"/>
                <w:szCs w:val="24"/>
              </w:rPr>
              <w:t xml:space="preserve">hen prompted for service dates, the participant should enter </w:t>
            </w:r>
            <w:r w:rsidR="00175508" w:rsidRPr="00870208">
              <w:rPr>
                <w:rFonts w:ascii="Arial" w:hAnsi="Arial" w:cs="Arial"/>
                <w:sz w:val="24"/>
                <w:szCs w:val="24"/>
                <w:u w:val="single"/>
              </w:rPr>
              <w:t>the current date</w:t>
            </w:r>
            <w:r w:rsidR="00175508" w:rsidRPr="007315E7">
              <w:rPr>
                <w:rFonts w:ascii="Arial" w:hAnsi="Arial" w:cs="Arial"/>
                <w:sz w:val="24"/>
                <w:szCs w:val="24"/>
              </w:rPr>
              <w:t xml:space="preserve"> </w:t>
            </w:r>
            <w:r w:rsidR="00175508" w:rsidRPr="00870208">
              <w:rPr>
                <w:rFonts w:ascii="Arial" w:hAnsi="Arial" w:cs="Arial"/>
                <w:sz w:val="24"/>
                <w:szCs w:val="24"/>
              </w:rPr>
              <w:t>as their release date from active duty</w:t>
            </w:r>
            <w:r w:rsidRPr="00870208">
              <w:rPr>
                <w:rFonts w:ascii="Arial" w:hAnsi="Arial" w:cs="Arial"/>
                <w:sz w:val="24"/>
                <w:szCs w:val="24"/>
              </w:rPr>
              <w:t xml:space="preserve"> </w:t>
            </w:r>
            <w:r w:rsidR="00175508" w:rsidRPr="00870208">
              <w:rPr>
                <w:rFonts w:ascii="Arial" w:hAnsi="Arial" w:cs="Arial"/>
                <w:sz w:val="24"/>
                <w:szCs w:val="24"/>
              </w:rPr>
              <w:t xml:space="preserve">(explain that this entry is necessary to execute the </w:t>
            </w:r>
            <w:r w:rsidR="00555229" w:rsidRPr="00870208">
              <w:rPr>
                <w:rFonts w:ascii="Arial" w:hAnsi="Arial" w:cs="Arial"/>
                <w:sz w:val="24"/>
                <w:szCs w:val="24"/>
              </w:rPr>
              <w:t>workaround;</w:t>
            </w:r>
            <w:r w:rsidR="00175508" w:rsidRPr="00870208">
              <w:rPr>
                <w:rFonts w:ascii="Arial" w:hAnsi="Arial" w:cs="Arial"/>
                <w:sz w:val="24"/>
                <w:szCs w:val="24"/>
              </w:rPr>
              <w:t xml:space="preserve"> participants should</w:t>
            </w:r>
            <w:r w:rsidR="00175508" w:rsidRPr="00870208">
              <w:rPr>
                <w:rFonts w:ascii="Arial" w:hAnsi="Arial" w:cs="Arial"/>
                <w:b/>
                <w:bCs/>
                <w:sz w:val="24"/>
                <w:szCs w:val="24"/>
              </w:rPr>
              <w:t xml:space="preserve"> not</w:t>
            </w:r>
            <w:r w:rsidR="00175508" w:rsidRPr="00870208">
              <w:rPr>
                <w:rFonts w:ascii="Arial" w:hAnsi="Arial" w:cs="Arial"/>
                <w:sz w:val="24"/>
                <w:szCs w:val="24"/>
              </w:rPr>
              <w:t xml:space="preserve"> enter a future/projected/estimated separation date). </w:t>
            </w:r>
          </w:p>
          <w:p w14:paraId="387DD6F9" w14:textId="77777777" w:rsidR="00555229" w:rsidRPr="00870208" w:rsidRDefault="00175508" w:rsidP="000A235E">
            <w:pPr>
              <w:pStyle w:val="ListParagraph"/>
              <w:numPr>
                <w:ilvl w:val="0"/>
                <w:numId w:val="37"/>
              </w:numPr>
              <w:ind w:left="706" w:hanging="270"/>
              <w:rPr>
                <w:rFonts w:ascii="Arial" w:hAnsi="Arial" w:cs="Arial"/>
                <w:sz w:val="24"/>
                <w:szCs w:val="24"/>
              </w:rPr>
            </w:pPr>
            <w:r w:rsidRPr="00870208">
              <w:rPr>
                <w:rFonts w:ascii="Arial" w:hAnsi="Arial" w:cs="Arial"/>
                <w:sz w:val="24"/>
                <w:szCs w:val="24"/>
              </w:rPr>
              <w:t xml:space="preserve">upload any additional evidence (including dependency applications/information) </w:t>
            </w:r>
          </w:p>
          <w:p w14:paraId="1FBDE54B" w14:textId="6E3D15E5" w:rsidR="000A235E" w:rsidRPr="00870208" w:rsidRDefault="000A235E" w:rsidP="000A235E">
            <w:pPr>
              <w:pStyle w:val="ListParagraph"/>
              <w:ind w:left="706"/>
              <w:rPr>
                <w:rFonts w:ascii="Arial" w:hAnsi="Arial" w:cs="Arial"/>
                <w:sz w:val="24"/>
                <w:szCs w:val="24"/>
              </w:rPr>
            </w:pPr>
          </w:p>
        </w:tc>
      </w:tr>
      <w:tr w:rsidR="00175508" w:rsidRPr="00870208" w14:paraId="697CF7CF" w14:textId="77777777" w:rsidTr="00175508">
        <w:tc>
          <w:tcPr>
            <w:tcW w:w="805" w:type="dxa"/>
          </w:tcPr>
          <w:p w14:paraId="7E9B0EB7"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1D906FCE" w14:textId="26F16976" w:rsidR="00175508" w:rsidRPr="00870208" w:rsidRDefault="00175508" w:rsidP="00842012">
            <w:pPr>
              <w:ind w:left="166"/>
              <w:rPr>
                <w:rFonts w:ascii="Arial" w:hAnsi="Arial" w:cs="Arial"/>
                <w:sz w:val="24"/>
                <w:szCs w:val="24"/>
              </w:rPr>
            </w:pPr>
            <w:r w:rsidRPr="00870208">
              <w:rPr>
                <w:rFonts w:ascii="Arial" w:hAnsi="Arial" w:cs="Arial"/>
                <w:sz w:val="24"/>
                <w:szCs w:val="24"/>
              </w:rPr>
              <w:t xml:space="preserve">Advise the participant to contact the MSC immediately upon submission of the application/documents in </w:t>
            </w:r>
            <w:proofErr w:type="spellStart"/>
            <w:r w:rsidRPr="00870208">
              <w:rPr>
                <w:rFonts w:ascii="Arial" w:hAnsi="Arial" w:cs="Arial"/>
                <w:sz w:val="24"/>
                <w:szCs w:val="24"/>
              </w:rPr>
              <w:t>eBenefits</w:t>
            </w:r>
            <w:proofErr w:type="spellEnd"/>
            <w:r w:rsidR="00BD11FD" w:rsidRPr="00870208">
              <w:rPr>
                <w:rFonts w:ascii="Arial" w:hAnsi="Arial" w:cs="Arial"/>
                <w:sz w:val="24"/>
                <w:szCs w:val="24"/>
              </w:rPr>
              <w:t xml:space="preserve">. (Alternatively, </w:t>
            </w:r>
            <w:r w:rsidR="004C7F3A" w:rsidRPr="00870208">
              <w:rPr>
                <w:rFonts w:ascii="Arial" w:hAnsi="Arial" w:cs="Arial"/>
                <w:sz w:val="24"/>
                <w:szCs w:val="24"/>
              </w:rPr>
              <w:t xml:space="preserve">the </w:t>
            </w:r>
            <w:r w:rsidR="00BD11FD" w:rsidRPr="00870208">
              <w:rPr>
                <w:rFonts w:ascii="Arial" w:hAnsi="Arial" w:cs="Arial"/>
                <w:sz w:val="24"/>
                <w:szCs w:val="24"/>
              </w:rPr>
              <w:t>MSC</w:t>
            </w:r>
            <w:r w:rsidR="004C7F3A" w:rsidRPr="00870208">
              <w:rPr>
                <w:rFonts w:ascii="Arial" w:hAnsi="Arial" w:cs="Arial"/>
                <w:sz w:val="24"/>
                <w:szCs w:val="24"/>
              </w:rPr>
              <w:t xml:space="preserve"> </w:t>
            </w:r>
            <w:r w:rsidR="00BD11FD" w:rsidRPr="00870208">
              <w:rPr>
                <w:rFonts w:ascii="Arial" w:hAnsi="Arial" w:cs="Arial"/>
                <w:sz w:val="24"/>
                <w:szCs w:val="24"/>
              </w:rPr>
              <w:t>may remain on the phone</w:t>
            </w:r>
            <w:r w:rsidR="004C7F3A" w:rsidRPr="00870208">
              <w:rPr>
                <w:rFonts w:ascii="Arial" w:hAnsi="Arial" w:cs="Arial"/>
                <w:sz w:val="24"/>
                <w:szCs w:val="24"/>
              </w:rPr>
              <w:t xml:space="preserve"> with the participant throughout the eBenefits application process). </w:t>
            </w:r>
          </w:p>
          <w:p w14:paraId="491DE5E9" w14:textId="77777777" w:rsidR="00175508" w:rsidRPr="00870208" w:rsidRDefault="00175508" w:rsidP="00842012">
            <w:pPr>
              <w:ind w:left="166"/>
              <w:rPr>
                <w:rFonts w:ascii="Arial" w:hAnsi="Arial" w:cs="Arial"/>
                <w:sz w:val="24"/>
                <w:szCs w:val="24"/>
              </w:rPr>
            </w:pPr>
          </w:p>
          <w:p w14:paraId="7BDE50EC" w14:textId="2DE78BF8" w:rsidR="00175508" w:rsidRPr="00870208" w:rsidRDefault="00175508" w:rsidP="00842012">
            <w:pPr>
              <w:ind w:left="166"/>
              <w:rPr>
                <w:rFonts w:ascii="Arial" w:hAnsi="Arial" w:cs="Arial"/>
                <w:sz w:val="24"/>
                <w:szCs w:val="24"/>
              </w:rPr>
            </w:pPr>
            <w:r w:rsidRPr="00870208">
              <w:rPr>
                <w:rFonts w:ascii="Arial" w:hAnsi="Arial" w:cs="Arial"/>
                <w:b/>
                <w:bCs/>
                <w:i/>
                <w:iCs/>
                <w:sz w:val="24"/>
                <w:szCs w:val="24"/>
              </w:rPr>
              <w:t>Note:</w:t>
            </w:r>
            <w:r w:rsidRPr="00870208">
              <w:rPr>
                <w:rFonts w:ascii="Arial" w:hAnsi="Arial" w:cs="Arial"/>
                <w:sz w:val="24"/>
                <w:szCs w:val="24"/>
              </w:rPr>
              <w:t xml:space="preserve">  I</w:t>
            </w:r>
            <w:r w:rsidR="004C7F3A" w:rsidRPr="00870208">
              <w:rPr>
                <w:rFonts w:ascii="Arial" w:hAnsi="Arial" w:cs="Arial"/>
                <w:sz w:val="24"/>
                <w:szCs w:val="24"/>
              </w:rPr>
              <w:t>f the MSC does not remain in contact with the participant, i</w:t>
            </w:r>
            <w:r w:rsidRPr="00870208">
              <w:rPr>
                <w:rFonts w:ascii="Arial" w:hAnsi="Arial" w:cs="Arial"/>
                <w:sz w:val="24"/>
                <w:szCs w:val="24"/>
              </w:rPr>
              <w:t>t is critical that the participant notify the MSC</w:t>
            </w:r>
            <w:r w:rsidR="00BD11FD" w:rsidRPr="00870208">
              <w:rPr>
                <w:rFonts w:ascii="Arial" w:hAnsi="Arial" w:cs="Arial"/>
                <w:sz w:val="24"/>
                <w:szCs w:val="24"/>
              </w:rPr>
              <w:t xml:space="preserve"> immediately</w:t>
            </w:r>
            <w:r w:rsidR="00297CAE" w:rsidRPr="00870208">
              <w:rPr>
                <w:rFonts w:ascii="Arial" w:hAnsi="Arial" w:cs="Arial"/>
                <w:sz w:val="24"/>
                <w:szCs w:val="24"/>
              </w:rPr>
              <w:t xml:space="preserve"> upon submission,</w:t>
            </w:r>
            <w:r w:rsidRPr="00870208">
              <w:rPr>
                <w:rFonts w:ascii="Arial" w:hAnsi="Arial" w:cs="Arial"/>
                <w:sz w:val="24"/>
                <w:szCs w:val="24"/>
              </w:rPr>
              <w:t xml:space="preserve"> so that the MSC can take the timely action on steps 5 through </w:t>
            </w:r>
            <w:r w:rsidR="00ED2084" w:rsidRPr="00870208">
              <w:rPr>
                <w:rFonts w:ascii="Arial" w:hAnsi="Arial" w:cs="Arial"/>
                <w:sz w:val="24"/>
                <w:szCs w:val="24"/>
              </w:rPr>
              <w:t>9</w:t>
            </w:r>
            <w:r w:rsidRPr="00870208">
              <w:rPr>
                <w:rFonts w:ascii="Arial" w:hAnsi="Arial" w:cs="Arial"/>
                <w:sz w:val="24"/>
                <w:szCs w:val="24"/>
              </w:rPr>
              <w:t xml:space="preserve"> below. MSCs </w:t>
            </w:r>
            <w:r w:rsidRPr="00870208">
              <w:rPr>
                <w:rFonts w:ascii="Arial" w:hAnsi="Arial" w:cs="Arial"/>
                <w:b/>
                <w:bCs/>
                <w:sz w:val="24"/>
                <w:szCs w:val="24"/>
              </w:rPr>
              <w:t xml:space="preserve">must </w:t>
            </w:r>
            <w:r w:rsidRPr="00870208">
              <w:rPr>
                <w:rFonts w:ascii="Arial" w:hAnsi="Arial" w:cs="Arial"/>
                <w:sz w:val="24"/>
                <w:szCs w:val="24"/>
              </w:rPr>
              <w:t xml:space="preserve">ensure that the steps below are completed on the same day the application was submitted via eBenefits. </w:t>
            </w:r>
          </w:p>
          <w:p w14:paraId="1B09FEB4" w14:textId="17859CD5" w:rsidR="00175508" w:rsidRPr="00870208" w:rsidRDefault="00175508" w:rsidP="00842012">
            <w:pPr>
              <w:ind w:left="166"/>
              <w:rPr>
                <w:rFonts w:ascii="Arial" w:hAnsi="Arial" w:cs="Arial"/>
                <w:sz w:val="24"/>
                <w:szCs w:val="24"/>
              </w:rPr>
            </w:pPr>
          </w:p>
        </w:tc>
      </w:tr>
      <w:tr w:rsidR="00175508" w:rsidRPr="00870208" w14:paraId="51EB7E65" w14:textId="77777777" w:rsidTr="00175508">
        <w:tc>
          <w:tcPr>
            <w:tcW w:w="805" w:type="dxa"/>
          </w:tcPr>
          <w:p w14:paraId="7A3BB7C8"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60066FF6" w14:textId="77777777" w:rsidR="00175508" w:rsidRPr="00870208" w:rsidRDefault="00175508" w:rsidP="00842012">
            <w:pPr>
              <w:ind w:left="166"/>
              <w:rPr>
                <w:rFonts w:ascii="Arial" w:hAnsi="Arial" w:cs="Arial"/>
                <w:sz w:val="24"/>
                <w:szCs w:val="24"/>
              </w:rPr>
            </w:pPr>
            <w:r w:rsidRPr="00870208">
              <w:rPr>
                <w:rFonts w:ascii="Arial" w:hAnsi="Arial" w:cs="Arial"/>
                <w:sz w:val="24"/>
                <w:szCs w:val="24"/>
              </w:rPr>
              <w:t xml:space="preserve">Identify the rating EP that was established as a result of the eBenefits application. </w:t>
            </w:r>
          </w:p>
          <w:p w14:paraId="72021764" w14:textId="77777777" w:rsidR="00175508" w:rsidRPr="00870208" w:rsidRDefault="00175508" w:rsidP="00842012">
            <w:pPr>
              <w:ind w:left="166"/>
              <w:rPr>
                <w:rFonts w:ascii="Arial" w:hAnsi="Arial" w:cs="Arial"/>
                <w:sz w:val="24"/>
                <w:szCs w:val="24"/>
              </w:rPr>
            </w:pPr>
          </w:p>
          <w:p w14:paraId="08F81746" w14:textId="77777777" w:rsidR="00175508" w:rsidRPr="00870208" w:rsidRDefault="00175508" w:rsidP="00842012">
            <w:pPr>
              <w:ind w:left="166"/>
              <w:rPr>
                <w:rFonts w:ascii="Arial" w:hAnsi="Arial" w:cs="Arial"/>
                <w:sz w:val="24"/>
                <w:szCs w:val="24"/>
              </w:rPr>
            </w:pPr>
            <w:r w:rsidRPr="00870208">
              <w:rPr>
                <w:rFonts w:ascii="Arial" w:hAnsi="Arial" w:cs="Arial"/>
                <w:b/>
                <w:bCs/>
                <w:i/>
                <w:iCs/>
                <w:sz w:val="24"/>
                <w:szCs w:val="24"/>
              </w:rPr>
              <w:t>Note:</w:t>
            </w:r>
            <w:r w:rsidRPr="00870208">
              <w:rPr>
                <w:rFonts w:ascii="Arial" w:hAnsi="Arial" w:cs="Arial"/>
                <w:sz w:val="24"/>
                <w:szCs w:val="24"/>
              </w:rPr>
              <w:t xml:space="preserve"> eBenefits will automatically establish a Rating End Product EP.</w:t>
            </w:r>
          </w:p>
          <w:p w14:paraId="55484E2A" w14:textId="6DA90A2B" w:rsidR="00175508" w:rsidRPr="00870208" w:rsidRDefault="00175508" w:rsidP="00842012">
            <w:pPr>
              <w:ind w:left="166"/>
              <w:rPr>
                <w:rFonts w:ascii="Arial" w:hAnsi="Arial" w:cs="Arial"/>
                <w:sz w:val="24"/>
                <w:szCs w:val="24"/>
              </w:rPr>
            </w:pPr>
          </w:p>
        </w:tc>
      </w:tr>
      <w:tr w:rsidR="00175508" w:rsidRPr="00870208" w14:paraId="3B282601" w14:textId="77777777" w:rsidTr="00175508">
        <w:tc>
          <w:tcPr>
            <w:tcW w:w="805" w:type="dxa"/>
          </w:tcPr>
          <w:p w14:paraId="0764647D"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316FB613" w14:textId="77777777" w:rsidR="00175508" w:rsidRPr="00870208" w:rsidRDefault="00175508" w:rsidP="00842012">
            <w:pPr>
              <w:ind w:left="166"/>
              <w:rPr>
                <w:rFonts w:ascii="Arial" w:hAnsi="Arial" w:cs="Arial"/>
                <w:sz w:val="24"/>
                <w:szCs w:val="24"/>
              </w:rPr>
            </w:pPr>
            <w:r w:rsidRPr="00870208">
              <w:rPr>
                <w:rFonts w:ascii="Arial" w:hAnsi="Arial" w:cs="Arial"/>
                <w:sz w:val="24"/>
                <w:szCs w:val="24"/>
              </w:rPr>
              <w:t xml:space="preserve">Open the rating EP in VBMS, and copy the contentions from the rating EP to the EP 689 per the instructions on page 211 of the </w:t>
            </w:r>
            <w:hyperlink r:id="rId26" w:history="1">
              <w:r w:rsidRPr="00870208">
                <w:rPr>
                  <w:rStyle w:val="Hyperlink"/>
                  <w:rFonts w:ascii="Arial" w:hAnsi="Arial" w:cs="Arial"/>
                  <w:sz w:val="24"/>
                  <w:szCs w:val="24"/>
                </w:rPr>
                <w:t>VBMS Users Guide</w:t>
              </w:r>
            </w:hyperlink>
            <w:r w:rsidRPr="00870208">
              <w:rPr>
                <w:rFonts w:ascii="Arial" w:hAnsi="Arial" w:cs="Arial"/>
                <w:sz w:val="24"/>
                <w:szCs w:val="24"/>
              </w:rPr>
              <w:t>.</w:t>
            </w:r>
          </w:p>
          <w:p w14:paraId="25A8C641" w14:textId="77777777" w:rsidR="00175508" w:rsidRPr="00870208" w:rsidRDefault="00175508" w:rsidP="00842012">
            <w:pPr>
              <w:ind w:left="166"/>
              <w:rPr>
                <w:rFonts w:ascii="Arial" w:hAnsi="Arial" w:cs="Arial"/>
                <w:sz w:val="24"/>
                <w:szCs w:val="24"/>
              </w:rPr>
            </w:pPr>
          </w:p>
          <w:p w14:paraId="56CA6CCD" w14:textId="77777777" w:rsidR="00175508" w:rsidRPr="00870208" w:rsidRDefault="00175508" w:rsidP="00842012">
            <w:pPr>
              <w:ind w:left="166"/>
              <w:rPr>
                <w:rFonts w:ascii="Arial" w:hAnsi="Arial" w:cs="Arial"/>
                <w:sz w:val="24"/>
                <w:szCs w:val="24"/>
              </w:rPr>
            </w:pPr>
            <w:r w:rsidRPr="00870208">
              <w:rPr>
                <w:rFonts w:ascii="Arial" w:hAnsi="Arial" w:cs="Arial"/>
                <w:b/>
                <w:bCs/>
                <w:sz w:val="24"/>
                <w:szCs w:val="24"/>
              </w:rPr>
              <w:t>Notes</w:t>
            </w:r>
            <w:r w:rsidRPr="00870208">
              <w:rPr>
                <w:rFonts w:ascii="Arial" w:hAnsi="Arial" w:cs="Arial"/>
                <w:sz w:val="24"/>
                <w:szCs w:val="24"/>
              </w:rPr>
              <w:t xml:space="preserve">: </w:t>
            </w:r>
          </w:p>
          <w:p w14:paraId="2EBCCF5D" w14:textId="2F02D6A4" w:rsidR="00175508" w:rsidRPr="00870208" w:rsidRDefault="00175508" w:rsidP="00175508">
            <w:pPr>
              <w:pStyle w:val="ListParagraph"/>
              <w:numPr>
                <w:ilvl w:val="0"/>
                <w:numId w:val="41"/>
              </w:numPr>
              <w:rPr>
                <w:rFonts w:ascii="Arial" w:hAnsi="Arial" w:cs="Arial"/>
                <w:sz w:val="24"/>
                <w:szCs w:val="24"/>
              </w:rPr>
            </w:pPr>
            <w:r w:rsidRPr="00870208">
              <w:rPr>
                <w:rFonts w:ascii="Arial" w:hAnsi="Arial" w:cs="Arial"/>
                <w:sz w:val="24"/>
                <w:szCs w:val="24"/>
              </w:rPr>
              <w:t>This action will eliminate the need for the MSC to manually enter claimed conditions under the EP</w:t>
            </w:r>
            <w:r w:rsidR="00ED2084" w:rsidRPr="00870208">
              <w:rPr>
                <w:rFonts w:ascii="Arial" w:hAnsi="Arial" w:cs="Arial"/>
                <w:sz w:val="24"/>
                <w:szCs w:val="24"/>
              </w:rPr>
              <w:t xml:space="preserve"> 689</w:t>
            </w:r>
          </w:p>
          <w:p w14:paraId="1C6BE2ED" w14:textId="1D49EEAA" w:rsidR="00175508" w:rsidRPr="00870208" w:rsidRDefault="00175508" w:rsidP="00175508">
            <w:pPr>
              <w:pStyle w:val="ListParagraph"/>
              <w:numPr>
                <w:ilvl w:val="0"/>
                <w:numId w:val="41"/>
              </w:numPr>
              <w:rPr>
                <w:rFonts w:ascii="Arial" w:hAnsi="Arial" w:cs="Arial"/>
                <w:sz w:val="24"/>
                <w:szCs w:val="24"/>
              </w:rPr>
            </w:pPr>
            <w:r w:rsidRPr="00870208">
              <w:rPr>
                <w:rFonts w:ascii="Arial" w:hAnsi="Arial" w:cs="Arial"/>
                <w:sz w:val="24"/>
                <w:szCs w:val="24"/>
              </w:rPr>
              <w:t xml:space="preserve">To avoid duplication of contentions, MSCs must not copy any referred condition from the rating EP as this contention should have been previously entered under the 689 upon receipt of the referral (as indicated in step 1)   </w:t>
            </w:r>
          </w:p>
          <w:p w14:paraId="71ED6427" w14:textId="77777777" w:rsidR="00175508" w:rsidRPr="00870208" w:rsidRDefault="00175508" w:rsidP="00842012">
            <w:pPr>
              <w:ind w:left="166"/>
              <w:rPr>
                <w:rFonts w:ascii="Arial" w:hAnsi="Arial" w:cs="Arial"/>
                <w:sz w:val="24"/>
                <w:szCs w:val="24"/>
              </w:rPr>
            </w:pPr>
          </w:p>
        </w:tc>
      </w:tr>
      <w:tr w:rsidR="00175508" w:rsidRPr="00870208" w14:paraId="2B238401" w14:textId="77777777" w:rsidTr="00175508">
        <w:trPr>
          <w:trHeight w:val="143"/>
        </w:trPr>
        <w:tc>
          <w:tcPr>
            <w:tcW w:w="805" w:type="dxa"/>
          </w:tcPr>
          <w:p w14:paraId="0E46B554"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4155CB62" w14:textId="77777777" w:rsidR="00175508" w:rsidRPr="00870208" w:rsidRDefault="00175508" w:rsidP="00842012">
            <w:pPr>
              <w:ind w:left="166"/>
              <w:rPr>
                <w:rFonts w:ascii="Arial" w:hAnsi="Arial" w:cs="Arial"/>
                <w:sz w:val="24"/>
                <w:szCs w:val="24"/>
              </w:rPr>
            </w:pPr>
            <w:r w:rsidRPr="00870208">
              <w:rPr>
                <w:rFonts w:ascii="Arial" w:hAnsi="Arial" w:cs="Arial"/>
                <w:sz w:val="24"/>
                <w:szCs w:val="24"/>
              </w:rPr>
              <w:t xml:space="preserve">Review the EP 689 in VBMS to ensure it reflects all contentions the participant has claimed, as well as all referred conditions (indicated on the VA Form 21-0819). </w:t>
            </w:r>
          </w:p>
          <w:p w14:paraId="49A71D80" w14:textId="30A19174" w:rsidR="00175508" w:rsidRPr="00870208" w:rsidRDefault="00175508" w:rsidP="00842012">
            <w:pPr>
              <w:ind w:left="166"/>
              <w:rPr>
                <w:rFonts w:ascii="Arial" w:hAnsi="Arial" w:cs="Arial"/>
                <w:sz w:val="24"/>
                <w:szCs w:val="24"/>
              </w:rPr>
            </w:pPr>
          </w:p>
        </w:tc>
      </w:tr>
      <w:tr w:rsidR="00175508" w:rsidRPr="00870208" w14:paraId="7512A0F1" w14:textId="77777777" w:rsidTr="00175508">
        <w:trPr>
          <w:trHeight w:val="143"/>
        </w:trPr>
        <w:tc>
          <w:tcPr>
            <w:tcW w:w="805" w:type="dxa"/>
          </w:tcPr>
          <w:p w14:paraId="0C8BDF4D" w14:textId="77777777" w:rsidR="00175508" w:rsidRPr="00870208" w:rsidRDefault="00175508" w:rsidP="00175508">
            <w:pPr>
              <w:pStyle w:val="ListParagraph"/>
              <w:numPr>
                <w:ilvl w:val="0"/>
                <w:numId w:val="38"/>
              </w:numPr>
              <w:rPr>
                <w:rFonts w:ascii="Arial" w:hAnsi="Arial" w:cs="Arial"/>
                <w:sz w:val="24"/>
                <w:szCs w:val="24"/>
              </w:rPr>
            </w:pPr>
          </w:p>
        </w:tc>
        <w:tc>
          <w:tcPr>
            <w:tcW w:w="10620" w:type="dxa"/>
          </w:tcPr>
          <w:p w14:paraId="6D0244A4" w14:textId="56BD0FCD" w:rsidR="00175508" w:rsidRPr="00870208" w:rsidRDefault="00175508" w:rsidP="00842012">
            <w:pPr>
              <w:ind w:left="166"/>
              <w:rPr>
                <w:rFonts w:ascii="Arial" w:hAnsi="Arial" w:cs="Arial"/>
                <w:sz w:val="24"/>
                <w:szCs w:val="24"/>
              </w:rPr>
            </w:pPr>
            <w:r w:rsidRPr="00870208">
              <w:rPr>
                <w:rFonts w:ascii="Arial" w:hAnsi="Arial" w:cs="Arial"/>
                <w:sz w:val="24"/>
                <w:szCs w:val="24"/>
              </w:rPr>
              <w:t>Cancel the Pending Rating EP associated with the application submitted via eBenefits</w:t>
            </w:r>
            <w:r w:rsidR="00297CAE" w:rsidRPr="00870208">
              <w:rPr>
                <w:rFonts w:ascii="Arial" w:hAnsi="Arial" w:cs="Arial"/>
                <w:sz w:val="24"/>
                <w:szCs w:val="24"/>
              </w:rPr>
              <w:t xml:space="preserve"> (this action must be completed in SHARE</w:t>
            </w:r>
            <w:r w:rsidR="000A235E" w:rsidRPr="00870208">
              <w:rPr>
                <w:rFonts w:ascii="Arial" w:hAnsi="Arial" w:cs="Arial"/>
                <w:sz w:val="24"/>
                <w:szCs w:val="24"/>
              </w:rPr>
              <w:t>).</w:t>
            </w:r>
          </w:p>
          <w:p w14:paraId="0B104636" w14:textId="77777777" w:rsidR="00175508" w:rsidRPr="00870208" w:rsidRDefault="00175508" w:rsidP="00842012">
            <w:pPr>
              <w:ind w:left="166"/>
              <w:rPr>
                <w:rFonts w:ascii="Arial" w:hAnsi="Arial" w:cs="Arial"/>
                <w:b/>
                <w:bCs/>
                <w:sz w:val="24"/>
                <w:szCs w:val="24"/>
              </w:rPr>
            </w:pPr>
          </w:p>
          <w:p w14:paraId="0A623833" w14:textId="5A2A901D" w:rsidR="00175508" w:rsidRPr="00870208" w:rsidRDefault="00175508" w:rsidP="00842012">
            <w:pPr>
              <w:ind w:left="166"/>
              <w:rPr>
                <w:rFonts w:ascii="Arial" w:hAnsi="Arial" w:cs="Arial"/>
                <w:sz w:val="24"/>
                <w:szCs w:val="24"/>
              </w:rPr>
            </w:pPr>
            <w:r w:rsidRPr="00870208">
              <w:rPr>
                <w:rFonts w:ascii="Arial" w:hAnsi="Arial" w:cs="Arial"/>
                <w:b/>
                <w:bCs/>
                <w:sz w:val="24"/>
                <w:szCs w:val="24"/>
              </w:rPr>
              <w:t>Important:</w:t>
            </w:r>
            <w:r w:rsidRPr="00870208">
              <w:rPr>
                <w:rFonts w:ascii="Arial" w:hAnsi="Arial" w:cs="Arial"/>
                <w:sz w:val="24"/>
                <w:szCs w:val="24"/>
              </w:rPr>
              <w:t xml:space="preserve"> it is </w:t>
            </w:r>
            <w:proofErr w:type="gramStart"/>
            <w:r w:rsidRPr="00870208">
              <w:rPr>
                <w:rFonts w:ascii="Arial" w:hAnsi="Arial" w:cs="Arial"/>
                <w:sz w:val="24"/>
                <w:szCs w:val="24"/>
                <w:u w:val="single"/>
              </w:rPr>
              <w:t>absolutely critical</w:t>
            </w:r>
            <w:proofErr w:type="gramEnd"/>
            <w:r w:rsidRPr="00870208">
              <w:rPr>
                <w:rFonts w:ascii="Arial" w:hAnsi="Arial" w:cs="Arial"/>
                <w:sz w:val="24"/>
                <w:szCs w:val="24"/>
              </w:rPr>
              <w:t xml:space="preserve"> that the MSC promptly cancel the rating EP.</w:t>
            </w:r>
            <w:r w:rsidR="00B85292" w:rsidRPr="00870208">
              <w:rPr>
                <w:rFonts w:ascii="Arial" w:hAnsi="Arial" w:cs="Arial"/>
                <w:sz w:val="24"/>
                <w:szCs w:val="24"/>
              </w:rPr>
              <w:t xml:space="preserve"> </w:t>
            </w:r>
            <w:r w:rsidRPr="00870208">
              <w:rPr>
                <w:rFonts w:ascii="Arial" w:hAnsi="Arial" w:cs="Arial"/>
                <w:sz w:val="24"/>
                <w:szCs w:val="24"/>
              </w:rPr>
              <w:t xml:space="preserve">If this EP remains pending overnight, NWQ will route the claim to a VSC for processing, where it will likely create problems and confusion, resulting in unnecessary work for VSC employees and may complicate or delay IDES processing. </w:t>
            </w:r>
          </w:p>
        </w:tc>
      </w:tr>
      <w:tr w:rsidR="000A235E" w:rsidRPr="00B85292" w14:paraId="120AB820" w14:textId="77777777" w:rsidTr="00175508">
        <w:trPr>
          <w:trHeight w:val="143"/>
        </w:trPr>
        <w:tc>
          <w:tcPr>
            <w:tcW w:w="805" w:type="dxa"/>
          </w:tcPr>
          <w:p w14:paraId="126C9F41" w14:textId="77777777" w:rsidR="000A235E" w:rsidRPr="00870208" w:rsidRDefault="000A235E" w:rsidP="00175508">
            <w:pPr>
              <w:pStyle w:val="ListParagraph"/>
              <w:numPr>
                <w:ilvl w:val="0"/>
                <w:numId w:val="38"/>
              </w:numPr>
              <w:rPr>
                <w:rFonts w:ascii="Arial" w:hAnsi="Arial" w:cs="Arial"/>
              </w:rPr>
            </w:pPr>
          </w:p>
        </w:tc>
        <w:tc>
          <w:tcPr>
            <w:tcW w:w="10620" w:type="dxa"/>
          </w:tcPr>
          <w:p w14:paraId="5E1AF62A" w14:textId="33FC92C5" w:rsidR="00ED2084" w:rsidRPr="00870208" w:rsidRDefault="000A235E" w:rsidP="000A235E">
            <w:pPr>
              <w:ind w:left="166"/>
              <w:rPr>
                <w:rFonts w:ascii="Arial" w:hAnsi="Arial" w:cs="Arial"/>
                <w:sz w:val="24"/>
                <w:szCs w:val="24"/>
              </w:rPr>
            </w:pPr>
            <w:r w:rsidRPr="00870208">
              <w:rPr>
                <w:rFonts w:ascii="Arial" w:hAnsi="Arial" w:cs="Arial"/>
                <w:sz w:val="24"/>
                <w:szCs w:val="24"/>
              </w:rPr>
              <w:t>Add a note in VBMS explaining the reason for the EP cancellation</w:t>
            </w:r>
            <w:r w:rsidR="00ED2084" w:rsidRPr="00870208">
              <w:rPr>
                <w:rFonts w:ascii="Arial" w:hAnsi="Arial" w:cs="Arial"/>
                <w:sz w:val="24"/>
                <w:szCs w:val="24"/>
              </w:rPr>
              <w:t xml:space="preserve"> and that the claim is </w:t>
            </w:r>
            <w:r w:rsidR="00BE7519" w:rsidRPr="00870208">
              <w:rPr>
                <w:rFonts w:ascii="Arial" w:hAnsi="Arial" w:cs="Arial"/>
                <w:sz w:val="24"/>
                <w:szCs w:val="24"/>
              </w:rPr>
              <w:t>currently</w:t>
            </w:r>
            <w:r w:rsidR="00ED2084" w:rsidRPr="00870208">
              <w:rPr>
                <w:rFonts w:ascii="Arial" w:hAnsi="Arial" w:cs="Arial"/>
                <w:sz w:val="24"/>
                <w:szCs w:val="24"/>
              </w:rPr>
              <w:t xml:space="preserve"> controlled under EP 689. </w:t>
            </w:r>
          </w:p>
          <w:p w14:paraId="21C1546A" w14:textId="77777777" w:rsidR="00ED2084" w:rsidRPr="00870208" w:rsidRDefault="00ED2084" w:rsidP="000A235E">
            <w:pPr>
              <w:ind w:left="166"/>
              <w:rPr>
                <w:rFonts w:ascii="Arial" w:hAnsi="Arial" w:cs="Arial"/>
                <w:sz w:val="24"/>
                <w:szCs w:val="24"/>
              </w:rPr>
            </w:pPr>
          </w:p>
          <w:p w14:paraId="6C263D4E" w14:textId="585DACF5" w:rsidR="000A235E" w:rsidRPr="00ED2084" w:rsidRDefault="00ED2084" w:rsidP="00ED2084">
            <w:pPr>
              <w:ind w:left="166"/>
              <w:rPr>
                <w:rFonts w:ascii="Arial" w:hAnsi="Arial" w:cs="Arial"/>
              </w:rPr>
            </w:pPr>
            <w:r w:rsidRPr="00870208">
              <w:rPr>
                <w:rFonts w:ascii="Arial" w:hAnsi="Arial" w:cs="Arial"/>
                <w:b/>
                <w:bCs/>
                <w:sz w:val="24"/>
                <w:szCs w:val="24"/>
              </w:rPr>
              <w:t>Note:</w:t>
            </w:r>
            <w:r w:rsidRPr="00870208">
              <w:rPr>
                <w:rFonts w:ascii="Arial" w:hAnsi="Arial" w:cs="Arial"/>
                <w:sz w:val="24"/>
                <w:szCs w:val="24"/>
              </w:rPr>
              <w:t xml:space="preserve"> </w:t>
            </w:r>
            <w:r w:rsidR="000A235E" w:rsidRPr="00870208">
              <w:rPr>
                <w:rFonts w:ascii="Arial" w:hAnsi="Arial" w:cs="Arial"/>
                <w:sz w:val="24"/>
                <w:szCs w:val="24"/>
              </w:rPr>
              <w:t>The IDES claim and all associated issues will remain controlled under the EP 689 as typical in routine IDES processing.</w:t>
            </w:r>
            <w:r w:rsidR="000A235E" w:rsidRPr="00ED2084">
              <w:rPr>
                <w:rFonts w:ascii="Arial" w:hAnsi="Arial" w:cs="Arial"/>
                <w:sz w:val="24"/>
                <w:szCs w:val="24"/>
              </w:rPr>
              <w:t xml:space="preserve"> </w:t>
            </w:r>
          </w:p>
        </w:tc>
      </w:tr>
      <w:bookmarkEnd w:id="58"/>
    </w:tbl>
    <w:p w14:paraId="2BBBEC67" w14:textId="368923B4" w:rsidR="00BD11FD" w:rsidRDefault="00BD11FD" w:rsidP="00173817">
      <w:pPr>
        <w:spacing w:line="259" w:lineRule="auto"/>
        <w:rPr>
          <w:rFonts w:ascii="Arial" w:eastAsia="Calibri" w:hAnsi="Arial" w:cs="Arial"/>
          <w:b/>
          <w:color w:val="auto"/>
          <w:sz w:val="28"/>
          <w:szCs w:val="28"/>
          <w:u w:val="single"/>
        </w:rPr>
      </w:pPr>
    </w:p>
    <w:p w14:paraId="38454311" w14:textId="17DD0FD2" w:rsidR="00623CB5" w:rsidRDefault="00650932" w:rsidP="00173817">
      <w:pPr>
        <w:spacing w:line="259" w:lineRule="auto"/>
        <w:rPr>
          <w:rFonts w:ascii="Arial" w:eastAsia="Calibri" w:hAnsi="Arial" w:cs="Arial"/>
          <w:color w:val="auto"/>
        </w:rPr>
      </w:pPr>
      <w:r w:rsidRPr="008F3A5D">
        <w:rPr>
          <w:rFonts w:ascii="Arial" w:eastAsia="Calibri" w:hAnsi="Arial" w:cs="Arial"/>
          <w:b/>
          <w:color w:val="auto"/>
          <w:sz w:val="28"/>
          <w:szCs w:val="28"/>
          <w:u w:val="single"/>
        </w:rPr>
        <w:t>IDES Examinations</w:t>
      </w:r>
      <w:r w:rsidR="00175508" w:rsidRPr="008F3A5D">
        <w:rPr>
          <w:rFonts w:ascii="Arial" w:eastAsia="Calibri" w:hAnsi="Arial" w:cs="Arial"/>
          <w:b/>
          <w:color w:val="auto"/>
          <w:sz w:val="28"/>
          <w:szCs w:val="28"/>
          <w:u w:val="single"/>
        </w:rPr>
        <w:t xml:space="preserve"> </w:t>
      </w:r>
      <w:r w:rsidR="00B85292" w:rsidRPr="008F3A5D">
        <w:rPr>
          <w:rFonts w:ascii="Arial" w:eastAsia="Calibri" w:hAnsi="Arial" w:cs="Arial"/>
          <w:b/>
          <w:color w:val="auto"/>
          <w:sz w:val="28"/>
          <w:szCs w:val="28"/>
          <w:u w:val="single"/>
        </w:rPr>
        <w:t>Must Address</w:t>
      </w:r>
      <w:r w:rsidR="00175508" w:rsidRPr="008F3A5D">
        <w:rPr>
          <w:rFonts w:ascii="Arial" w:eastAsia="Calibri" w:hAnsi="Arial" w:cs="Arial"/>
          <w:b/>
          <w:color w:val="auto"/>
          <w:sz w:val="28"/>
          <w:szCs w:val="28"/>
          <w:u w:val="single"/>
        </w:rPr>
        <w:t xml:space="preserve"> all Claimed and Referred Conditions</w:t>
      </w:r>
      <w:r w:rsidR="00175508">
        <w:rPr>
          <w:rFonts w:ascii="Arial" w:eastAsia="Calibri" w:hAnsi="Arial" w:cs="Arial"/>
          <w:b/>
          <w:color w:val="auto"/>
          <w:sz w:val="28"/>
          <w:szCs w:val="28"/>
          <w:u w:val="single"/>
        </w:rPr>
        <w:t xml:space="preserve">  </w:t>
      </w:r>
    </w:p>
    <w:p w14:paraId="7B8ABDAA" w14:textId="0123EC3D" w:rsidR="00175508" w:rsidRPr="00623CB5" w:rsidRDefault="00650932" w:rsidP="00127BD2">
      <w:pPr>
        <w:rPr>
          <w:rFonts w:ascii="Arial" w:eastAsia="Calibri" w:hAnsi="Arial" w:cs="Arial"/>
          <w:color w:val="auto"/>
        </w:rPr>
      </w:pPr>
      <w:r>
        <w:rPr>
          <w:rFonts w:ascii="Arial" w:eastAsia="Calibri" w:hAnsi="Arial" w:cs="Arial"/>
          <w:color w:val="auto"/>
        </w:rPr>
        <w:t xml:space="preserve">IDES exams </w:t>
      </w:r>
      <w:r w:rsidRPr="00650932">
        <w:rPr>
          <w:rFonts w:ascii="Arial" w:eastAsia="Calibri" w:hAnsi="Arial" w:cs="Arial"/>
          <w:color w:val="auto"/>
        </w:rPr>
        <w:t>must not be considered complete until all examinations (claimed and referred conditions and the SHA DBQ</w:t>
      </w:r>
      <w:r w:rsidR="00175508">
        <w:rPr>
          <w:rFonts w:ascii="Arial" w:eastAsia="Calibri" w:hAnsi="Arial" w:cs="Arial"/>
          <w:color w:val="auto"/>
        </w:rPr>
        <w:t xml:space="preserve">) </w:t>
      </w:r>
      <w:r w:rsidRPr="00650932">
        <w:rPr>
          <w:rFonts w:ascii="Arial" w:eastAsia="Calibri" w:hAnsi="Arial" w:cs="Arial"/>
          <w:color w:val="auto"/>
        </w:rPr>
        <w:t xml:space="preserve">have been completed. </w:t>
      </w:r>
      <w:r w:rsidR="00175508">
        <w:rPr>
          <w:rFonts w:ascii="Arial" w:eastAsia="Calibri" w:hAnsi="Arial" w:cs="Arial"/>
          <w:color w:val="auto"/>
        </w:rPr>
        <w:t xml:space="preserve">These cases must remain in the Medical Evaluation Stage, and not pushed forward to the PEBLO or DRAS until examinations for all conditions have been completed. VA and DoD may </w:t>
      </w:r>
      <w:r w:rsidR="00175508">
        <w:rPr>
          <w:rFonts w:ascii="Arial" w:eastAsia="Calibri" w:hAnsi="Arial" w:cs="Arial"/>
          <w:color w:val="auto"/>
        </w:rPr>
        <w:lastRenderedPageBreak/>
        <w:t>consider some changes to IDES policy that</w:t>
      </w:r>
      <w:r w:rsidR="00555229">
        <w:rPr>
          <w:rFonts w:ascii="Arial" w:eastAsia="Calibri" w:hAnsi="Arial" w:cs="Arial"/>
          <w:color w:val="auto"/>
        </w:rPr>
        <w:t xml:space="preserve"> may potentially</w:t>
      </w:r>
      <w:r w:rsidR="00175508">
        <w:rPr>
          <w:rFonts w:ascii="Arial" w:eastAsia="Calibri" w:hAnsi="Arial" w:cs="Arial"/>
          <w:color w:val="auto"/>
        </w:rPr>
        <w:t xml:space="preserve"> allow for some cases to move forward before all exams can be accomplished</w:t>
      </w:r>
      <w:r w:rsidR="00555229">
        <w:rPr>
          <w:rFonts w:ascii="Arial" w:eastAsia="Calibri" w:hAnsi="Arial" w:cs="Arial"/>
          <w:color w:val="auto"/>
        </w:rPr>
        <w:t>; however, at this time no such change has been approved, and all standard IDES requirements (including the requirement for the SHA and exams for all claimed and referred cond</w:t>
      </w:r>
      <w:r w:rsidR="00B85292">
        <w:rPr>
          <w:rFonts w:ascii="Arial" w:eastAsia="Calibri" w:hAnsi="Arial" w:cs="Arial"/>
          <w:color w:val="auto"/>
        </w:rPr>
        <w:t>i</w:t>
      </w:r>
      <w:r w:rsidR="00555229">
        <w:rPr>
          <w:rFonts w:ascii="Arial" w:eastAsia="Calibri" w:hAnsi="Arial" w:cs="Arial"/>
          <w:color w:val="auto"/>
        </w:rPr>
        <w:t xml:space="preserve">tions) remain in place. </w:t>
      </w:r>
    </w:p>
    <w:p w14:paraId="3595BADB" w14:textId="77777777" w:rsidR="005A72F3" w:rsidRPr="00623CB5" w:rsidRDefault="005A72F3" w:rsidP="005A72F3">
      <w:pPr>
        <w:rPr>
          <w:rFonts w:ascii="Arial" w:hAnsi="Arial" w:cs="Arial"/>
          <w:color w:val="auto"/>
        </w:rPr>
      </w:pPr>
    </w:p>
    <w:p w14:paraId="4BEC4006" w14:textId="3D34ED54" w:rsidR="00556B46" w:rsidRDefault="00556B46" w:rsidP="00556B46">
      <w:pPr>
        <w:pStyle w:val="Heading20"/>
      </w:pPr>
      <w:r>
        <w:t>Current IDES Program Timeliness</w:t>
      </w:r>
    </w:p>
    <w:p w14:paraId="4160F2D5" w14:textId="21C4905E" w:rsidR="00556B46" w:rsidRDefault="00556B46" w:rsidP="00556B46">
      <w:pPr>
        <w:rPr>
          <w:sz w:val="32"/>
        </w:rPr>
      </w:pPr>
      <w:bookmarkStart w:id="61" w:name="_Hlk31097617"/>
      <w:r>
        <w:rPr>
          <w:rFonts w:ascii="Arial" w:hAnsi="Arial" w:cs="Arial"/>
          <w:color w:val="auto"/>
        </w:rPr>
        <w:t xml:space="preserve">As outreach specialists </w:t>
      </w:r>
      <w:bookmarkEnd w:id="61"/>
      <w:r>
        <w:rPr>
          <w:rFonts w:ascii="Arial" w:hAnsi="Arial" w:cs="Arial"/>
          <w:color w:val="auto"/>
        </w:rPr>
        <w:t>and VA’s frontline contact with SMs and Veterans, it is vital that we are realistic in our communications regarding claims processing times</w:t>
      </w:r>
      <w:r w:rsidR="00BF0DC9">
        <w:rPr>
          <w:rFonts w:ascii="Arial" w:hAnsi="Arial" w:cs="Arial"/>
          <w:color w:val="auto"/>
        </w:rPr>
        <w:t xml:space="preserve">. </w:t>
      </w:r>
      <w:r>
        <w:rPr>
          <w:rFonts w:ascii="Arial" w:hAnsi="Arial" w:cs="Arial"/>
          <w:color w:val="auto"/>
        </w:rPr>
        <w:t xml:space="preserve">Below is the current program timeliness data (ADC) for </w:t>
      </w:r>
      <w:r w:rsidR="006B3858">
        <w:rPr>
          <w:rFonts w:ascii="Arial" w:hAnsi="Arial" w:cs="Arial"/>
          <w:color w:val="auto"/>
        </w:rPr>
        <w:t xml:space="preserve">March </w:t>
      </w:r>
      <w:r>
        <w:rPr>
          <w:rFonts w:ascii="Arial" w:hAnsi="Arial" w:cs="Arial"/>
          <w:color w:val="auto"/>
        </w:rPr>
        <w:t xml:space="preserve">2020.  </w:t>
      </w:r>
    </w:p>
    <w:p w14:paraId="3F50A840" w14:textId="77777777" w:rsidR="00556B46" w:rsidRDefault="00556B46" w:rsidP="00556B4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A86F05" w14:paraId="741344D5" w14:textId="77777777" w:rsidTr="00CB2E49">
        <w:trPr>
          <w:trHeight w:val="260"/>
          <w:jc w:val="center"/>
        </w:trPr>
        <w:tc>
          <w:tcPr>
            <w:tcW w:w="3960" w:type="dxa"/>
            <w:shd w:val="clear" w:color="auto" w:fill="DBE5F1" w:themeFill="accent1" w:themeFillTint="33"/>
            <w:vAlign w:val="center"/>
            <w:hideMark/>
          </w:tcPr>
          <w:p w14:paraId="1453750C" w14:textId="436C3B67" w:rsidR="00A86F05" w:rsidRPr="001D68F2" w:rsidRDefault="00A86F05" w:rsidP="00D27298">
            <w:pPr>
              <w:jc w:val="center"/>
              <w:rPr>
                <w:rFonts w:ascii="Arial" w:hAnsi="Arial" w:cs="Arial"/>
                <w:b/>
                <w:bCs/>
                <w:color w:val="auto"/>
                <w:sz w:val="28"/>
              </w:rPr>
            </w:pPr>
            <w:r>
              <w:rPr>
                <w:rFonts w:ascii="Arial" w:hAnsi="Arial" w:cs="Arial"/>
                <w:color w:val="auto"/>
                <w:sz w:val="28"/>
              </w:rPr>
              <w:br w:type="page"/>
            </w:r>
            <w:r w:rsidR="001D68F2" w:rsidRPr="001D68F2">
              <w:rPr>
                <w:rFonts w:ascii="Arial" w:hAnsi="Arial" w:cs="Arial"/>
                <w:b/>
                <w:bCs/>
                <w:color w:val="auto"/>
                <w:sz w:val="28"/>
              </w:rPr>
              <w:t>Stage/Phase</w:t>
            </w:r>
          </w:p>
        </w:tc>
        <w:tc>
          <w:tcPr>
            <w:tcW w:w="3150" w:type="dxa"/>
            <w:shd w:val="clear" w:color="auto" w:fill="DBE5F1" w:themeFill="accent1" w:themeFillTint="33"/>
          </w:tcPr>
          <w:p w14:paraId="5E34C7BE" w14:textId="26304C20" w:rsidR="00A86F05" w:rsidRDefault="00A86F05" w:rsidP="00D27298">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DBE5F1" w:themeFill="accent1" w:themeFillTint="33"/>
            <w:vAlign w:val="center"/>
            <w:hideMark/>
          </w:tcPr>
          <w:p w14:paraId="60BE0002" w14:textId="1770A637" w:rsidR="00A86F05" w:rsidRDefault="001D68F2" w:rsidP="00D27298">
            <w:pPr>
              <w:jc w:val="center"/>
              <w:rPr>
                <w:rFonts w:ascii="Arial" w:hAnsi="Arial" w:cs="Arial"/>
                <w:b/>
                <w:bCs/>
                <w:color w:val="auto"/>
                <w:sz w:val="28"/>
              </w:rPr>
            </w:pPr>
            <w:r w:rsidRPr="00173817">
              <w:rPr>
                <w:rFonts w:ascii="Arial" w:hAnsi="Arial" w:cs="Arial"/>
                <w:b/>
                <w:bCs/>
                <w:color w:val="auto"/>
                <w:sz w:val="28"/>
              </w:rPr>
              <w:t>March</w:t>
            </w:r>
            <w:r w:rsidRPr="00B6547A">
              <w:rPr>
                <w:rFonts w:ascii="Arial" w:hAnsi="Arial" w:cs="Arial"/>
                <w:b/>
                <w:color w:val="auto"/>
                <w:sz w:val="28"/>
              </w:rPr>
              <w:t xml:space="preserve"> 2020</w:t>
            </w:r>
            <w:r w:rsidR="00A86F05">
              <w:rPr>
                <w:rFonts w:ascii="Arial" w:hAnsi="Arial" w:cs="Arial"/>
                <w:b/>
                <w:bCs/>
                <w:color w:val="auto"/>
                <w:sz w:val="28"/>
              </w:rPr>
              <w:t xml:space="preserve"> (AD/NAD)</w:t>
            </w:r>
          </w:p>
        </w:tc>
      </w:tr>
      <w:tr w:rsidR="00A86F05" w14:paraId="5AA59617" w14:textId="77777777" w:rsidTr="00BD1067">
        <w:trPr>
          <w:trHeight w:val="308"/>
          <w:jc w:val="center"/>
        </w:trPr>
        <w:tc>
          <w:tcPr>
            <w:tcW w:w="3960" w:type="dxa"/>
            <w:shd w:val="clear" w:color="auto" w:fill="auto"/>
            <w:vAlign w:val="center"/>
            <w:hideMark/>
          </w:tcPr>
          <w:p w14:paraId="2244A61A" w14:textId="77777777" w:rsidR="00A86F05" w:rsidRDefault="00A86F05" w:rsidP="00D27298">
            <w:pPr>
              <w:rPr>
                <w:rFonts w:ascii="Arial" w:hAnsi="Arial" w:cs="Arial"/>
                <w:b/>
                <w:color w:val="auto"/>
              </w:rPr>
            </w:pPr>
            <w:r>
              <w:rPr>
                <w:rFonts w:ascii="Arial" w:hAnsi="Arial" w:cs="Arial"/>
                <w:b/>
                <w:color w:val="auto"/>
              </w:rPr>
              <w:t xml:space="preserve">Claim Dev </w:t>
            </w:r>
          </w:p>
        </w:tc>
        <w:tc>
          <w:tcPr>
            <w:tcW w:w="3150" w:type="dxa"/>
          </w:tcPr>
          <w:p w14:paraId="04EB5F9D" w14:textId="3D74F862" w:rsidR="00A86F05" w:rsidRDefault="00A86F05" w:rsidP="00D27298">
            <w:pPr>
              <w:jc w:val="center"/>
              <w:rPr>
                <w:rFonts w:ascii="Arial" w:eastAsiaTheme="minorHAnsi" w:hAnsi="Arial" w:cs="Arial"/>
                <w:b/>
                <w:color w:val="auto"/>
              </w:rPr>
            </w:pPr>
            <w:r>
              <w:rPr>
                <w:rFonts w:ascii="Arial" w:eastAsiaTheme="minorHAnsi" w:hAnsi="Arial" w:cs="Arial"/>
                <w:b/>
                <w:color w:val="auto"/>
              </w:rPr>
              <w:t>5/11</w:t>
            </w:r>
          </w:p>
        </w:tc>
        <w:tc>
          <w:tcPr>
            <w:tcW w:w="3150" w:type="dxa"/>
            <w:shd w:val="clear" w:color="auto" w:fill="auto"/>
          </w:tcPr>
          <w:p w14:paraId="3EA4FDB3" w14:textId="2F213778" w:rsidR="00A86F05" w:rsidRDefault="00504B08" w:rsidP="00D27298">
            <w:pPr>
              <w:jc w:val="center"/>
              <w:rPr>
                <w:rFonts w:ascii="Arial" w:eastAsiaTheme="minorHAnsi" w:hAnsi="Arial" w:cs="Arial"/>
                <w:b/>
                <w:color w:val="auto"/>
              </w:rPr>
            </w:pPr>
            <w:r>
              <w:rPr>
                <w:rFonts w:ascii="Arial" w:eastAsiaTheme="minorHAnsi" w:hAnsi="Arial" w:cs="Arial"/>
                <w:b/>
                <w:color w:val="auto"/>
              </w:rPr>
              <w:t>7/9</w:t>
            </w:r>
          </w:p>
        </w:tc>
      </w:tr>
      <w:tr w:rsidR="00A86F05" w14:paraId="705D898B" w14:textId="77777777" w:rsidTr="00BD1067">
        <w:trPr>
          <w:trHeight w:val="308"/>
          <w:jc w:val="center"/>
        </w:trPr>
        <w:tc>
          <w:tcPr>
            <w:tcW w:w="3960" w:type="dxa"/>
            <w:shd w:val="clear" w:color="auto" w:fill="auto"/>
            <w:vAlign w:val="center"/>
          </w:tcPr>
          <w:p w14:paraId="1D7BD6EF" w14:textId="77777777" w:rsidR="00A86F05" w:rsidRDefault="00A86F05" w:rsidP="00D27298">
            <w:pPr>
              <w:rPr>
                <w:rFonts w:ascii="Arial" w:hAnsi="Arial" w:cs="Arial"/>
                <w:b/>
                <w:color w:val="auto"/>
              </w:rPr>
            </w:pPr>
            <w:r>
              <w:rPr>
                <w:rFonts w:ascii="Arial" w:hAnsi="Arial" w:cs="Arial"/>
                <w:b/>
                <w:color w:val="auto"/>
              </w:rPr>
              <w:t>Medical Stage</w:t>
            </w:r>
          </w:p>
        </w:tc>
        <w:tc>
          <w:tcPr>
            <w:tcW w:w="3150" w:type="dxa"/>
          </w:tcPr>
          <w:p w14:paraId="5A7460A8" w14:textId="2C2FD712" w:rsidR="00A86F05" w:rsidRDefault="00A86F05" w:rsidP="00D27298">
            <w:pPr>
              <w:jc w:val="center"/>
              <w:rPr>
                <w:rFonts w:ascii="Arial" w:eastAsiaTheme="minorHAnsi" w:hAnsi="Arial" w:cs="Arial"/>
                <w:b/>
                <w:color w:val="auto"/>
              </w:rPr>
            </w:pPr>
            <w:r>
              <w:rPr>
                <w:rFonts w:ascii="Arial" w:eastAsiaTheme="minorHAnsi" w:hAnsi="Arial" w:cs="Arial"/>
                <w:b/>
                <w:color w:val="auto"/>
              </w:rPr>
              <w:t>32</w:t>
            </w:r>
          </w:p>
        </w:tc>
        <w:tc>
          <w:tcPr>
            <w:tcW w:w="3150" w:type="dxa"/>
            <w:shd w:val="clear" w:color="auto" w:fill="auto"/>
          </w:tcPr>
          <w:p w14:paraId="32F15BDA" w14:textId="6BFDFB94" w:rsidR="00A86F05" w:rsidRDefault="00504B08" w:rsidP="00D27298">
            <w:pPr>
              <w:jc w:val="center"/>
              <w:rPr>
                <w:rFonts w:ascii="Arial" w:eastAsiaTheme="minorHAnsi" w:hAnsi="Arial" w:cs="Arial"/>
                <w:b/>
                <w:color w:val="auto"/>
              </w:rPr>
            </w:pPr>
            <w:r>
              <w:rPr>
                <w:rFonts w:ascii="Arial" w:eastAsiaTheme="minorHAnsi" w:hAnsi="Arial" w:cs="Arial"/>
                <w:b/>
                <w:color w:val="auto"/>
              </w:rPr>
              <w:t>42/36</w:t>
            </w:r>
          </w:p>
        </w:tc>
      </w:tr>
      <w:tr w:rsidR="00A86F05" w14:paraId="455D0B21" w14:textId="77777777" w:rsidTr="00BD1067">
        <w:trPr>
          <w:trHeight w:val="308"/>
          <w:jc w:val="center"/>
        </w:trPr>
        <w:tc>
          <w:tcPr>
            <w:tcW w:w="3960" w:type="dxa"/>
            <w:shd w:val="clear" w:color="auto" w:fill="auto"/>
            <w:vAlign w:val="center"/>
            <w:hideMark/>
          </w:tcPr>
          <w:p w14:paraId="4F72810C" w14:textId="77777777" w:rsidR="00A86F05" w:rsidRDefault="00A86F05" w:rsidP="00D27298">
            <w:pPr>
              <w:rPr>
                <w:rFonts w:ascii="Arial" w:hAnsi="Arial" w:cs="Arial"/>
                <w:b/>
                <w:color w:val="auto"/>
              </w:rPr>
            </w:pPr>
            <w:r>
              <w:rPr>
                <w:rFonts w:ascii="Arial" w:hAnsi="Arial" w:cs="Arial"/>
                <w:b/>
                <w:color w:val="auto"/>
              </w:rPr>
              <w:t>Proposed Ratings</w:t>
            </w:r>
          </w:p>
        </w:tc>
        <w:tc>
          <w:tcPr>
            <w:tcW w:w="3150" w:type="dxa"/>
          </w:tcPr>
          <w:p w14:paraId="30D0A044" w14:textId="2B134311"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76CD8465" w14:textId="1CA2B10F" w:rsidR="00A86F05" w:rsidRDefault="00504B08" w:rsidP="00D27298">
            <w:pPr>
              <w:jc w:val="center"/>
              <w:rPr>
                <w:rFonts w:ascii="Arial" w:eastAsiaTheme="minorHAnsi" w:hAnsi="Arial" w:cs="Arial"/>
                <w:b/>
                <w:color w:val="auto"/>
              </w:rPr>
            </w:pPr>
            <w:r>
              <w:rPr>
                <w:rFonts w:ascii="Arial" w:eastAsiaTheme="minorHAnsi" w:hAnsi="Arial" w:cs="Arial"/>
                <w:b/>
                <w:color w:val="auto"/>
              </w:rPr>
              <w:t>21/31</w:t>
            </w:r>
          </w:p>
        </w:tc>
      </w:tr>
      <w:tr w:rsidR="00A86F05" w14:paraId="5C603A05" w14:textId="77777777" w:rsidTr="00BD1067">
        <w:trPr>
          <w:trHeight w:val="308"/>
          <w:jc w:val="center"/>
        </w:trPr>
        <w:tc>
          <w:tcPr>
            <w:tcW w:w="3960" w:type="dxa"/>
            <w:shd w:val="clear" w:color="auto" w:fill="auto"/>
            <w:vAlign w:val="center"/>
            <w:hideMark/>
          </w:tcPr>
          <w:p w14:paraId="1D80D552" w14:textId="77777777" w:rsidR="00A86F05" w:rsidRDefault="00A86F05" w:rsidP="00D27298">
            <w:pPr>
              <w:rPr>
                <w:rFonts w:ascii="Arial" w:hAnsi="Arial" w:cs="Arial"/>
                <w:b/>
                <w:color w:val="auto"/>
              </w:rPr>
            </w:pPr>
            <w:r>
              <w:rPr>
                <w:rFonts w:ascii="Arial" w:hAnsi="Arial" w:cs="Arial"/>
                <w:b/>
                <w:color w:val="auto"/>
              </w:rPr>
              <w:t xml:space="preserve">Recon Ratings </w:t>
            </w:r>
          </w:p>
        </w:tc>
        <w:tc>
          <w:tcPr>
            <w:tcW w:w="3150" w:type="dxa"/>
          </w:tcPr>
          <w:p w14:paraId="167FB877" w14:textId="1D00AEA2" w:rsidR="00A86F05" w:rsidRDefault="00A86F05" w:rsidP="00D27298">
            <w:pPr>
              <w:jc w:val="center"/>
              <w:rPr>
                <w:rFonts w:ascii="Arial" w:eastAsiaTheme="minorHAnsi" w:hAnsi="Arial" w:cs="Arial"/>
                <w:b/>
                <w:color w:val="auto"/>
              </w:rPr>
            </w:pPr>
            <w:r>
              <w:rPr>
                <w:rFonts w:ascii="Arial" w:eastAsiaTheme="minorHAnsi" w:hAnsi="Arial" w:cs="Arial"/>
                <w:b/>
                <w:color w:val="auto"/>
              </w:rPr>
              <w:t>4</w:t>
            </w:r>
          </w:p>
        </w:tc>
        <w:tc>
          <w:tcPr>
            <w:tcW w:w="3150" w:type="dxa"/>
            <w:shd w:val="clear" w:color="auto" w:fill="auto"/>
          </w:tcPr>
          <w:p w14:paraId="72846694" w14:textId="35D521DC" w:rsidR="00A86F05" w:rsidRDefault="00504B08" w:rsidP="00D27298">
            <w:pPr>
              <w:jc w:val="center"/>
              <w:rPr>
                <w:rFonts w:ascii="Arial" w:eastAsiaTheme="minorHAnsi" w:hAnsi="Arial" w:cs="Arial"/>
                <w:b/>
                <w:color w:val="auto"/>
              </w:rPr>
            </w:pPr>
            <w:r>
              <w:rPr>
                <w:rFonts w:ascii="Arial" w:eastAsiaTheme="minorHAnsi" w:hAnsi="Arial" w:cs="Arial"/>
                <w:b/>
                <w:color w:val="auto"/>
              </w:rPr>
              <w:t>8/7</w:t>
            </w:r>
          </w:p>
        </w:tc>
      </w:tr>
      <w:tr w:rsidR="00A86F05" w14:paraId="78D66C0F" w14:textId="77777777" w:rsidTr="00BD1067">
        <w:trPr>
          <w:trHeight w:val="308"/>
          <w:jc w:val="center"/>
        </w:trPr>
        <w:tc>
          <w:tcPr>
            <w:tcW w:w="3960" w:type="dxa"/>
            <w:shd w:val="clear" w:color="auto" w:fill="auto"/>
            <w:vAlign w:val="center"/>
            <w:hideMark/>
          </w:tcPr>
          <w:p w14:paraId="729EAE33" w14:textId="77777777" w:rsidR="00A86F05" w:rsidRDefault="00A86F05" w:rsidP="00D27298">
            <w:pPr>
              <w:rPr>
                <w:rFonts w:ascii="Arial" w:hAnsi="Arial" w:cs="Arial"/>
                <w:b/>
                <w:color w:val="auto"/>
              </w:rPr>
            </w:pPr>
            <w:r>
              <w:rPr>
                <w:rFonts w:ascii="Arial" w:hAnsi="Arial" w:cs="Arial"/>
                <w:b/>
                <w:color w:val="auto"/>
              </w:rPr>
              <w:t>Exit Interviews</w:t>
            </w:r>
          </w:p>
        </w:tc>
        <w:tc>
          <w:tcPr>
            <w:tcW w:w="3150" w:type="dxa"/>
          </w:tcPr>
          <w:p w14:paraId="3D912EC4" w14:textId="3B06BAB4" w:rsidR="00A86F05" w:rsidRDefault="00A86F05" w:rsidP="00D27298">
            <w:pPr>
              <w:jc w:val="center"/>
              <w:rPr>
                <w:rFonts w:ascii="Arial" w:eastAsiaTheme="minorHAnsi" w:hAnsi="Arial" w:cs="Arial"/>
                <w:b/>
                <w:color w:val="auto"/>
              </w:rPr>
            </w:pPr>
            <w:r>
              <w:rPr>
                <w:rFonts w:ascii="Arial" w:eastAsiaTheme="minorHAnsi" w:hAnsi="Arial" w:cs="Arial"/>
                <w:b/>
                <w:color w:val="auto"/>
              </w:rPr>
              <w:t>14</w:t>
            </w:r>
          </w:p>
        </w:tc>
        <w:tc>
          <w:tcPr>
            <w:tcW w:w="3150" w:type="dxa"/>
            <w:shd w:val="clear" w:color="auto" w:fill="auto"/>
          </w:tcPr>
          <w:p w14:paraId="4C8DD94E" w14:textId="0796A268" w:rsidR="00A86F05" w:rsidRDefault="00504B08" w:rsidP="00D27298">
            <w:pPr>
              <w:jc w:val="center"/>
              <w:rPr>
                <w:rFonts w:ascii="Arial" w:eastAsiaTheme="minorHAnsi" w:hAnsi="Arial" w:cs="Arial"/>
                <w:b/>
                <w:color w:val="auto"/>
              </w:rPr>
            </w:pPr>
            <w:r>
              <w:rPr>
                <w:rFonts w:ascii="Arial" w:eastAsiaTheme="minorHAnsi" w:hAnsi="Arial" w:cs="Arial"/>
                <w:b/>
                <w:color w:val="auto"/>
              </w:rPr>
              <w:t>8/7</w:t>
            </w:r>
          </w:p>
        </w:tc>
      </w:tr>
      <w:tr w:rsidR="00A86F05" w14:paraId="721AE218" w14:textId="77777777" w:rsidTr="00BD1067">
        <w:trPr>
          <w:trHeight w:val="308"/>
          <w:jc w:val="center"/>
        </w:trPr>
        <w:tc>
          <w:tcPr>
            <w:tcW w:w="3960" w:type="dxa"/>
            <w:shd w:val="clear" w:color="auto" w:fill="auto"/>
            <w:vAlign w:val="center"/>
            <w:hideMark/>
          </w:tcPr>
          <w:p w14:paraId="54FC7CC6" w14:textId="77777777" w:rsidR="00A86F05" w:rsidRDefault="00A86F05" w:rsidP="00D27298">
            <w:pPr>
              <w:rPr>
                <w:rFonts w:ascii="Arial" w:hAnsi="Arial" w:cs="Arial"/>
                <w:b/>
                <w:color w:val="auto"/>
              </w:rPr>
            </w:pPr>
            <w:r>
              <w:rPr>
                <w:rFonts w:ascii="Arial" w:hAnsi="Arial" w:cs="Arial"/>
                <w:b/>
                <w:color w:val="auto"/>
              </w:rPr>
              <w:t>Final Ratings</w:t>
            </w:r>
          </w:p>
        </w:tc>
        <w:tc>
          <w:tcPr>
            <w:tcW w:w="3150" w:type="dxa"/>
          </w:tcPr>
          <w:p w14:paraId="16F37D7B" w14:textId="404A5787"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r w:rsidR="004313B2">
              <w:rPr>
                <w:rFonts w:ascii="Arial" w:eastAsiaTheme="minorHAnsi" w:hAnsi="Arial" w:cs="Arial"/>
                <w:b/>
                <w:color w:val="auto"/>
              </w:rPr>
              <w:t>/na</w:t>
            </w:r>
          </w:p>
        </w:tc>
        <w:tc>
          <w:tcPr>
            <w:tcW w:w="3150" w:type="dxa"/>
            <w:shd w:val="clear" w:color="auto" w:fill="auto"/>
          </w:tcPr>
          <w:p w14:paraId="754BA58C" w14:textId="7B7D8B59" w:rsidR="00A86F05" w:rsidRDefault="00504B08" w:rsidP="00D27298">
            <w:pPr>
              <w:jc w:val="center"/>
              <w:rPr>
                <w:rFonts w:ascii="Arial" w:eastAsiaTheme="minorHAnsi" w:hAnsi="Arial" w:cs="Arial"/>
                <w:b/>
                <w:color w:val="auto"/>
              </w:rPr>
            </w:pPr>
            <w:r>
              <w:rPr>
                <w:rFonts w:ascii="Arial" w:eastAsiaTheme="minorHAnsi" w:hAnsi="Arial" w:cs="Arial"/>
                <w:b/>
                <w:color w:val="auto"/>
              </w:rPr>
              <w:t>34</w:t>
            </w:r>
            <w:r w:rsidR="00A86F05">
              <w:rPr>
                <w:rFonts w:ascii="Arial" w:eastAsiaTheme="minorHAnsi" w:hAnsi="Arial" w:cs="Arial"/>
                <w:b/>
                <w:color w:val="auto"/>
              </w:rPr>
              <w:t>/na</w:t>
            </w:r>
          </w:p>
        </w:tc>
      </w:tr>
    </w:tbl>
    <w:p w14:paraId="0C60A4D7" w14:textId="73D0FD47" w:rsidR="00556B46" w:rsidRPr="00CB2E49" w:rsidRDefault="00556B46" w:rsidP="00CB2E49">
      <w:pPr>
        <w:ind w:firstLine="720"/>
        <w:rPr>
          <w:rFonts w:ascii="Arial" w:hAnsi="Arial" w:cs="Arial"/>
          <w:color w:val="auto"/>
          <w:sz w:val="22"/>
          <w:szCs w:val="22"/>
        </w:rPr>
      </w:pPr>
      <w:r w:rsidRPr="00CB2E49">
        <w:rPr>
          <w:rFonts w:ascii="Arial" w:hAnsi="Arial" w:cs="Arial"/>
          <w:b/>
          <w:color w:val="auto"/>
          <w:sz w:val="22"/>
          <w:szCs w:val="22"/>
        </w:rPr>
        <w:t xml:space="preserve"> Source:</w:t>
      </w:r>
      <w:r w:rsidRPr="00CB2E49">
        <w:rPr>
          <w:rFonts w:ascii="Arial" w:hAnsi="Arial" w:cs="Arial"/>
          <w:color w:val="auto"/>
          <w:sz w:val="22"/>
          <w:szCs w:val="22"/>
        </w:rPr>
        <w:t xml:space="preserve"> VTA Completed Reports </w:t>
      </w:r>
      <w:r w:rsidR="00173817" w:rsidRPr="00CB2E49">
        <w:rPr>
          <w:rFonts w:ascii="Arial" w:hAnsi="Arial" w:cs="Arial"/>
          <w:color w:val="auto"/>
          <w:sz w:val="22"/>
          <w:szCs w:val="22"/>
        </w:rPr>
        <w:t xml:space="preserve">April </w:t>
      </w:r>
      <w:r w:rsidR="003E4C7A" w:rsidRPr="00CB2E49">
        <w:rPr>
          <w:rFonts w:ascii="Arial" w:hAnsi="Arial" w:cs="Arial"/>
          <w:color w:val="auto"/>
          <w:sz w:val="22"/>
          <w:szCs w:val="22"/>
        </w:rPr>
        <w:t>7,</w:t>
      </w:r>
      <w:r w:rsidRPr="00CB2E49">
        <w:rPr>
          <w:rFonts w:ascii="Arial" w:hAnsi="Arial" w:cs="Arial"/>
          <w:color w:val="auto"/>
          <w:sz w:val="22"/>
          <w:szCs w:val="22"/>
        </w:rPr>
        <w:t xml:space="preserve"> 2020 (</w:t>
      </w:r>
      <w:r w:rsidR="0096793A" w:rsidRPr="00CB2E49">
        <w:rPr>
          <w:rFonts w:ascii="Arial" w:hAnsi="Arial" w:cs="Arial"/>
          <w:color w:val="auto"/>
          <w:sz w:val="22"/>
          <w:szCs w:val="22"/>
        </w:rPr>
        <w:t>8</w:t>
      </w:r>
      <w:r w:rsidRPr="00CB2E49">
        <w:rPr>
          <w:rFonts w:ascii="Arial" w:hAnsi="Arial" w:cs="Arial"/>
          <w:color w:val="auto"/>
          <w:sz w:val="22"/>
          <w:szCs w:val="22"/>
        </w:rPr>
        <w:t>am ET)</w:t>
      </w:r>
      <w:r w:rsidR="00DE23E6" w:rsidRPr="00CB2E49">
        <w:rPr>
          <w:rFonts w:ascii="Arial" w:hAnsi="Arial" w:cs="Arial"/>
          <w:color w:val="auto"/>
          <w:sz w:val="22"/>
          <w:szCs w:val="22"/>
        </w:rPr>
        <w:t>.</w:t>
      </w:r>
    </w:p>
    <w:p w14:paraId="1D2EC8A5" w14:textId="3C5EFCE5" w:rsidR="00BA63EC" w:rsidRPr="00CB2E49" w:rsidRDefault="00A24EA1" w:rsidP="00CB2E49">
      <w:pPr>
        <w:ind w:firstLine="720"/>
        <w:rPr>
          <w:rFonts w:ascii="Arial" w:hAnsi="Arial" w:cs="Arial"/>
          <w:color w:val="auto"/>
          <w:sz w:val="22"/>
          <w:szCs w:val="22"/>
        </w:rPr>
      </w:pPr>
      <w:r w:rsidRPr="00CB2E49">
        <w:rPr>
          <w:rFonts w:ascii="Arial" w:hAnsi="Arial" w:cs="Arial"/>
          <w:b/>
          <w:color w:val="auto"/>
          <w:sz w:val="22"/>
          <w:szCs w:val="22"/>
        </w:rPr>
        <w:t xml:space="preserve"> </w:t>
      </w:r>
      <w:r w:rsidR="00BA63EC" w:rsidRPr="00CB2E49">
        <w:rPr>
          <w:rFonts w:ascii="Arial" w:hAnsi="Arial" w:cs="Arial"/>
          <w:b/>
          <w:color w:val="auto"/>
          <w:sz w:val="22"/>
          <w:szCs w:val="22"/>
        </w:rPr>
        <w:t>Note:</w:t>
      </w:r>
      <w:r w:rsidR="00BA63EC" w:rsidRPr="00CB2E49">
        <w:rPr>
          <w:rFonts w:ascii="Arial" w:hAnsi="Arial" w:cs="Arial"/>
          <w:color w:val="auto"/>
          <w:sz w:val="22"/>
          <w:szCs w:val="22"/>
        </w:rPr>
        <w:t xml:space="preserve"> VA using the goals from the </w:t>
      </w:r>
      <w:r w:rsidR="002632BC" w:rsidRPr="00CB2E49">
        <w:rPr>
          <w:rFonts w:ascii="Arial" w:hAnsi="Arial" w:cs="Arial"/>
          <w:color w:val="auto"/>
          <w:sz w:val="22"/>
          <w:szCs w:val="22"/>
        </w:rPr>
        <w:t>230-day</w:t>
      </w:r>
      <w:r w:rsidR="00BA63EC" w:rsidRPr="00CB2E49">
        <w:rPr>
          <w:rFonts w:ascii="Arial" w:hAnsi="Arial" w:cs="Arial"/>
          <w:color w:val="auto"/>
          <w:sz w:val="22"/>
          <w:szCs w:val="22"/>
        </w:rPr>
        <w:t xml:space="preserve"> process</w:t>
      </w:r>
      <w:r w:rsidR="00DE23E6" w:rsidRPr="00CB2E49">
        <w:rPr>
          <w:rFonts w:ascii="Arial" w:hAnsi="Arial" w:cs="Arial"/>
          <w:color w:val="auto"/>
          <w:sz w:val="22"/>
          <w:szCs w:val="22"/>
        </w:rPr>
        <w:t>.</w:t>
      </w:r>
    </w:p>
    <w:p w14:paraId="3589C23B" w14:textId="77777777" w:rsidR="00AB0EDE" w:rsidRPr="007E2D2E" w:rsidRDefault="00AB0EDE" w:rsidP="00352DED">
      <w:pPr>
        <w:rPr>
          <w:rFonts w:ascii="Arial" w:hAnsi="Arial" w:cs="Arial"/>
          <w:color w:val="auto"/>
          <w:sz w:val="22"/>
          <w:szCs w:val="22"/>
        </w:rPr>
      </w:pPr>
    </w:p>
    <w:p w14:paraId="0350D97E" w14:textId="379A4D4E" w:rsidR="00FC5185" w:rsidRDefault="00FC5185" w:rsidP="00FC5185">
      <w:pPr>
        <w:pStyle w:val="Heading10"/>
        <w:rPr>
          <w:sz w:val="32"/>
        </w:rPr>
      </w:pPr>
      <w:bookmarkStart w:id="62" w:name="_Toc529446369"/>
      <w:bookmarkStart w:id="63" w:name="_Toc534285424"/>
      <w:bookmarkStart w:id="64" w:name="_Hlk534788642"/>
      <w:r>
        <w:rPr>
          <w:sz w:val="32"/>
        </w:rPr>
        <w:t xml:space="preserve">VTA </w:t>
      </w:r>
      <w:r w:rsidR="00E17D2E">
        <w:rPr>
          <w:sz w:val="32"/>
        </w:rPr>
        <w:t>Reminders</w:t>
      </w:r>
      <w:r>
        <w:rPr>
          <w:sz w:val="32"/>
        </w:rPr>
        <w:t xml:space="preserve"> </w:t>
      </w:r>
    </w:p>
    <w:p w14:paraId="35947491" w14:textId="1B48A03E" w:rsidR="00BE5A13" w:rsidRDefault="00BE5A13" w:rsidP="00FC5185">
      <w:pPr>
        <w:pStyle w:val="Heading10"/>
        <w:rPr>
          <w:sz w:val="32"/>
        </w:rPr>
      </w:pPr>
    </w:p>
    <w:p w14:paraId="4C381B87" w14:textId="32818F0D" w:rsidR="00BE5A13" w:rsidRPr="00BE5A13" w:rsidRDefault="00BE5A13" w:rsidP="00FC5185">
      <w:pPr>
        <w:pStyle w:val="Heading10"/>
        <w:rPr>
          <w:color w:val="auto"/>
          <w:sz w:val="28"/>
          <w:szCs w:val="22"/>
        </w:rPr>
      </w:pPr>
      <w:r w:rsidRPr="00BE5A13">
        <w:rPr>
          <w:color w:val="auto"/>
          <w:sz w:val="28"/>
          <w:szCs w:val="22"/>
        </w:rPr>
        <w:t>VTA v.2.4.7</w:t>
      </w:r>
    </w:p>
    <w:p w14:paraId="63B1592B" w14:textId="3411966D" w:rsidR="00FC5185" w:rsidRDefault="00FC5185">
      <w:pPr>
        <w:pStyle w:val="Heading10"/>
        <w:rPr>
          <w:b w:val="0"/>
          <w:bCs/>
          <w:color w:val="auto"/>
          <w:sz w:val="24"/>
          <w:szCs w:val="20"/>
          <w:u w:val="none"/>
        </w:rPr>
      </w:pPr>
      <w:r>
        <w:rPr>
          <w:b w:val="0"/>
          <w:bCs/>
          <w:color w:val="auto"/>
          <w:sz w:val="24"/>
          <w:szCs w:val="20"/>
          <w:u w:val="none"/>
        </w:rPr>
        <w:t xml:space="preserve">VTA v.2.4.7 was released on </w:t>
      </w:r>
      <w:r w:rsidR="0096793A">
        <w:rPr>
          <w:b w:val="0"/>
          <w:bCs/>
          <w:color w:val="auto"/>
          <w:sz w:val="24"/>
          <w:szCs w:val="20"/>
          <w:u w:val="none"/>
        </w:rPr>
        <w:t>March 30</w:t>
      </w:r>
      <w:r>
        <w:rPr>
          <w:b w:val="0"/>
          <w:bCs/>
          <w:color w:val="auto"/>
          <w:sz w:val="24"/>
          <w:szCs w:val="20"/>
          <w:u w:val="none"/>
        </w:rPr>
        <w:t>, 2020.</w:t>
      </w:r>
      <w:r w:rsidR="00AD6518">
        <w:rPr>
          <w:b w:val="0"/>
          <w:bCs/>
          <w:color w:val="auto"/>
          <w:sz w:val="24"/>
          <w:szCs w:val="20"/>
          <w:u w:val="none"/>
        </w:rPr>
        <w:t xml:space="preserve"> </w:t>
      </w:r>
      <w:r w:rsidR="00B37CAA">
        <w:rPr>
          <w:b w:val="0"/>
          <w:bCs/>
          <w:color w:val="auto"/>
          <w:sz w:val="24"/>
          <w:szCs w:val="20"/>
          <w:u w:val="none"/>
        </w:rPr>
        <w:t xml:space="preserve">A </w:t>
      </w:r>
      <w:r w:rsidR="00C97A9D" w:rsidRPr="00C97A9D">
        <w:rPr>
          <w:b w:val="0"/>
          <w:bCs/>
          <w:color w:val="auto"/>
          <w:sz w:val="24"/>
          <w:szCs w:val="20"/>
          <w:u w:val="none"/>
        </w:rPr>
        <w:t>Vocational Rehabilitation and Employment</w:t>
      </w:r>
      <w:r w:rsidR="00C97A9D">
        <w:rPr>
          <w:b w:val="0"/>
          <w:bCs/>
          <w:color w:val="auto"/>
          <w:sz w:val="24"/>
          <w:szCs w:val="20"/>
          <w:u w:val="none"/>
        </w:rPr>
        <w:t xml:space="preserve"> (</w:t>
      </w:r>
      <w:r w:rsidR="00B37CAA">
        <w:rPr>
          <w:b w:val="0"/>
          <w:bCs/>
          <w:color w:val="auto"/>
          <w:sz w:val="24"/>
          <w:szCs w:val="20"/>
          <w:u w:val="none"/>
        </w:rPr>
        <w:t>VR&amp;E</w:t>
      </w:r>
      <w:r w:rsidR="00C97A9D">
        <w:rPr>
          <w:b w:val="0"/>
          <w:bCs/>
          <w:color w:val="auto"/>
          <w:sz w:val="24"/>
          <w:szCs w:val="20"/>
          <w:u w:val="none"/>
        </w:rPr>
        <w:t>)</w:t>
      </w:r>
      <w:r w:rsidR="00B37CAA">
        <w:rPr>
          <w:b w:val="0"/>
          <w:bCs/>
          <w:color w:val="auto"/>
          <w:sz w:val="24"/>
          <w:szCs w:val="20"/>
          <w:u w:val="none"/>
        </w:rPr>
        <w:t xml:space="preserve"> </w:t>
      </w:r>
      <w:r w:rsidR="00A6148A">
        <w:rPr>
          <w:b w:val="0"/>
          <w:bCs/>
          <w:color w:val="auto"/>
          <w:sz w:val="24"/>
          <w:szCs w:val="20"/>
          <w:u w:val="none"/>
        </w:rPr>
        <w:t>t</w:t>
      </w:r>
      <w:r w:rsidR="00B37CAA">
        <w:rPr>
          <w:b w:val="0"/>
          <w:bCs/>
          <w:color w:val="auto"/>
          <w:sz w:val="24"/>
          <w:szCs w:val="20"/>
          <w:u w:val="none"/>
        </w:rPr>
        <w:t xml:space="preserve">ab was added </w:t>
      </w:r>
      <w:r w:rsidR="00E17D2E">
        <w:rPr>
          <w:b w:val="0"/>
          <w:bCs/>
          <w:color w:val="auto"/>
          <w:sz w:val="24"/>
          <w:szCs w:val="20"/>
          <w:u w:val="none"/>
        </w:rPr>
        <w:t>for</w:t>
      </w:r>
      <w:r w:rsidR="00B37CAA">
        <w:rPr>
          <w:b w:val="0"/>
          <w:bCs/>
          <w:color w:val="auto"/>
          <w:sz w:val="24"/>
          <w:szCs w:val="20"/>
          <w:u w:val="none"/>
        </w:rPr>
        <w:t xml:space="preserve"> Vocational Rehabilitation </w:t>
      </w:r>
      <w:r w:rsidR="00E17D2E">
        <w:rPr>
          <w:b w:val="0"/>
          <w:bCs/>
          <w:color w:val="auto"/>
          <w:sz w:val="24"/>
          <w:szCs w:val="20"/>
          <w:u w:val="none"/>
        </w:rPr>
        <w:t>Counselors</w:t>
      </w:r>
      <w:r w:rsidR="00B37CAA">
        <w:rPr>
          <w:b w:val="0"/>
          <w:bCs/>
          <w:color w:val="auto"/>
          <w:sz w:val="24"/>
          <w:szCs w:val="20"/>
          <w:u w:val="none"/>
        </w:rPr>
        <w:t xml:space="preserve"> (VRCs) to update data fields in reference to a VR&amp;E Interview and VR&amp;E Plan. </w:t>
      </w:r>
      <w:r w:rsidR="00B3440C" w:rsidRPr="00B3440C">
        <w:rPr>
          <w:b w:val="0"/>
          <w:bCs/>
          <w:color w:val="auto"/>
          <w:sz w:val="24"/>
          <w:szCs w:val="20"/>
          <w:u w:val="none"/>
        </w:rPr>
        <w:t>A VR&amp;E Pending and Completed Report has also been added.</w:t>
      </w:r>
      <w:r w:rsidR="00B3440C">
        <w:rPr>
          <w:b w:val="0"/>
          <w:bCs/>
          <w:color w:val="auto"/>
          <w:sz w:val="24"/>
          <w:szCs w:val="20"/>
          <w:u w:val="none"/>
        </w:rPr>
        <w:t xml:space="preserve"> </w:t>
      </w:r>
      <w:r w:rsidR="00A6148A">
        <w:rPr>
          <w:b w:val="0"/>
          <w:bCs/>
          <w:color w:val="auto"/>
          <w:sz w:val="24"/>
          <w:szCs w:val="20"/>
          <w:u w:val="none"/>
        </w:rPr>
        <w:t>T</w:t>
      </w:r>
      <w:r>
        <w:rPr>
          <w:b w:val="0"/>
          <w:bCs/>
          <w:color w:val="auto"/>
          <w:sz w:val="24"/>
          <w:szCs w:val="20"/>
          <w:u w:val="none"/>
        </w:rPr>
        <w:t>he</w:t>
      </w:r>
      <w:r w:rsidR="00B37CAA">
        <w:rPr>
          <w:b w:val="0"/>
          <w:bCs/>
          <w:color w:val="auto"/>
          <w:sz w:val="24"/>
          <w:szCs w:val="20"/>
          <w:u w:val="none"/>
        </w:rPr>
        <w:t xml:space="preserve"> VRCs </w:t>
      </w:r>
      <w:r w:rsidR="008E75A7">
        <w:rPr>
          <w:b w:val="0"/>
          <w:bCs/>
          <w:color w:val="auto"/>
          <w:sz w:val="24"/>
          <w:szCs w:val="20"/>
          <w:u w:val="none"/>
        </w:rPr>
        <w:t xml:space="preserve">should </w:t>
      </w:r>
      <w:r w:rsidR="00B37CAA">
        <w:rPr>
          <w:b w:val="0"/>
          <w:bCs/>
          <w:color w:val="auto"/>
          <w:sz w:val="24"/>
          <w:szCs w:val="20"/>
          <w:u w:val="none"/>
        </w:rPr>
        <w:t xml:space="preserve">be contacting the SMs after the MSC Interview. </w:t>
      </w:r>
      <w:r w:rsidR="008E75A7">
        <w:rPr>
          <w:b w:val="0"/>
          <w:bCs/>
          <w:color w:val="auto"/>
          <w:sz w:val="24"/>
          <w:szCs w:val="20"/>
          <w:u w:val="none"/>
        </w:rPr>
        <w:t xml:space="preserve">Please advise your SMs of this during your interviews, and that the VRC is not associated with the duties of the MSC and the info MSCs provide. </w:t>
      </w:r>
      <w:r w:rsidR="00E4278A" w:rsidRPr="00E4278A">
        <w:rPr>
          <w:b w:val="0"/>
          <w:bCs/>
          <w:color w:val="auto"/>
          <w:sz w:val="24"/>
          <w:szCs w:val="20"/>
          <w:u w:val="none"/>
        </w:rPr>
        <w:t xml:space="preserve">VRC inputs have no bearing on the MSC or other tabs/goals. </w:t>
      </w:r>
      <w:r w:rsidR="00B37CAA">
        <w:rPr>
          <w:b w:val="0"/>
          <w:bCs/>
          <w:color w:val="auto"/>
          <w:sz w:val="24"/>
          <w:szCs w:val="20"/>
          <w:u w:val="none"/>
        </w:rPr>
        <w:t xml:space="preserve">A complete list of the updates/changes in v.2.4.7 are </w:t>
      </w:r>
      <w:hyperlink r:id="rId27" w:history="1">
        <w:r w:rsidR="0012529E" w:rsidRPr="0012529E">
          <w:rPr>
            <w:rStyle w:val="Hyperlink"/>
            <w:b w:val="0"/>
            <w:bCs/>
            <w:sz w:val="24"/>
            <w:szCs w:val="20"/>
          </w:rPr>
          <w:t>here</w:t>
        </w:r>
      </w:hyperlink>
      <w:r w:rsidR="0012529E">
        <w:rPr>
          <w:b w:val="0"/>
          <w:bCs/>
          <w:color w:val="auto"/>
          <w:sz w:val="24"/>
          <w:szCs w:val="20"/>
          <w:u w:val="none"/>
        </w:rPr>
        <w:t>.</w:t>
      </w:r>
      <w:r w:rsidR="00E4278A">
        <w:rPr>
          <w:b w:val="0"/>
          <w:bCs/>
          <w:color w:val="auto"/>
          <w:sz w:val="24"/>
          <w:szCs w:val="20"/>
          <w:u w:val="none"/>
        </w:rPr>
        <w:t xml:space="preserve"> </w:t>
      </w:r>
    </w:p>
    <w:p w14:paraId="74C8AB6F" w14:textId="77777777" w:rsidR="00217FD7" w:rsidRDefault="00217FD7">
      <w:pPr>
        <w:pStyle w:val="Heading10"/>
        <w:rPr>
          <w:sz w:val="32"/>
        </w:rPr>
      </w:pPr>
    </w:p>
    <w:p w14:paraId="438DFA1A" w14:textId="766516A9" w:rsidR="00217FD7" w:rsidRDefault="00217FD7">
      <w:pPr>
        <w:pStyle w:val="Heading10"/>
        <w:rPr>
          <w:sz w:val="32"/>
        </w:rPr>
      </w:pPr>
    </w:p>
    <w:p w14:paraId="1F2358CB" w14:textId="2A121FEA" w:rsidR="00127BD2" w:rsidRDefault="00127BD2">
      <w:pPr>
        <w:pStyle w:val="Heading10"/>
        <w:rPr>
          <w:sz w:val="32"/>
        </w:rPr>
      </w:pPr>
    </w:p>
    <w:p w14:paraId="145F2861" w14:textId="219CD8F2" w:rsidR="00127BD2" w:rsidRDefault="00127BD2">
      <w:pPr>
        <w:pStyle w:val="Heading10"/>
        <w:rPr>
          <w:sz w:val="32"/>
        </w:rPr>
      </w:pPr>
    </w:p>
    <w:p w14:paraId="193B8F3D" w14:textId="1CF2CA0A" w:rsidR="00127BD2" w:rsidRDefault="00127BD2">
      <w:pPr>
        <w:pStyle w:val="Heading10"/>
        <w:rPr>
          <w:sz w:val="32"/>
        </w:rPr>
      </w:pPr>
    </w:p>
    <w:p w14:paraId="293DA1EC" w14:textId="77777777" w:rsidR="00127BD2" w:rsidRDefault="00127BD2">
      <w:pPr>
        <w:pStyle w:val="Heading10"/>
        <w:rPr>
          <w:sz w:val="32"/>
        </w:rPr>
      </w:pPr>
    </w:p>
    <w:p w14:paraId="50FC7363" w14:textId="77777777" w:rsidR="00217FD7" w:rsidRDefault="00217FD7">
      <w:pPr>
        <w:pStyle w:val="Heading10"/>
        <w:rPr>
          <w:sz w:val="32"/>
        </w:rPr>
      </w:pPr>
    </w:p>
    <w:p w14:paraId="78BD7131" w14:textId="38C0A165" w:rsidR="00A0458C" w:rsidRDefault="002A757B">
      <w:pPr>
        <w:pStyle w:val="Heading10"/>
        <w:rPr>
          <w:sz w:val="32"/>
        </w:rPr>
      </w:pPr>
      <w:r>
        <w:rPr>
          <w:sz w:val="32"/>
        </w:rPr>
        <w:t>BDD Specific Topics</w:t>
      </w:r>
    </w:p>
    <w:bookmarkEnd w:id="62"/>
    <w:bookmarkEnd w:id="63"/>
    <w:bookmarkEnd w:id="64"/>
    <w:p w14:paraId="78BD7132" w14:textId="77777777" w:rsidR="00A0458C" w:rsidRDefault="00A0458C">
      <w:pPr>
        <w:rPr>
          <w:rFonts w:ascii="Arial" w:hAnsi="Arial" w:cs="Arial"/>
          <w:b/>
          <w:color w:val="1F497D" w:themeColor="text2"/>
          <w:u w:val="single"/>
        </w:rPr>
      </w:pPr>
    </w:p>
    <w:p w14:paraId="786BF6A9" w14:textId="52F8FF09" w:rsidR="00496A8E" w:rsidRPr="005F5482" w:rsidRDefault="00496A8E" w:rsidP="00496A8E">
      <w:pPr>
        <w:rPr>
          <w:rFonts w:ascii="Arial" w:hAnsi="Arial" w:cs="Arial"/>
          <w:b/>
          <w:bCs/>
          <w:sz w:val="28"/>
          <w:szCs w:val="28"/>
          <w:u w:val="single"/>
        </w:rPr>
      </w:pPr>
      <w:bookmarkStart w:id="65" w:name="_Hlk37263097"/>
      <w:r>
        <w:rPr>
          <w:rFonts w:ascii="Arial" w:hAnsi="Arial" w:cs="Arial"/>
          <w:b/>
          <w:bCs/>
          <w:sz w:val="28"/>
          <w:szCs w:val="28"/>
          <w:u w:val="single"/>
        </w:rPr>
        <w:t>BDD Promotional Fliers</w:t>
      </w:r>
    </w:p>
    <w:p w14:paraId="60E2A65B" w14:textId="3F6350FC" w:rsidR="00496A8E" w:rsidRPr="00322704" w:rsidRDefault="00496A8E" w:rsidP="00496A8E">
      <w:pPr>
        <w:rPr>
          <w:rFonts w:ascii="Arial" w:hAnsi="Arial" w:cs="Arial"/>
          <w:color w:val="auto"/>
        </w:rPr>
      </w:pPr>
      <w:r w:rsidRPr="00322704">
        <w:rPr>
          <w:rFonts w:ascii="Arial" w:hAnsi="Arial" w:cs="Arial"/>
          <w:bCs/>
        </w:rPr>
        <w:lastRenderedPageBreak/>
        <w:t>T</w:t>
      </w:r>
      <w:r w:rsidRPr="00322704">
        <w:rPr>
          <w:rFonts w:ascii="Arial" w:hAnsi="Arial" w:cs="Arial"/>
        </w:rPr>
        <w:t xml:space="preserve">here are now two BDD promotional fliers on the </w:t>
      </w:r>
      <w:hyperlink r:id="rId28" w:history="1">
        <w:r w:rsidRPr="00322704">
          <w:rPr>
            <w:rStyle w:val="Hyperlink"/>
            <w:rFonts w:ascii="Arial" w:hAnsi="Arial" w:cs="Arial"/>
          </w:rPr>
          <w:t>Pre-Discharge Intranet Site</w:t>
        </w:r>
      </w:hyperlink>
      <w:r w:rsidRPr="00322704">
        <w:rPr>
          <w:rFonts w:ascii="Arial" w:hAnsi="Arial" w:cs="Arial"/>
        </w:rPr>
        <w:t xml:space="preserve"> under the heading, “Additional Pre-Discharge Links and Materials” and below are links to both of the fliers. A link to the </w:t>
      </w:r>
      <w:hyperlink r:id="rId29" w:history="1">
        <w:r w:rsidRPr="00322704">
          <w:rPr>
            <w:rStyle w:val="Hyperlink"/>
            <w:rFonts w:ascii="Arial" w:hAnsi="Arial" w:cs="Arial"/>
          </w:rPr>
          <w:t>BDD Promotional YouTube Video</w:t>
        </w:r>
      </w:hyperlink>
      <w:r w:rsidRPr="00322704">
        <w:rPr>
          <w:rFonts w:ascii="Arial" w:hAnsi="Arial" w:cs="Arial"/>
        </w:rPr>
        <w:t xml:space="preserve"> is also located under “Additional Pre-Discharge Links and Materials”.</w:t>
      </w:r>
    </w:p>
    <w:p w14:paraId="7214DFBA" w14:textId="77777777" w:rsidR="00496A8E" w:rsidRPr="00322704" w:rsidRDefault="00496A8E" w:rsidP="00496A8E">
      <w:pPr>
        <w:pStyle w:val="Heading10"/>
        <w:rPr>
          <w:b w:val="0"/>
          <w:sz w:val="24"/>
          <w:u w:val="none"/>
        </w:rPr>
      </w:pPr>
    </w:p>
    <w:p w14:paraId="25D7C747" w14:textId="0194AAA6" w:rsidR="00496A8E" w:rsidRPr="00322704" w:rsidRDefault="00496A8E" w:rsidP="00496A8E">
      <w:pPr>
        <w:rPr>
          <w:rFonts w:ascii="Arial" w:hAnsi="Arial" w:cs="Arial"/>
          <w:bCs/>
        </w:rPr>
      </w:pPr>
      <w:r w:rsidRPr="00322704">
        <w:rPr>
          <w:rFonts w:ascii="Arial" w:hAnsi="Arial" w:cs="Arial"/>
          <w:bCs/>
        </w:rPr>
        <w:t>The BDD program is the fastest way to receive VA benefits for transitioning Servicemembers. However, with an estimated over 200,000 Servicemembers transitioning each fiscal year (FY), the BDD program has been severely underutilized. In FY2019, VA received a total of 35,815 BDD claims, which only represents 18 percent of the estimated transitioning population. VA has received 16,465 BDD claims so far in FY2020 which only represents eight percent of the of the estimated transitioning Servicemember population. MSCs are encouraged to distribute these promotional materials</w:t>
      </w:r>
      <w:r>
        <w:rPr>
          <w:rFonts w:ascii="Arial" w:hAnsi="Arial" w:cs="Arial"/>
          <w:bCs/>
        </w:rPr>
        <w:t xml:space="preserve"> and the </w:t>
      </w:r>
      <w:hyperlink r:id="rId30" w:history="1">
        <w:r w:rsidRPr="00322704">
          <w:rPr>
            <w:rStyle w:val="Hyperlink"/>
            <w:rFonts w:ascii="Arial" w:hAnsi="Arial" w:cs="Arial"/>
          </w:rPr>
          <w:t>BDD Promotional YouTube Video</w:t>
        </w:r>
      </w:hyperlink>
      <w:r>
        <w:rPr>
          <w:rFonts w:ascii="Arial" w:hAnsi="Arial" w:cs="Arial"/>
        </w:rPr>
        <w:t xml:space="preserve"> as much as possible</w:t>
      </w:r>
      <w:r w:rsidRPr="00322704">
        <w:rPr>
          <w:rFonts w:ascii="Arial" w:hAnsi="Arial" w:cs="Arial"/>
          <w:bCs/>
        </w:rPr>
        <w:t>.</w:t>
      </w:r>
      <w:r>
        <w:rPr>
          <w:rFonts w:ascii="Arial" w:hAnsi="Arial" w:cs="Arial"/>
          <w:bCs/>
        </w:rPr>
        <w:t xml:space="preserve"> Once MSCs are back on military installations, MSCs should work with the Transition Assistance Program (TAP) Benefit Advisors to provide BDD information and the MSCs information to Servicemembers including all TAP classes.</w:t>
      </w:r>
    </w:p>
    <w:p w14:paraId="6204A710" w14:textId="77777777" w:rsidR="00496A8E" w:rsidRPr="00322704" w:rsidRDefault="00496A8E" w:rsidP="00496A8E">
      <w:pPr>
        <w:rPr>
          <w:rFonts w:ascii="Arial" w:hAnsi="Arial" w:cs="Arial"/>
        </w:rPr>
      </w:pPr>
    </w:p>
    <w:p w14:paraId="6789FA76" w14:textId="77777777" w:rsidR="00496A8E" w:rsidRPr="00322704" w:rsidRDefault="001A2981" w:rsidP="00496A8E">
      <w:pPr>
        <w:pStyle w:val="ListParagraph"/>
        <w:numPr>
          <w:ilvl w:val="0"/>
          <w:numId w:val="36"/>
        </w:numPr>
        <w:rPr>
          <w:rFonts w:ascii="Arial" w:hAnsi="Arial" w:cs="Arial"/>
        </w:rPr>
      </w:pPr>
      <w:hyperlink r:id="rId31" w:history="1">
        <w:r w:rsidR="00496A8E" w:rsidRPr="00322704">
          <w:rPr>
            <w:rStyle w:val="Hyperlink"/>
            <w:rFonts w:ascii="Arial" w:hAnsi="Arial" w:cs="Arial"/>
          </w:rPr>
          <w:t>BDD Promotional Flier #1</w:t>
        </w:r>
      </w:hyperlink>
    </w:p>
    <w:p w14:paraId="335A5F0E" w14:textId="77777777" w:rsidR="00496A8E" w:rsidRPr="00322704" w:rsidRDefault="001A2981" w:rsidP="00496A8E">
      <w:pPr>
        <w:pStyle w:val="ListParagraph"/>
        <w:numPr>
          <w:ilvl w:val="0"/>
          <w:numId w:val="36"/>
        </w:numPr>
        <w:rPr>
          <w:rFonts w:ascii="Arial" w:hAnsi="Arial" w:cs="Arial"/>
        </w:rPr>
      </w:pPr>
      <w:hyperlink r:id="rId32" w:history="1">
        <w:r w:rsidR="00496A8E" w:rsidRPr="00322704">
          <w:rPr>
            <w:rStyle w:val="Hyperlink"/>
            <w:rFonts w:ascii="Arial" w:hAnsi="Arial" w:cs="Arial"/>
          </w:rPr>
          <w:t>BDD Promotional Flier #2</w:t>
        </w:r>
      </w:hyperlink>
    </w:p>
    <w:p w14:paraId="2CFD5BED" w14:textId="77777777" w:rsidR="00496A8E" w:rsidRDefault="00496A8E" w:rsidP="00496A8E"/>
    <w:p w14:paraId="0EBC63A6" w14:textId="355CCF37" w:rsidR="00496A8E" w:rsidRPr="005F5482" w:rsidRDefault="00496A8E" w:rsidP="00496A8E">
      <w:pPr>
        <w:rPr>
          <w:rFonts w:ascii="Arial" w:hAnsi="Arial" w:cs="Arial"/>
          <w:b/>
          <w:bCs/>
          <w:sz w:val="28"/>
          <w:szCs w:val="28"/>
          <w:u w:val="single"/>
        </w:rPr>
      </w:pPr>
      <w:r>
        <w:rPr>
          <w:rFonts w:ascii="Arial" w:hAnsi="Arial" w:cs="Arial"/>
          <w:b/>
          <w:bCs/>
          <w:sz w:val="28"/>
          <w:szCs w:val="28"/>
          <w:u w:val="single"/>
        </w:rPr>
        <w:t>Pre-Discharge Claim Type</w:t>
      </w:r>
    </w:p>
    <w:p w14:paraId="6C4794E5" w14:textId="62FA1F8A" w:rsidR="00496A8E" w:rsidRDefault="00496A8E" w:rsidP="00496A8E">
      <w:pPr>
        <w:rPr>
          <w:rFonts w:ascii="Arial" w:hAnsi="Arial" w:cs="Arial"/>
          <w:bCs/>
        </w:rPr>
      </w:pPr>
      <w:r>
        <w:rPr>
          <w:rFonts w:ascii="Arial" w:hAnsi="Arial" w:cs="Arial"/>
          <w:bCs/>
        </w:rPr>
        <w:t xml:space="preserve">MSCs are reminded when establishing a BDD or BDD-Excluded claim in VBMS, the MSC must select “Pre-Discharge” as the claim type as shown below. Selecting “Pre-Discharge” as the claim type is the only way to establish the claim as a diary claim.  </w:t>
      </w:r>
    </w:p>
    <w:p w14:paraId="45D00338" w14:textId="77777777" w:rsidR="00496A8E" w:rsidRDefault="00496A8E" w:rsidP="00496A8E">
      <w:r>
        <w:rPr>
          <w:noProof/>
        </w:rPr>
        <w:drawing>
          <wp:inline distT="0" distB="0" distL="0" distR="0" wp14:anchorId="480C41FF" wp14:editId="194CBB6A">
            <wp:extent cx="5943600" cy="316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14:paraId="3415F458" w14:textId="77777777" w:rsidR="00790498" w:rsidRDefault="00790498" w:rsidP="00496A8E">
      <w:pPr>
        <w:rPr>
          <w:rFonts w:ascii="Arial" w:hAnsi="Arial" w:cs="Arial"/>
          <w:b/>
          <w:bCs/>
          <w:sz w:val="28"/>
          <w:szCs w:val="28"/>
          <w:u w:val="single"/>
        </w:rPr>
      </w:pPr>
    </w:p>
    <w:p w14:paraId="39AB10AF" w14:textId="44864DBE" w:rsidR="00496A8E" w:rsidRDefault="00496A8E" w:rsidP="00496A8E">
      <w:pPr>
        <w:rPr>
          <w:rFonts w:ascii="Arial" w:hAnsi="Arial" w:cs="Arial"/>
          <w:b/>
          <w:bCs/>
          <w:sz w:val="28"/>
          <w:szCs w:val="28"/>
          <w:u w:val="single"/>
        </w:rPr>
      </w:pPr>
      <w:r>
        <w:rPr>
          <w:rFonts w:ascii="Arial" w:hAnsi="Arial" w:cs="Arial"/>
          <w:b/>
          <w:bCs/>
          <w:sz w:val="28"/>
          <w:szCs w:val="28"/>
          <w:u w:val="single"/>
        </w:rPr>
        <w:t>Teleworking and Servicemember Assistance</w:t>
      </w:r>
    </w:p>
    <w:p w14:paraId="72ABE8BB" w14:textId="77777777" w:rsidR="00496A8E" w:rsidRPr="005056E9" w:rsidRDefault="00496A8E" w:rsidP="00496A8E">
      <w:pPr>
        <w:rPr>
          <w:rFonts w:ascii="Arial" w:hAnsi="Arial" w:cs="Arial"/>
        </w:rPr>
      </w:pPr>
      <w:r>
        <w:rPr>
          <w:rFonts w:ascii="Arial" w:hAnsi="Arial" w:cs="Arial"/>
        </w:rPr>
        <w:t xml:space="preserve">Recently, there have been reports of military installations incorrectly informing Servicemembers to wait until after discharge to submit a claim, because the MSC is not at the installation due to the COVID-19 pandemic.  </w:t>
      </w:r>
      <w:r>
        <w:rPr>
          <w:rFonts w:ascii="Arial" w:hAnsi="Arial" w:cs="Arial"/>
        </w:rPr>
        <w:lastRenderedPageBreak/>
        <w:t xml:space="preserve">When teleworking, MSCs should ensure their contact information is posted at their installation office to allow Servicemembers to contact the MSC.   </w:t>
      </w:r>
      <w:bookmarkEnd w:id="65"/>
    </w:p>
    <w:p w14:paraId="301D0875" w14:textId="77777777" w:rsidR="00ED7E8A" w:rsidRDefault="00ED7E8A">
      <w:pPr>
        <w:pStyle w:val="Heading20"/>
      </w:pPr>
      <w:bookmarkStart w:id="66" w:name="_Toc529446373"/>
      <w:bookmarkStart w:id="67" w:name="_Toc534285426"/>
    </w:p>
    <w:p w14:paraId="78BD7152" w14:textId="7470B512" w:rsidR="00A0458C" w:rsidRPr="005F5482" w:rsidRDefault="002A757B">
      <w:pPr>
        <w:pStyle w:val="Heading20"/>
      </w:pPr>
      <w:r w:rsidRPr="005F5482">
        <w:t>Current BDD Program Timeliness</w:t>
      </w:r>
      <w:bookmarkEnd w:id="66"/>
      <w:bookmarkEnd w:id="67"/>
    </w:p>
    <w:p w14:paraId="78BD7153" w14:textId="7BB82897" w:rsidR="00A0458C" w:rsidRPr="005F5482" w:rsidRDefault="002A757B">
      <w:pPr>
        <w:rPr>
          <w:rFonts w:ascii="Arial" w:hAnsi="Arial" w:cs="Arial"/>
          <w:color w:val="auto"/>
        </w:rPr>
      </w:pPr>
      <w:r w:rsidRPr="005F5482">
        <w:rPr>
          <w:rFonts w:ascii="Arial" w:hAnsi="Arial" w:cs="Arial"/>
          <w:color w:val="auto"/>
        </w:rPr>
        <w:t xml:space="preserve">As outreach specialists and VA’s frontline contact with SMs and Veterans, it is vital that we are realistic in our </w:t>
      </w:r>
      <w:bookmarkStart w:id="68" w:name="_Hlk34988281"/>
      <w:r w:rsidRPr="005F5482">
        <w:rPr>
          <w:rFonts w:ascii="Arial" w:hAnsi="Arial" w:cs="Arial"/>
          <w:color w:val="auto"/>
        </w:rPr>
        <w:t xml:space="preserve">communications regarding claims </w:t>
      </w:r>
      <w:bookmarkEnd w:id="68"/>
      <w:r w:rsidRPr="005F5482">
        <w:rPr>
          <w:rFonts w:ascii="Arial" w:hAnsi="Arial" w:cs="Arial"/>
          <w:color w:val="auto"/>
        </w:rPr>
        <w:t xml:space="preserve">processing times. Below is the current program timeliness data as of </w:t>
      </w:r>
      <w:r w:rsidR="002837F6">
        <w:rPr>
          <w:rFonts w:ascii="Arial" w:hAnsi="Arial" w:cs="Arial"/>
          <w:color w:val="auto"/>
        </w:rPr>
        <w:t xml:space="preserve">April </w:t>
      </w:r>
      <w:r w:rsidRPr="005F5482">
        <w:rPr>
          <w:rFonts w:ascii="Arial" w:hAnsi="Arial" w:cs="Arial"/>
          <w:color w:val="auto"/>
        </w:rPr>
        <w:t>, 20</w:t>
      </w:r>
      <w:r w:rsidR="00582CDF" w:rsidRPr="005F5482">
        <w:rPr>
          <w:rFonts w:ascii="Arial" w:hAnsi="Arial" w:cs="Arial"/>
          <w:color w:val="auto"/>
        </w:rPr>
        <w:t>20</w:t>
      </w:r>
      <w:r w:rsidRPr="005F5482">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69" w:name="_Toc529446375"/>
      <w:bookmarkStart w:id="70"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B6130C">
        <w:trPr>
          <w:trHeight w:val="260"/>
          <w:jc w:val="center"/>
        </w:trPr>
        <w:tc>
          <w:tcPr>
            <w:tcW w:w="3960" w:type="dxa"/>
            <w:shd w:val="clear" w:color="auto" w:fill="auto"/>
            <w:vAlign w:val="center"/>
            <w:hideMark/>
          </w:tcPr>
          <w:p w14:paraId="3103E962" w14:textId="1EDDD079" w:rsidR="0094497E" w:rsidRPr="00D444DD" w:rsidRDefault="0094497E" w:rsidP="00396FFD">
            <w:pPr>
              <w:jc w:val="center"/>
              <w:rPr>
                <w:rFonts w:ascii="Arial" w:hAnsi="Arial" w:cs="Arial"/>
                <w:b/>
                <w:bCs/>
                <w:color w:val="auto"/>
                <w:sz w:val="28"/>
              </w:rPr>
            </w:pPr>
            <w:r>
              <w:rPr>
                <w:rFonts w:ascii="Arial" w:hAnsi="Arial" w:cs="Arial"/>
                <w:color w:val="auto"/>
                <w:sz w:val="28"/>
              </w:rPr>
              <w:br w:type="page"/>
            </w:r>
            <w:r w:rsidR="00D444DD" w:rsidRPr="00D444DD">
              <w:rPr>
                <w:rFonts w:ascii="Arial" w:hAnsi="Arial" w:cs="Arial"/>
                <w:b/>
                <w:bCs/>
                <w:color w:val="auto"/>
                <w:sz w:val="28"/>
              </w:rPr>
              <w:t>Data Points</w:t>
            </w:r>
          </w:p>
        </w:tc>
        <w:tc>
          <w:tcPr>
            <w:tcW w:w="3150" w:type="dxa"/>
          </w:tcPr>
          <w:p w14:paraId="536231FD" w14:textId="167517F3" w:rsidR="0094497E" w:rsidRDefault="0094497E" w:rsidP="00396FFD">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08A3B6EE" w:rsidR="0094497E" w:rsidRDefault="00D444DD" w:rsidP="00396FFD">
            <w:pPr>
              <w:jc w:val="center"/>
              <w:rPr>
                <w:rFonts w:ascii="Arial" w:hAnsi="Arial" w:cs="Arial"/>
                <w:b/>
                <w:bCs/>
                <w:color w:val="auto"/>
                <w:sz w:val="28"/>
              </w:rPr>
            </w:pPr>
            <w:r w:rsidRPr="00D444DD">
              <w:rPr>
                <w:rFonts w:ascii="Arial" w:hAnsi="Arial" w:cs="Arial"/>
                <w:b/>
                <w:bCs/>
                <w:color w:val="auto"/>
                <w:sz w:val="28"/>
              </w:rPr>
              <w:t>Apr</w:t>
            </w:r>
            <w:r w:rsidR="005363E8">
              <w:rPr>
                <w:rFonts w:ascii="Arial" w:hAnsi="Arial" w:cs="Arial"/>
                <w:b/>
                <w:bCs/>
                <w:color w:val="auto"/>
                <w:sz w:val="28"/>
              </w:rPr>
              <w:t>il 13</w:t>
            </w:r>
            <w:r w:rsidRPr="00D444DD">
              <w:rPr>
                <w:rFonts w:ascii="Arial" w:hAnsi="Arial" w:cs="Arial"/>
                <w:b/>
                <w:bCs/>
                <w:color w:val="auto"/>
                <w:sz w:val="28"/>
              </w:rPr>
              <w:t>, 2020</w:t>
            </w:r>
          </w:p>
        </w:tc>
      </w:tr>
      <w:tr w:rsidR="00873C05" w14:paraId="14BE48F9" w14:textId="77777777" w:rsidTr="003D17D3">
        <w:trPr>
          <w:trHeight w:val="308"/>
          <w:jc w:val="center"/>
        </w:trPr>
        <w:tc>
          <w:tcPr>
            <w:tcW w:w="3960" w:type="dxa"/>
            <w:shd w:val="clear" w:color="auto" w:fill="auto"/>
            <w:vAlign w:val="center"/>
            <w:hideMark/>
          </w:tcPr>
          <w:p w14:paraId="20A3F444" w14:textId="77777777" w:rsidR="00873C05" w:rsidRDefault="00873C05" w:rsidP="00873C05">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CDEA720" w14:textId="4B2692B8" w:rsidR="00873C05" w:rsidRDefault="005363E8" w:rsidP="00873C05">
            <w:pPr>
              <w:jc w:val="center"/>
              <w:rPr>
                <w:rFonts w:ascii="Arial" w:eastAsiaTheme="minorHAnsi" w:hAnsi="Arial" w:cs="Arial"/>
                <w:b/>
                <w:color w:val="auto"/>
              </w:rPr>
            </w:pPr>
            <w:r>
              <w:rPr>
                <w:rFonts w:ascii="Arial" w:eastAsiaTheme="minorHAnsi" w:hAnsi="Arial" w:cs="Arial"/>
                <w:b/>
                <w:color w:val="auto"/>
              </w:rPr>
              <w:t>17,536</w:t>
            </w:r>
          </w:p>
        </w:tc>
      </w:tr>
      <w:tr w:rsidR="00873C05" w14:paraId="090771A7" w14:textId="77777777" w:rsidTr="003D17D3">
        <w:trPr>
          <w:trHeight w:val="308"/>
          <w:jc w:val="center"/>
        </w:trPr>
        <w:tc>
          <w:tcPr>
            <w:tcW w:w="3960" w:type="dxa"/>
            <w:shd w:val="clear" w:color="auto" w:fill="auto"/>
            <w:vAlign w:val="center"/>
            <w:hideMark/>
          </w:tcPr>
          <w:p w14:paraId="630243D5" w14:textId="77777777" w:rsidR="00873C05" w:rsidRDefault="00873C05" w:rsidP="00873C05">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68F1383D" w14:textId="03D370BD" w:rsidR="00873C05" w:rsidRDefault="005363E8" w:rsidP="00873C05">
            <w:pPr>
              <w:jc w:val="center"/>
              <w:rPr>
                <w:rFonts w:ascii="Arial" w:eastAsiaTheme="minorHAnsi" w:hAnsi="Arial" w:cs="Arial"/>
                <w:b/>
                <w:color w:val="auto"/>
              </w:rPr>
            </w:pPr>
            <w:r>
              <w:rPr>
                <w:rFonts w:ascii="Arial" w:eastAsiaTheme="minorHAnsi" w:hAnsi="Arial" w:cs="Arial"/>
                <w:b/>
                <w:color w:val="auto"/>
              </w:rPr>
              <w:t>16,804</w:t>
            </w:r>
          </w:p>
        </w:tc>
      </w:tr>
      <w:tr w:rsidR="00873C05" w14:paraId="61818492" w14:textId="77777777" w:rsidTr="003D17D3">
        <w:trPr>
          <w:trHeight w:val="308"/>
          <w:jc w:val="center"/>
        </w:trPr>
        <w:tc>
          <w:tcPr>
            <w:tcW w:w="3960" w:type="dxa"/>
            <w:shd w:val="clear" w:color="auto" w:fill="auto"/>
            <w:vAlign w:val="center"/>
            <w:hideMark/>
          </w:tcPr>
          <w:p w14:paraId="7D9FBFF2" w14:textId="77777777" w:rsidR="00873C05" w:rsidRDefault="00873C05" w:rsidP="00873C05">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7493B487" w14:textId="1AE0ACBC" w:rsidR="00873C05" w:rsidRDefault="005363E8" w:rsidP="00873C05">
            <w:pPr>
              <w:jc w:val="center"/>
              <w:rPr>
                <w:rFonts w:ascii="Arial" w:eastAsiaTheme="minorHAnsi" w:hAnsi="Arial" w:cs="Arial"/>
                <w:b/>
                <w:color w:val="auto"/>
              </w:rPr>
            </w:pPr>
            <w:r>
              <w:rPr>
                <w:rFonts w:ascii="Arial" w:eastAsiaTheme="minorHAnsi" w:hAnsi="Arial" w:cs="Arial"/>
                <w:b/>
                <w:color w:val="auto"/>
              </w:rPr>
              <w:t>3,376</w:t>
            </w:r>
          </w:p>
        </w:tc>
      </w:tr>
      <w:tr w:rsidR="00873C05" w14:paraId="0F32718A" w14:textId="77777777" w:rsidTr="003D17D3">
        <w:trPr>
          <w:trHeight w:val="308"/>
          <w:jc w:val="center"/>
        </w:trPr>
        <w:tc>
          <w:tcPr>
            <w:tcW w:w="3960" w:type="dxa"/>
            <w:shd w:val="clear" w:color="auto" w:fill="auto"/>
            <w:vAlign w:val="center"/>
            <w:hideMark/>
          </w:tcPr>
          <w:p w14:paraId="40C7B3AC"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873C05" w:rsidRPr="0094497E" w:rsidRDefault="00873C05" w:rsidP="00873C05">
            <w:pPr>
              <w:jc w:val="center"/>
              <w:rPr>
                <w:rFonts w:ascii="Arial" w:eastAsiaTheme="minorHAnsi" w:hAnsi="Arial" w:cs="Arial"/>
                <w:b/>
                <w:color w:val="auto"/>
              </w:rPr>
            </w:pPr>
          </w:p>
        </w:tc>
        <w:tc>
          <w:tcPr>
            <w:tcW w:w="3150" w:type="dxa"/>
            <w:shd w:val="clear" w:color="auto" w:fill="auto"/>
            <w:vAlign w:val="center"/>
          </w:tcPr>
          <w:p w14:paraId="4844B722" w14:textId="71193E70" w:rsidR="00873C05" w:rsidRDefault="005363E8" w:rsidP="00873C05">
            <w:pPr>
              <w:jc w:val="center"/>
              <w:rPr>
                <w:rFonts w:ascii="Arial" w:eastAsiaTheme="minorHAnsi" w:hAnsi="Arial" w:cs="Arial"/>
                <w:b/>
                <w:color w:val="auto"/>
              </w:rPr>
            </w:pPr>
            <w:r>
              <w:rPr>
                <w:rFonts w:ascii="Arial" w:eastAsiaTheme="minorHAnsi" w:hAnsi="Arial" w:cs="Arial"/>
                <w:b/>
                <w:color w:val="auto"/>
              </w:rPr>
              <w:t>10,934</w:t>
            </w:r>
          </w:p>
        </w:tc>
      </w:tr>
      <w:tr w:rsidR="00873C05" w14:paraId="1224D152" w14:textId="77777777" w:rsidTr="00F23D75">
        <w:trPr>
          <w:trHeight w:val="308"/>
          <w:jc w:val="center"/>
        </w:trPr>
        <w:tc>
          <w:tcPr>
            <w:tcW w:w="3960" w:type="dxa"/>
            <w:shd w:val="clear" w:color="auto" w:fill="auto"/>
            <w:vAlign w:val="center"/>
            <w:hideMark/>
          </w:tcPr>
          <w:p w14:paraId="1D3A7AF9" w14:textId="77777777" w:rsidR="00873C05" w:rsidRDefault="00873C05" w:rsidP="00873C05">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873C05" w:rsidRDefault="00873C05" w:rsidP="00873C0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647D4F09" w:rsidR="00873C05" w:rsidRDefault="005363E8" w:rsidP="00873C05">
            <w:pPr>
              <w:jc w:val="center"/>
              <w:rPr>
                <w:rFonts w:ascii="Arial" w:eastAsiaTheme="minorHAnsi" w:hAnsi="Arial" w:cs="Arial"/>
                <w:b/>
                <w:color w:val="auto"/>
              </w:rPr>
            </w:pPr>
            <w:r>
              <w:rPr>
                <w:rFonts w:ascii="Arial" w:eastAsiaTheme="minorHAnsi" w:hAnsi="Arial" w:cs="Arial"/>
                <w:b/>
                <w:color w:val="auto"/>
              </w:rPr>
              <w:t>62.3%</w:t>
            </w:r>
          </w:p>
        </w:tc>
      </w:tr>
      <w:tr w:rsidR="00873C05" w14:paraId="49A00AFD" w14:textId="77777777" w:rsidTr="00B6130C">
        <w:trPr>
          <w:trHeight w:val="308"/>
          <w:jc w:val="center"/>
        </w:trPr>
        <w:tc>
          <w:tcPr>
            <w:tcW w:w="3960" w:type="dxa"/>
            <w:shd w:val="clear" w:color="auto" w:fill="auto"/>
            <w:vAlign w:val="center"/>
            <w:hideMark/>
          </w:tcPr>
          <w:p w14:paraId="297EF61B" w14:textId="77777777" w:rsidR="00873C05" w:rsidRDefault="00873C05" w:rsidP="00873C05">
            <w:pPr>
              <w:rPr>
                <w:rFonts w:ascii="Arial" w:hAnsi="Arial" w:cs="Arial"/>
                <w:b/>
                <w:color w:val="auto"/>
              </w:rPr>
            </w:pPr>
            <w:r>
              <w:rPr>
                <w:rFonts w:ascii="Arial" w:hAnsi="Arial" w:cs="Arial"/>
                <w:b/>
                <w:color w:val="auto"/>
              </w:rPr>
              <w:t>Avg. Days to Complete FYTD</w:t>
            </w:r>
          </w:p>
        </w:tc>
        <w:tc>
          <w:tcPr>
            <w:tcW w:w="3150" w:type="dxa"/>
          </w:tcPr>
          <w:p w14:paraId="4638D748" w14:textId="65E2628A" w:rsidR="00873C05" w:rsidRDefault="00873C05" w:rsidP="00873C05">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11AFC07A" w:rsidR="00873C05" w:rsidRDefault="005363E8" w:rsidP="00873C05">
            <w:pPr>
              <w:jc w:val="center"/>
              <w:rPr>
                <w:rFonts w:ascii="Arial" w:eastAsiaTheme="minorHAnsi" w:hAnsi="Arial" w:cs="Arial"/>
                <w:b/>
                <w:color w:val="auto"/>
              </w:rPr>
            </w:pPr>
            <w:r>
              <w:rPr>
                <w:rFonts w:ascii="Arial" w:eastAsiaTheme="minorHAnsi" w:hAnsi="Arial" w:cs="Arial"/>
                <w:b/>
                <w:color w:val="auto"/>
              </w:rPr>
              <w:t>44</w:t>
            </w:r>
          </w:p>
        </w:tc>
      </w:tr>
    </w:tbl>
    <w:p w14:paraId="1BD26EF8" w14:textId="0BAD6AC8" w:rsidR="00A748F4" w:rsidRPr="00CB2E49" w:rsidRDefault="00A748F4" w:rsidP="00CB2E49">
      <w:pPr>
        <w:ind w:firstLine="720"/>
        <w:rPr>
          <w:rFonts w:ascii="Arial" w:hAnsi="Arial" w:cs="Arial"/>
          <w:color w:val="auto"/>
          <w:sz w:val="22"/>
          <w:szCs w:val="22"/>
        </w:rPr>
      </w:pPr>
      <w:r w:rsidRPr="00CB2E49">
        <w:rPr>
          <w:rFonts w:ascii="Arial" w:hAnsi="Arial" w:cs="Arial"/>
          <w:b/>
          <w:color w:val="auto"/>
          <w:sz w:val="22"/>
          <w:szCs w:val="22"/>
        </w:rPr>
        <w:t>Source:</w:t>
      </w:r>
      <w:r w:rsidRPr="00CB2E49">
        <w:rPr>
          <w:rFonts w:ascii="Arial" w:hAnsi="Arial" w:cs="Arial"/>
          <w:color w:val="auto"/>
          <w:sz w:val="22"/>
          <w:szCs w:val="22"/>
        </w:rPr>
        <w:t xml:space="preserve">  Tableau BDD History Report, </w:t>
      </w:r>
      <w:r w:rsidR="00173817" w:rsidRPr="005672A6">
        <w:rPr>
          <w:rFonts w:ascii="Arial" w:hAnsi="Arial" w:cs="Arial"/>
          <w:color w:val="auto"/>
          <w:sz w:val="22"/>
          <w:szCs w:val="22"/>
        </w:rPr>
        <w:t>Apri</w:t>
      </w:r>
      <w:r w:rsidR="005363E8" w:rsidRPr="005672A6">
        <w:rPr>
          <w:rFonts w:ascii="Arial" w:hAnsi="Arial" w:cs="Arial"/>
          <w:color w:val="auto"/>
          <w:sz w:val="22"/>
          <w:szCs w:val="22"/>
        </w:rPr>
        <w:t>l 13</w:t>
      </w:r>
      <w:r w:rsidR="001A44F6" w:rsidRPr="005672A6">
        <w:rPr>
          <w:rFonts w:ascii="Arial" w:hAnsi="Arial" w:cs="Arial"/>
          <w:color w:val="auto"/>
          <w:sz w:val="22"/>
          <w:szCs w:val="22"/>
        </w:rPr>
        <w:t xml:space="preserve">, </w:t>
      </w:r>
      <w:r w:rsidRPr="005672A6">
        <w:rPr>
          <w:rFonts w:ascii="Arial" w:hAnsi="Arial" w:cs="Arial"/>
          <w:color w:val="auto"/>
          <w:sz w:val="22"/>
          <w:szCs w:val="22"/>
        </w:rPr>
        <w:t>2020</w:t>
      </w:r>
    </w:p>
    <w:p w14:paraId="72F7D883" w14:textId="77777777" w:rsidR="00A748F4" w:rsidRDefault="00A748F4" w:rsidP="00A748F4">
      <w:pPr>
        <w:pStyle w:val="Heading10"/>
        <w:rPr>
          <w:sz w:val="24"/>
        </w:rPr>
      </w:pPr>
    </w:p>
    <w:bookmarkEnd w:id="69"/>
    <w:bookmarkEnd w:id="70"/>
    <w:p w14:paraId="78BD716E" w14:textId="5558F5B7" w:rsidR="00A0458C" w:rsidRDefault="00E97A0B">
      <w:pPr>
        <w:pStyle w:val="Heading10"/>
      </w:pPr>
      <w:r>
        <w:rPr>
          <w:sz w:val="32"/>
        </w:rPr>
        <w:t xml:space="preserve">Upcoming </w:t>
      </w:r>
      <w:r w:rsidR="002A757B">
        <w:rPr>
          <w:sz w:val="32"/>
        </w:rPr>
        <w:t xml:space="preserve">Teleconferences </w:t>
      </w:r>
    </w:p>
    <w:p w14:paraId="78BD716F" w14:textId="389D0AE8"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173817">
        <w:rPr>
          <w:rFonts w:ascii="Arial" w:hAnsi="Arial" w:cs="Arial"/>
          <w:color w:val="000000" w:themeColor="text1"/>
        </w:rPr>
        <w:t>May 12</w:t>
      </w:r>
      <w:r>
        <w:rPr>
          <w:rFonts w:ascii="Arial" w:hAnsi="Arial" w:cs="Arial"/>
          <w:color w:val="000000" w:themeColor="text1"/>
        </w:rPr>
        <w:t xml:space="preserve">, 2020 at 2PM ET. Please submit IDES questions and proposed topics for discussion to the </w:t>
      </w:r>
      <w:hyperlink r:id="rId34"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35" w:history="1">
        <w:r>
          <w:rPr>
            <w:rStyle w:val="Hyperlink"/>
            <w:rFonts w:ascii="Arial" w:hAnsi="Arial" w:cs="Arial"/>
          </w:rPr>
          <w:t>BDD Mailbox</w:t>
        </w:r>
      </w:hyperlink>
      <w:r>
        <w:rPr>
          <w:rFonts w:ascii="Arial" w:hAnsi="Arial" w:cs="Arial"/>
          <w:color w:val="000000" w:themeColor="text1"/>
        </w:rPr>
        <w:t xml:space="preserve"> no 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w:t>
      </w:r>
      <w:r w:rsidR="002B7303">
        <w:rPr>
          <w:rFonts w:ascii="Arial" w:hAnsi="Arial" w:cs="Arial"/>
          <w:color w:val="000000" w:themeColor="text1"/>
        </w:rPr>
        <w:t xml:space="preserve">April </w:t>
      </w:r>
      <w:r w:rsidR="00173817">
        <w:rPr>
          <w:rFonts w:ascii="Arial" w:hAnsi="Arial" w:cs="Arial"/>
          <w:color w:val="000000" w:themeColor="text1"/>
        </w:rPr>
        <w:t>29</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39A16F2E" w14:textId="3FB5B2E6" w:rsidR="002B7303" w:rsidRDefault="002A757B" w:rsidP="002B7303">
      <w:pPr>
        <w:rPr>
          <w:rFonts w:ascii="Arial" w:hAnsi="Arial" w:cs="Arial"/>
          <w:color w:val="000000" w:themeColor="text1"/>
        </w:rPr>
      </w:pPr>
      <w:r>
        <w:rPr>
          <w:rFonts w:ascii="Arial" w:hAnsi="Arial" w:cs="Arial"/>
          <w:color w:val="000000" w:themeColor="text1"/>
        </w:rPr>
        <w:t xml:space="preserve">The next BDD/IDES Coaches Call is scheduled for </w:t>
      </w:r>
      <w:r w:rsidR="002B7303">
        <w:rPr>
          <w:rFonts w:ascii="Arial" w:hAnsi="Arial" w:cs="Arial"/>
          <w:color w:val="000000" w:themeColor="text1"/>
        </w:rPr>
        <w:t>June 4</w:t>
      </w:r>
      <w:r w:rsidR="00AB6E45">
        <w:rPr>
          <w:rFonts w:ascii="Arial" w:hAnsi="Arial" w:cs="Arial"/>
          <w:color w:val="000000" w:themeColor="text1"/>
        </w:rPr>
        <w:t xml:space="preserve">, </w:t>
      </w:r>
      <w:r w:rsidR="00AE23D1">
        <w:rPr>
          <w:rFonts w:ascii="Arial" w:hAnsi="Arial" w:cs="Arial"/>
          <w:color w:val="000000" w:themeColor="text1"/>
        </w:rPr>
        <w:t>2020.</w:t>
      </w:r>
      <w:r w:rsidR="00E331AB">
        <w:rPr>
          <w:rFonts w:ascii="Arial" w:hAnsi="Arial" w:cs="Arial"/>
          <w:color w:val="000000" w:themeColor="text1"/>
        </w:rPr>
        <w:t xml:space="preserve"> </w:t>
      </w:r>
      <w:r w:rsidR="002B7303">
        <w:rPr>
          <w:rFonts w:ascii="Arial" w:hAnsi="Arial" w:cs="Arial"/>
          <w:color w:val="000000" w:themeColor="text1"/>
        </w:rPr>
        <w:t xml:space="preserve">Please submit IDES questions and proposed topics for discussion to the </w:t>
      </w:r>
      <w:hyperlink r:id="rId36" w:history="1">
        <w:r w:rsidR="002B7303">
          <w:rPr>
            <w:rStyle w:val="Hyperlink"/>
            <w:rFonts w:ascii="Arial" w:hAnsi="Arial" w:cs="Arial"/>
          </w:rPr>
          <w:t>IDES Mailbox</w:t>
        </w:r>
      </w:hyperlink>
      <w:r w:rsidR="002B7303">
        <w:rPr>
          <w:rStyle w:val="Hyperlink"/>
          <w:rFonts w:ascii="Arial" w:hAnsi="Arial" w:cs="Arial"/>
          <w:color w:val="auto"/>
          <w:u w:val="none"/>
        </w:rPr>
        <w:t>,</w:t>
      </w:r>
      <w:r w:rsidR="002B7303">
        <w:rPr>
          <w:rFonts w:ascii="Arial" w:hAnsi="Arial" w:cs="Arial"/>
          <w:color w:val="000000" w:themeColor="text1"/>
        </w:rPr>
        <w:t xml:space="preserve"> and BDD questions and proposed topics for discussion to the </w:t>
      </w:r>
      <w:hyperlink r:id="rId37" w:history="1">
        <w:r w:rsidR="002B7303">
          <w:rPr>
            <w:rStyle w:val="Hyperlink"/>
            <w:rFonts w:ascii="Arial" w:hAnsi="Arial" w:cs="Arial"/>
          </w:rPr>
          <w:t>BDD Mailbox</w:t>
        </w:r>
      </w:hyperlink>
      <w:r w:rsidR="002B7303">
        <w:rPr>
          <w:rFonts w:ascii="Arial" w:hAnsi="Arial" w:cs="Arial"/>
          <w:color w:val="000000" w:themeColor="text1"/>
        </w:rPr>
        <w:t xml:space="preserve"> no later than close of business (COB), Friday May 22, 2020.</w:t>
      </w:r>
    </w:p>
    <w:p w14:paraId="6389DD91" w14:textId="4CDF9D46" w:rsidR="003C46E4" w:rsidRDefault="003C46E4">
      <w:pPr>
        <w:rPr>
          <w:rFonts w:ascii="Arial" w:hAnsi="Arial" w:cs="Arial"/>
          <w:color w:val="000000" w:themeColor="text1"/>
        </w:rPr>
      </w:pPr>
    </w:p>
    <w:p w14:paraId="14DF1351" w14:textId="50D75601" w:rsidR="0028092B" w:rsidRDefault="00972D5A" w:rsidP="00CB2E49">
      <w:pPr>
        <w:pStyle w:val="Heading10"/>
        <w:rPr>
          <w:color w:val="auto"/>
          <w:sz w:val="28"/>
        </w:rPr>
      </w:pPr>
      <w:r>
        <w:rPr>
          <w:sz w:val="32"/>
        </w:rPr>
        <w:t>Open Floor</w:t>
      </w:r>
    </w:p>
    <w:p w14:paraId="611FD953" w14:textId="75CD3347" w:rsidR="007E2D2E" w:rsidRDefault="007E2D2E" w:rsidP="00C35C20">
      <w:pPr>
        <w:rPr>
          <w:rFonts w:ascii="Arial" w:hAnsi="Arial" w:cs="Arial"/>
          <w:b/>
          <w:color w:val="auto"/>
          <w:sz w:val="28"/>
        </w:rPr>
      </w:pPr>
      <w:bookmarkStart w:id="71" w:name="_Hlk34988521"/>
    </w:p>
    <w:p w14:paraId="5C352E24" w14:textId="1D8134BA" w:rsidR="007E2D2E" w:rsidRDefault="007E2D2E" w:rsidP="00C35C20">
      <w:pPr>
        <w:rPr>
          <w:rFonts w:ascii="Arial" w:hAnsi="Arial" w:cs="Arial"/>
          <w:b/>
          <w:color w:val="auto"/>
          <w:sz w:val="28"/>
        </w:rPr>
      </w:pPr>
    </w:p>
    <w:p w14:paraId="00D09300" w14:textId="12EEFD1C" w:rsidR="007E2D2E" w:rsidRDefault="007E2D2E" w:rsidP="00C35C20">
      <w:pPr>
        <w:rPr>
          <w:rFonts w:ascii="Arial" w:hAnsi="Arial" w:cs="Arial"/>
          <w:b/>
          <w:color w:val="auto"/>
          <w:sz w:val="28"/>
        </w:rPr>
      </w:pPr>
    </w:p>
    <w:p w14:paraId="7570CF3E" w14:textId="24977499" w:rsidR="007E2D2E" w:rsidRDefault="007E2D2E" w:rsidP="00C35C20">
      <w:pPr>
        <w:rPr>
          <w:rFonts w:ascii="Arial" w:hAnsi="Arial" w:cs="Arial"/>
          <w:b/>
          <w:color w:val="auto"/>
          <w:sz w:val="28"/>
        </w:rPr>
      </w:pPr>
    </w:p>
    <w:p w14:paraId="6160CB93" w14:textId="0BD59D8F" w:rsidR="007E2D2E" w:rsidRDefault="007E2D2E" w:rsidP="00C35C20">
      <w:pPr>
        <w:rPr>
          <w:rFonts w:ascii="Arial" w:hAnsi="Arial" w:cs="Arial"/>
          <w:b/>
          <w:color w:val="auto"/>
          <w:sz w:val="28"/>
        </w:rPr>
      </w:pPr>
    </w:p>
    <w:p w14:paraId="1D0A306C" w14:textId="64F499E7" w:rsidR="00555229" w:rsidRDefault="00555229">
      <w:pPr>
        <w:rPr>
          <w:rFonts w:ascii="Arial" w:hAnsi="Arial" w:cs="Arial"/>
          <w:b/>
          <w:color w:val="auto"/>
          <w:sz w:val="28"/>
        </w:rPr>
      </w:pPr>
      <w:r>
        <w:rPr>
          <w:rFonts w:ascii="Arial" w:hAnsi="Arial" w:cs="Arial"/>
          <w:b/>
          <w:color w:val="auto"/>
          <w:sz w:val="28"/>
        </w:rPr>
        <w:br w:type="page"/>
      </w:r>
    </w:p>
    <w:p w14:paraId="4D1FB958" w14:textId="714E3302" w:rsidR="00C35C20" w:rsidRDefault="00C35C20" w:rsidP="00C35C20">
      <w:pPr>
        <w:rPr>
          <w:rFonts w:ascii="Arial" w:hAnsi="Arial" w:cs="Arial"/>
          <w:b/>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 xml:space="preserve">Call Notes from the </w:t>
      </w:r>
      <w:r w:rsidR="00654B98">
        <w:rPr>
          <w:rFonts w:ascii="Arial" w:hAnsi="Arial" w:cs="Arial"/>
          <w:b/>
          <w:color w:val="auto"/>
          <w:sz w:val="28"/>
        </w:rPr>
        <w:t xml:space="preserve">March </w:t>
      </w:r>
      <w:r w:rsidRPr="00005C07">
        <w:rPr>
          <w:rFonts w:ascii="Arial" w:hAnsi="Arial" w:cs="Arial"/>
          <w:b/>
          <w:color w:val="auto"/>
          <w:sz w:val="28"/>
        </w:rPr>
        <w:t>2020 Comp Service BDD/IDES Conference Call</w:t>
      </w:r>
      <w:r w:rsidR="00CF4C76">
        <w:rPr>
          <w:rFonts w:ascii="Arial" w:hAnsi="Arial" w:cs="Arial"/>
          <w:b/>
          <w:color w:val="auto"/>
          <w:sz w:val="28"/>
        </w:rPr>
        <w:t xml:space="preserve"> </w:t>
      </w:r>
    </w:p>
    <w:p w14:paraId="6007B9C7" w14:textId="77777777" w:rsidR="00896F38" w:rsidRDefault="00896F38" w:rsidP="00C35C20">
      <w:pPr>
        <w:rPr>
          <w:rFonts w:ascii="Arial" w:hAnsi="Arial" w:cs="Arial"/>
          <w:color w:val="auto"/>
          <w:sz w:val="28"/>
        </w:rPr>
      </w:pPr>
    </w:p>
    <w:bookmarkEnd w:id="71"/>
    <w:p w14:paraId="3892AE02" w14:textId="7AB09918" w:rsidR="00C35C20" w:rsidRDefault="00C35C20" w:rsidP="00060BB4">
      <w:pPr>
        <w:rPr>
          <w:rFonts w:ascii="Arial" w:hAnsi="Arial" w:cs="Arial"/>
          <w:color w:val="auto"/>
        </w:rPr>
      </w:pPr>
      <w:r w:rsidRPr="00125FB8">
        <w:rPr>
          <w:rFonts w:ascii="Arial" w:hAnsi="Arial" w:cs="Arial"/>
          <w:color w:val="auto"/>
        </w:rPr>
        <w:t xml:space="preserve">The following </w:t>
      </w:r>
      <w:r>
        <w:rPr>
          <w:rFonts w:ascii="Arial" w:hAnsi="Arial" w:cs="Arial"/>
          <w:color w:val="auto"/>
        </w:rPr>
        <w:t>n</w:t>
      </w:r>
      <w:r w:rsidRPr="00125FB8">
        <w:rPr>
          <w:rFonts w:ascii="Arial" w:hAnsi="Arial" w:cs="Arial"/>
          <w:color w:val="auto"/>
        </w:rPr>
        <w:t xml:space="preserve">otes </w:t>
      </w:r>
      <w:r>
        <w:rPr>
          <w:rFonts w:ascii="Arial" w:hAnsi="Arial" w:cs="Arial"/>
          <w:color w:val="auto"/>
        </w:rPr>
        <w:t>provide a</w:t>
      </w:r>
      <w:r w:rsidRPr="00125FB8">
        <w:rPr>
          <w:rFonts w:ascii="Arial" w:hAnsi="Arial" w:cs="Arial"/>
          <w:color w:val="auto"/>
        </w:rPr>
        <w:t xml:space="preserve"> summary of questions and discussion from the </w:t>
      </w:r>
      <w:r w:rsidR="00654B98">
        <w:rPr>
          <w:rFonts w:ascii="Arial" w:hAnsi="Arial" w:cs="Arial"/>
          <w:color w:val="auto"/>
        </w:rPr>
        <w:t xml:space="preserve">March </w:t>
      </w:r>
      <w:r>
        <w:rPr>
          <w:rFonts w:ascii="Arial" w:hAnsi="Arial" w:cs="Arial"/>
          <w:color w:val="auto"/>
        </w:rPr>
        <w:t>BDD/IDES Conference Call. For</w:t>
      </w:r>
      <w:r w:rsidRPr="00125FB8">
        <w:rPr>
          <w:rFonts w:ascii="Arial" w:hAnsi="Arial" w:cs="Arial"/>
          <w:color w:val="auto"/>
        </w:rPr>
        <w:t xml:space="preserve"> a complete description of the topics discussed on the call please review the</w:t>
      </w:r>
      <w:r w:rsidR="00654B98">
        <w:rPr>
          <w:rFonts w:ascii="Arial" w:hAnsi="Arial" w:cs="Arial"/>
          <w:color w:val="auto"/>
        </w:rPr>
        <w:t xml:space="preserve"> </w:t>
      </w:r>
      <w:hyperlink r:id="rId38" w:history="1">
        <w:r w:rsidR="00654B98" w:rsidRPr="00654B98">
          <w:rPr>
            <w:rStyle w:val="Hyperlink"/>
            <w:rFonts w:ascii="Arial" w:hAnsi="Arial" w:cs="Arial"/>
          </w:rPr>
          <w:t>March Read Ahead</w:t>
        </w:r>
      </w:hyperlink>
      <w:r w:rsidR="00654B98">
        <w:rPr>
          <w:rFonts w:ascii="Arial" w:hAnsi="Arial" w:cs="Arial"/>
          <w:color w:val="auto"/>
        </w:rPr>
        <w:t>.</w:t>
      </w:r>
    </w:p>
    <w:p w14:paraId="623CDA80" w14:textId="77777777" w:rsidR="009E76C8" w:rsidRPr="00BA693B" w:rsidRDefault="009E76C8" w:rsidP="009E76C8">
      <w:pPr>
        <w:rPr>
          <w:szCs w:val="20"/>
        </w:rPr>
      </w:pPr>
    </w:p>
    <w:p w14:paraId="53975623" w14:textId="7CACC22A" w:rsidR="009E76C8" w:rsidRDefault="009E76C8" w:rsidP="009E76C8">
      <w:pPr>
        <w:rPr>
          <w:rFonts w:ascii="Arial" w:hAnsi="Arial" w:cs="Arial"/>
          <w:b/>
          <w:bCs/>
          <w:sz w:val="28"/>
          <w:szCs w:val="22"/>
          <w:u w:val="single"/>
        </w:rPr>
      </w:pPr>
      <w:r>
        <w:rPr>
          <w:rFonts w:ascii="Arial" w:hAnsi="Arial" w:cs="Arial"/>
          <w:b/>
          <w:bCs/>
          <w:sz w:val="28"/>
          <w:szCs w:val="22"/>
          <w:u w:val="single"/>
        </w:rPr>
        <w:t>Gulf War (GW) Examinations in Pre-discharge Cases</w:t>
      </w:r>
    </w:p>
    <w:p w14:paraId="6FD05D4B" w14:textId="77777777" w:rsidR="009E76C8" w:rsidRDefault="009E76C8" w:rsidP="009E76C8">
      <w:pPr>
        <w:rPr>
          <w:rFonts w:ascii="Arial" w:hAnsi="Arial" w:cs="Arial"/>
          <w:szCs w:val="20"/>
        </w:rPr>
      </w:pPr>
      <w:r>
        <w:rPr>
          <w:rFonts w:ascii="Arial" w:hAnsi="Arial" w:cs="Arial"/>
          <w:szCs w:val="20"/>
        </w:rPr>
        <w:t xml:space="preserve">MSCs should continue to follow the guidance in the March Read Ahead. </w:t>
      </w:r>
      <w:r w:rsidRPr="00BA693B">
        <w:rPr>
          <w:rFonts w:ascii="Arial" w:hAnsi="Arial" w:cs="Arial"/>
          <w:szCs w:val="20"/>
        </w:rPr>
        <w:t xml:space="preserve">The Medical Disability Exam Program Office (MDEPO) </w:t>
      </w:r>
      <w:r>
        <w:rPr>
          <w:rFonts w:ascii="Arial" w:hAnsi="Arial" w:cs="Arial"/>
          <w:szCs w:val="20"/>
        </w:rPr>
        <w:t xml:space="preserve">is working to resolve any conflicts. Please continue to submit questions to </w:t>
      </w:r>
      <w:hyperlink r:id="rId39" w:history="1">
        <w:r w:rsidRPr="0095651E">
          <w:rPr>
            <w:rStyle w:val="Hyperlink"/>
            <w:rFonts w:ascii="Arial" w:hAnsi="Arial" w:cs="Arial"/>
            <w:b/>
            <w:bCs/>
            <w:szCs w:val="20"/>
          </w:rPr>
          <w:t>VAVBAWAS/CO/Contract Examination Inquiries</w:t>
        </w:r>
      </w:hyperlink>
      <w:r>
        <w:rPr>
          <w:rFonts w:ascii="Arial" w:hAnsi="Arial" w:cs="Arial"/>
          <w:szCs w:val="20"/>
        </w:rPr>
        <w:t xml:space="preserve"> and </w:t>
      </w:r>
      <w:r>
        <w:rPr>
          <w:rFonts w:ascii="Arial" w:hAnsi="Arial" w:cs="Arial"/>
          <w:color w:val="000000" w:themeColor="text1"/>
        </w:rPr>
        <w:t xml:space="preserve">to the </w:t>
      </w:r>
      <w:hyperlink r:id="rId40" w:history="1">
        <w:r>
          <w:rPr>
            <w:rStyle w:val="Hyperlink"/>
            <w:rFonts w:ascii="Arial" w:hAnsi="Arial" w:cs="Arial"/>
          </w:rPr>
          <w:t>IDES Mailbox</w:t>
        </w:r>
      </w:hyperlink>
      <w:r>
        <w:rPr>
          <w:rStyle w:val="Hyperlink"/>
          <w:rFonts w:ascii="Arial" w:hAnsi="Arial" w:cs="Arial"/>
        </w:rPr>
        <w:t xml:space="preserve">. </w:t>
      </w:r>
    </w:p>
    <w:p w14:paraId="27980B9F" w14:textId="77777777" w:rsidR="009E76C8" w:rsidRDefault="009E76C8" w:rsidP="009E76C8">
      <w:pPr>
        <w:rPr>
          <w:rFonts w:ascii="Arial" w:hAnsi="Arial" w:cs="Arial"/>
          <w:szCs w:val="20"/>
        </w:rPr>
      </w:pPr>
    </w:p>
    <w:p w14:paraId="0F029287" w14:textId="77777777" w:rsidR="009E76C8" w:rsidRPr="005A72F3" w:rsidRDefault="009E76C8" w:rsidP="009E76C8">
      <w:pPr>
        <w:rPr>
          <w:rFonts w:ascii="Arial" w:hAnsi="Arial" w:cs="Arial"/>
          <w:b/>
          <w:bCs/>
          <w:color w:val="auto"/>
          <w:sz w:val="28"/>
          <w:szCs w:val="28"/>
          <w:u w:val="single"/>
        </w:rPr>
      </w:pPr>
      <w:r>
        <w:rPr>
          <w:rFonts w:ascii="Arial" w:hAnsi="Arial" w:cs="Arial"/>
          <w:b/>
          <w:bCs/>
          <w:sz w:val="28"/>
          <w:szCs w:val="28"/>
          <w:u w:val="single"/>
        </w:rPr>
        <w:t>Increasing Participation in the BDD program</w:t>
      </w:r>
    </w:p>
    <w:p w14:paraId="70BC0E9F" w14:textId="63EE1558" w:rsidR="009E76C8" w:rsidRDefault="009E76C8" w:rsidP="009E76C8">
      <w:pPr>
        <w:rPr>
          <w:rFonts w:ascii="Arial" w:hAnsi="Arial" w:cs="Arial"/>
          <w:u w:val="single"/>
        </w:rPr>
      </w:pPr>
      <w:r>
        <w:rPr>
          <w:rFonts w:ascii="Arial" w:hAnsi="Arial" w:cs="Arial"/>
        </w:rPr>
        <w:t>During the March Conference Call, MSCs expressed concerns that they are still not allowed to attend Benefits Briefings to promote BDD claims or introduce themselves to Servicemembers. The Pre-</w:t>
      </w:r>
      <w:r w:rsidR="00BE4772">
        <w:rPr>
          <w:rFonts w:ascii="Arial" w:hAnsi="Arial" w:cs="Arial"/>
        </w:rPr>
        <w:t>D</w:t>
      </w:r>
      <w:r>
        <w:rPr>
          <w:rFonts w:ascii="Arial" w:hAnsi="Arial" w:cs="Arial"/>
        </w:rPr>
        <w:t>ischarge Team will continue to work with TED to get the most recent guidance regarding MSCs being able to attend Benefits Briefings.</w:t>
      </w:r>
      <w:r w:rsidR="00BE4772">
        <w:rPr>
          <w:rFonts w:ascii="Arial" w:hAnsi="Arial" w:cs="Arial"/>
        </w:rPr>
        <w:t xml:space="preserve"> </w:t>
      </w:r>
      <w:r>
        <w:rPr>
          <w:rFonts w:ascii="Arial" w:hAnsi="Arial" w:cs="Arial"/>
        </w:rPr>
        <w:t xml:space="preserve">Please submit questions to the </w:t>
      </w:r>
      <w:hyperlink r:id="rId41" w:history="1">
        <w:r>
          <w:rPr>
            <w:rStyle w:val="Hyperlink"/>
            <w:rFonts w:ascii="Arial" w:hAnsi="Arial" w:cs="Arial"/>
          </w:rPr>
          <w:t>BDD Mailbox</w:t>
        </w:r>
      </w:hyperlink>
      <w:r>
        <w:rPr>
          <w:rStyle w:val="Hyperlink"/>
          <w:rFonts w:ascii="Arial" w:hAnsi="Arial" w:cs="Arial"/>
        </w:rPr>
        <w:t>.</w:t>
      </w:r>
    </w:p>
    <w:p w14:paraId="7989D1D5" w14:textId="77777777" w:rsidR="009E76C8" w:rsidRPr="00BA693B" w:rsidRDefault="009E76C8" w:rsidP="009E76C8">
      <w:pPr>
        <w:rPr>
          <w:rFonts w:ascii="Arial" w:hAnsi="Arial" w:cs="Arial"/>
          <w:szCs w:val="20"/>
        </w:rPr>
      </w:pPr>
    </w:p>
    <w:p w14:paraId="5619CFE4" w14:textId="77777777" w:rsidR="009E76C8" w:rsidRDefault="009E76C8" w:rsidP="00060BB4">
      <w:pPr>
        <w:rPr>
          <w:rFonts w:ascii="Arial" w:hAnsi="Arial" w:cs="Arial"/>
          <w:color w:val="auto"/>
        </w:rPr>
      </w:pPr>
    </w:p>
    <w:sectPr w:rsidR="009E76C8">
      <w:footerReference w:type="default" r:id="rId42"/>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D3A6" w14:textId="77777777" w:rsidR="001A2981" w:rsidRDefault="001A2981">
      <w:r>
        <w:separator/>
      </w:r>
    </w:p>
  </w:endnote>
  <w:endnote w:type="continuationSeparator" w:id="0">
    <w:p w14:paraId="6CDED304" w14:textId="77777777" w:rsidR="001A2981" w:rsidRDefault="001A2981">
      <w:r>
        <w:continuationSeparator/>
      </w:r>
    </w:p>
  </w:endnote>
  <w:endnote w:type="continuationNotice" w:id="1">
    <w:p w14:paraId="5942EFEC" w14:textId="77777777" w:rsidR="001A2981" w:rsidRDefault="001A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595CF5DD"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173817">
      <w:rPr>
        <w:rFonts w:ascii="Arial" w:hAnsi="Arial" w:cs="Arial"/>
        <w:sz w:val="22"/>
      </w:rPr>
      <w:t>April 14</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A5C56" w14:textId="77777777" w:rsidR="001A2981" w:rsidRDefault="001A2981">
      <w:r>
        <w:separator/>
      </w:r>
    </w:p>
  </w:footnote>
  <w:footnote w:type="continuationSeparator" w:id="0">
    <w:p w14:paraId="566DACEA" w14:textId="77777777" w:rsidR="001A2981" w:rsidRDefault="001A2981">
      <w:r>
        <w:continuationSeparator/>
      </w:r>
    </w:p>
  </w:footnote>
  <w:footnote w:type="continuationNotice" w:id="1">
    <w:p w14:paraId="420FF17E" w14:textId="77777777" w:rsidR="001A2981" w:rsidRDefault="001A2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2023C66"/>
    <w:multiLevelType w:val="hybridMultilevel"/>
    <w:tmpl w:val="964E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607F1"/>
    <w:multiLevelType w:val="hybridMultilevel"/>
    <w:tmpl w:val="8C2E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20574"/>
    <w:multiLevelType w:val="multilevel"/>
    <w:tmpl w:val="C9C8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68A5"/>
    <w:multiLevelType w:val="hybridMultilevel"/>
    <w:tmpl w:val="AFE437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C49BB"/>
    <w:multiLevelType w:val="hybridMultilevel"/>
    <w:tmpl w:val="85C087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0A5DB2"/>
    <w:multiLevelType w:val="hybridMultilevel"/>
    <w:tmpl w:val="67629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8E96219"/>
    <w:multiLevelType w:val="hybridMultilevel"/>
    <w:tmpl w:val="2F9CC6B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95440D6"/>
    <w:multiLevelType w:val="hybridMultilevel"/>
    <w:tmpl w:val="0B5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B01AC"/>
    <w:multiLevelType w:val="hybridMultilevel"/>
    <w:tmpl w:val="9A589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06B7E"/>
    <w:multiLevelType w:val="hybridMultilevel"/>
    <w:tmpl w:val="01E2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117B3"/>
    <w:multiLevelType w:val="hybridMultilevel"/>
    <w:tmpl w:val="DB1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53F20"/>
    <w:multiLevelType w:val="hybridMultilevel"/>
    <w:tmpl w:val="BA980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C94CEF"/>
    <w:multiLevelType w:val="hybridMultilevel"/>
    <w:tmpl w:val="689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79687C"/>
    <w:multiLevelType w:val="multilevel"/>
    <w:tmpl w:val="43BE3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50EA9"/>
    <w:multiLevelType w:val="multilevel"/>
    <w:tmpl w:val="21F8A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46120"/>
    <w:multiLevelType w:val="hybridMultilevel"/>
    <w:tmpl w:val="906C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B12FB"/>
    <w:multiLevelType w:val="hybridMultilevel"/>
    <w:tmpl w:val="D72E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85AF9"/>
    <w:multiLevelType w:val="hybridMultilevel"/>
    <w:tmpl w:val="9CF27E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B575419"/>
    <w:multiLevelType w:val="hybridMultilevel"/>
    <w:tmpl w:val="FFCC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A09C4"/>
    <w:multiLevelType w:val="hybridMultilevel"/>
    <w:tmpl w:val="E910A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B1225"/>
    <w:multiLevelType w:val="hybridMultilevel"/>
    <w:tmpl w:val="7E5ABEC8"/>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3"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859EC"/>
    <w:multiLevelType w:val="multilevel"/>
    <w:tmpl w:val="E628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A3FEA"/>
    <w:multiLevelType w:val="hybridMultilevel"/>
    <w:tmpl w:val="85F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11"/>
  </w:num>
  <w:num w:numId="5">
    <w:abstractNumId w:val="6"/>
  </w:num>
  <w:num w:numId="6">
    <w:abstractNumId w:val="38"/>
  </w:num>
  <w:num w:numId="7">
    <w:abstractNumId w:val="2"/>
  </w:num>
  <w:num w:numId="8">
    <w:abstractNumId w:val="39"/>
  </w:num>
  <w:num w:numId="9">
    <w:abstractNumId w:val="40"/>
  </w:num>
  <w:num w:numId="10">
    <w:abstractNumId w:val="19"/>
  </w:num>
  <w:num w:numId="11">
    <w:abstractNumId w:val="16"/>
  </w:num>
  <w:num w:numId="12">
    <w:abstractNumId w:val="31"/>
  </w:num>
  <w:num w:numId="13">
    <w:abstractNumId w:val="35"/>
  </w:num>
  <w:num w:numId="14">
    <w:abstractNumId w:val="29"/>
  </w:num>
  <w:num w:numId="15">
    <w:abstractNumId w:val="4"/>
  </w:num>
  <w:num w:numId="16">
    <w:abstractNumId w:val="14"/>
  </w:num>
  <w:num w:numId="17">
    <w:abstractNumId w:val="24"/>
  </w:num>
  <w:num w:numId="18">
    <w:abstractNumId w:val="17"/>
  </w:num>
  <w:num w:numId="19">
    <w:abstractNumId w:val="21"/>
  </w:num>
  <w:num w:numId="20">
    <w:abstractNumId w:val="1"/>
  </w:num>
  <w:num w:numId="21">
    <w:abstractNumId w:val="28"/>
  </w:num>
  <w:num w:numId="22">
    <w:abstractNumId w:val="34"/>
  </w:num>
  <w:num w:numId="23">
    <w:abstractNumId w:val="23"/>
  </w:num>
  <w:num w:numId="24">
    <w:abstractNumId w:val="22"/>
  </w:num>
  <w:num w:numId="25">
    <w:abstractNumId w:val="5"/>
  </w:num>
  <w:num w:numId="26">
    <w:abstractNumId w:val="30"/>
  </w:num>
  <w:num w:numId="27">
    <w:abstractNumId w:val="25"/>
  </w:num>
  <w:num w:numId="28">
    <w:abstractNumId w:val="37"/>
  </w:num>
  <w:num w:numId="29">
    <w:abstractNumId w:val="12"/>
  </w:num>
  <w:num w:numId="30">
    <w:abstractNumId w:val="20"/>
  </w:num>
  <w:num w:numId="31">
    <w:abstractNumId w:val="10"/>
  </w:num>
  <w:num w:numId="32">
    <w:abstractNumId w:val="7"/>
  </w:num>
  <w:num w:numId="33">
    <w:abstractNumId w:val="27"/>
  </w:num>
  <w:num w:numId="34">
    <w:abstractNumId w:val="8"/>
  </w:num>
  <w:num w:numId="35">
    <w:abstractNumId w:val="9"/>
  </w:num>
  <w:num w:numId="36">
    <w:abstractNumId w:val="26"/>
  </w:num>
  <w:num w:numId="37">
    <w:abstractNumId w:val="13"/>
  </w:num>
  <w:num w:numId="38">
    <w:abstractNumId w:val="15"/>
  </w:num>
  <w:num w:numId="39">
    <w:abstractNumId w:val="3"/>
  </w:num>
  <w:num w:numId="40">
    <w:abstractNumId w:val="18"/>
  </w:num>
  <w:num w:numId="41">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42CF"/>
    <w:rsid w:val="00005BA5"/>
    <w:rsid w:val="00005C07"/>
    <w:rsid w:val="0001137B"/>
    <w:rsid w:val="00015441"/>
    <w:rsid w:val="00023311"/>
    <w:rsid w:val="00024F70"/>
    <w:rsid w:val="000263E6"/>
    <w:rsid w:val="00033C9B"/>
    <w:rsid w:val="000425FE"/>
    <w:rsid w:val="000506DA"/>
    <w:rsid w:val="00050E2A"/>
    <w:rsid w:val="000529D1"/>
    <w:rsid w:val="00055ED1"/>
    <w:rsid w:val="00060BB4"/>
    <w:rsid w:val="00063DCE"/>
    <w:rsid w:val="00064B9C"/>
    <w:rsid w:val="00067565"/>
    <w:rsid w:val="00071C75"/>
    <w:rsid w:val="00076D78"/>
    <w:rsid w:val="00080033"/>
    <w:rsid w:val="0008380C"/>
    <w:rsid w:val="0009278D"/>
    <w:rsid w:val="000929A4"/>
    <w:rsid w:val="00093068"/>
    <w:rsid w:val="000930C4"/>
    <w:rsid w:val="0009368C"/>
    <w:rsid w:val="000945FD"/>
    <w:rsid w:val="00097330"/>
    <w:rsid w:val="000A235E"/>
    <w:rsid w:val="000A7A1D"/>
    <w:rsid w:val="000C2869"/>
    <w:rsid w:val="000D03C2"/>
    <w:rsid w:val="000D4A61"/>
    <w:rsid w:val="000E7785"/>
    <w:rsid w:val="000F6508"/>
    <w:rsid w:val="00114894"/>
    <w:rsid w:val="001154CA"/>
    <w:rsid w:val="00120356"/>
    <w:rsid w:val="0012229C"/>
    <w:rsid w:val="0012529E"/>
    <w:rsid w:val="00127BD2"/>
    <w:rsid w:val="00135BCB"/>
    <w:rsid w:val="001407D2"/>
    <w:rsid w:val="00140FDD"/>
    <w:rsid w:val="00141DA6"/>
    <w:rsid w:val="00145745"/>
    <w:rsid w:val="001569C1"/>
    <w:rsid w:val="00163056"/>
    <w:rsid w:val="00165576"/>
    <w:rsid w:val="0017213F"/>
    <w:rsid w:val="00173817"/>
    <w:rsid w:val="00175508"/>
    <w:rsid w:val="00187BC0"/>
    <w:rsid w:val="001907DF"/>
    <w:rsid w:val="00196783"/>
    <w:rsid w:val="0019694C"/>
    <w:rsid w:val="00196ACD"/>
    <w:rsid w:val="00197030"/>
    <w:rsid w:val="001A2981"/>
    <w:rsid w:val="001A44F6"/>
    <w:rsid w:val="001A6283"/>
    <w:rsid w:val="001C0686"/>
    <w:rsid w:val="001C0C67"/>
    <w:rsid w:val="001C79A6"/>
    <w:rsid w:val="001D0F01"/>
    <w:rsid w:val="001D68F2"/>
    <w:rsid w:val="001D6E96"/>
    <w:rsid w:val="001E5ED3"/>
    <w:rsid w:val="00217FD7"/>
    <w:rsid w:val="002208A2"/>
    <w:rsid w:val="002208FE"/>
    <w:rsid w:val="00223B73"/>
    <w:rsid w:val="002313B7"/>
    <w:rsid w:val="002323A2"/>
    <w:rsid w:val="00232CFA"/>
    <w:rsid w:val="00234A19"/>
    <w:rsid w:val="00235886"/>
    <w:rsid w:val="00236F3C"/>
    <w:rsid w:val="002417C1"/>
    <w:rsid w:val="00251D19"/>
    <w:rsid w:val="00252F5E"/>
    <w:rsid w:val="00257851"/>
    <w:rsid w:val="00257E19"/>
    <w:rsid w:val="00262DF3"/>
    <w:rsid w:val="002632BC"/>
    <w:rsid w:val="00275EF5"/>
    <w:rsid w:val="0028092B"/>
    <w:rsid w:val="00282F00"/>
    <w:rsid w:val="002837F6"/>
    <w:rsid w:val="00285AA8"/>
    <w:rsid w:val="00287296"/>
    <w:rsid w:val="002923DD"/>
    <w:rsid w:val="00297CAE"/>
    <w:rsid w:val="002A5743"/>
    <w:rsid w:val="002A5AE1"/>
    <w:rsid w:val="002A5AF6"/>
    <w:rsid w:val="002A757B"/>
    <w:rsid w:val="002B7303"/>
    <w:rsid w:val="002C4558"/>
    <w:rsid w:val="002C5A25"/>
    <w:rsid w:val="002D465F"/>
    <w:rsid w:val="002D5E36"/>
    <w:rsid w:val="002F2B17"/>
    <w:rsid w:val="00301972"/>
    <w:rsid w:val="00301D3A"/>
    <w:rsid w:val="00306163"/>
    <w:rsid w:val="003121A9"/>
    <w:rsid w:val="00313BB0"/>
    <w:rsid w:val="00313CEE"/>
    <w:rsid w:val="003158DA"/>
    <w:rsid w:val="0032627A"/>
    <w:rsid w:val="003268BB"/>
    <w:rsid w:val="00352DED"/>
    <w:rsid w:val="0035383B"/>
    <w:rsid w:val="00362261"/>
    <w:rsid w:val="00366E32"/>
    <w:rsid w:val="00370335"/>
    <w:rsid w:val="00373BE7"/>
    <w:rsid w:val="00375A1D"/>
    <w:rsid w:val="00375D23"/>
    <w:rsid w:val="0038186A"/>
    <w:rsid w:val="003828FA"/>
    <w:rsid w:val="003A04D8"/>
    <w:rsid w:val="003B202B"/>
    <w:rsid w:val="003B2B2E"/>
    <w:rsid w:val="003B2C11"/>
    <w:rsid w:val="003B4616"/>
    <w:rsid w:val="003C16EA"/>
    <w:rsid w:val="003C46E4"/>
    <w:rsid w:val="003D17D3"/>
    <w:rsid w:val="003E4C7A"/>
    <w:rsid w:val="003F1AAE"/>
    <w:rsid w:val="003F1D3E"/>
    <w:rsid w:val="003F6C36"/>
    <w:rsid w:val="00403A3F"/>
    <w:rsid w:val="004117AE"/>
    <w:rsid w:val="00424989"/>
    <w:rsid w:val="004313B2"/>
    <w:rsid w:val="004321E8"/>
    <w:rsid w:val="00445615"/>
    <w:rsid w:val="004625A9"/>
    <w:rsid w:val="0046754E"/>
    <w:rsid w:val="00473041"/>
    <w:rsid w:val="00476DD2"/>
    <w:rsid w:val="00482FA0"/>
    <w:rsid w:val="00486090"/>
    <w:rsid w:val="004906E7"/>
    <w:rsid w:val="00491B97"/>
    <w:rsid w:val="00496A8E"/>
    <w:rsid w:val="004A0932"/>
    <w:rsid w:val="004A0E4E"/>
    <w:rsid w:val="004A6DD6"/>
    <w:rsid w:val="004A7319"/>
    <w:rsid w:val="004C3D01"/>
    <w:rsid w:val="004C5B8D"/>
    <w:rsid w:val="004C7F3A"/>
    <w:rsid w:val="004E0832"/>
    <w:rsid w:val="004E458A"/>
    <w:rsid w:val="004F0914"/>
    <w:rsid w:val="004F2690"/>
    <w:rsid w:val="004F2E27"/>
    <w:rsid w:val="00503BB8"/>
    <w:rsid w:val="00504B08"/>
    <w:rsid w:val="005125A1"/>
    <w:rsid w:val="005135FA"/>
    <w:rsid w:val="005141C3"/>
    <w:rsid w:val="00516C00"/>
    <w:rsid w:val="0052282C"/>
    <w:rsid w:val="00523649"/>
    <w:rsid w:val="005363E8"/>
    <w:rsid w:val="00540930"/>
    <w:rsid w:val="00542386"/>
    <w:rsid w:val="00550C90"/>
    <w:rsid w:val="00555229"/>
    <w:rsid w:val="00556B46"/>
    <w:rsid w:val="0056118F"/>
    <w:rsid w:val="005631CA"/>
    <w:rsid w:val="005672A6"/>
    <w:rsid w:val="005757B3"/>
    <w:rsid w:val="00577ACD"/>
    <w:rsid w:val="00582CDF"/>
    <w:rsid w:val="005833BF"/>
    <w:rsid w:val="0059524B"/>
    <w:rsid w:val="005A4526"/>
    <w:rsid w:val="005A72F3"/>
    <w:rsid w:val="005B561B"/>
    <w:rsid w:val="005B70B5"/>
    <w:rsid w:val="005C6BEE"/>
    <w:rsid w:val="005C70DA"/>
    <w:rsid w:val="005D15E3"/>
    <w:rsid w:val="005D34B1"/>
    <w:rsid w:val="005E0007"/>
    <w:rsid w:val="005E0A56"/>
    <w:rsid w:val="005E1921"/>
    <w:rsid w:val="005E7521"/>
    <w:rsid w:val="005F0163"/>
    <w:rsid w:val="005F01E3"/>
    <w:rsid w:val="005F1D75"/>
    <w:rsid w:val="005F5482"/>
    <w:rsid w:val="005F6757"/>
    <w:rsid w:val="00617579"/>
    <w:rsid w:val="006237C8"/>
    <w:rsid w:val="00623CB5"/>
    <w:rsid w:val="006272D5"/>
    <w:rsid w:val="0063206C"/>
    <w:rsid w:val="006349D6"/>
    <w:rsid w:val="006432B7"/>
    <w:rsid w:val="00645C16"/>
    <w:rsid w:val="00650932"/>
    <w:rsid w:val="00654B98"/>
    <w:rsid w:val="00656A78"/>
    <w:rsid w:val="006706FE"/>
    <w:rsid w:val="00671BAB"/>
    <w:rsid w:val="00674E13"/>
    <w:rsid w:val="00680135"/>
    <w:rsid w:val="00680AEC"/>
    <w:rsid w:val="00682A5A"/>
    <w:rsid w:val="00682F12"/>
    <w:rsid w:val="00683168"/>
    <w:rsid w:val="00683933"/>
    <w:rsid w:val="006840C8"/>
    <w:rsid w:val="006859D4"/>
    <w:rsid w:val="006B3858"/>
    <w:rsid w:val="006B46DD"/>
    <w:rsid w:val="006B4F0C"/>
    <w:rsid w:val="006C2CC1"/>
    <w:rsid w:val="006C576F"/>
    <w:rsid w:val="006D243C"/>
    <w:rsid w:val="006D5257"/>
    <w:rsid w:val="006E11C7"/>
    <w:rsid w:val="006E6829"/>
    <w:rsid w:val="0070285A"/>
    <w:rsid w:val="007074BF"/>
    <w:rsid w:val="00713789"/>
    <w:rsid w:val="007232DD"/>
    <w:rsid w:val="007315E7"/>
    <w:rsid w:val="007377B3"/>
    <w:rsid w:val="007413D6"/>
    <w:rsid w:val="00742426"/>
    <w:rsid w:val="00743C62"/>
    <w:rsid w:val="00743E7F"/>
    <w:rsid w:val="00746697"/>
    <w:rsid w:val="0076658D"/>
    <w:rsid w:val="007673C4"/>
    <w:rsid w:val="00775FC8"/>
    <w:rsid w:val="00781A72"/>
    <w:rsid w:val="00781A88"/>
    <w:rsid w:val="007829FB"/>
    <w:rsid w:val="00790498"/>
    <w:rsid w:val="00791EAB"/>
    <w:rsid w:val="00796846"/>
    <w:rsid w:val="007A44AA"/>
    <w:rsid w:val="007C3879"/>
    <w:rsid w:val="007C57DA"/>
    <w:rsid w:val="007C69F5"/>
    <w:rsid w:val="007D2A63"/>
    <w:rsid w:val="007D4693"/>
    <w:rsid w:val="007E2D2E"/>
    <w:rsid w:val="007E30C1"/>
    <w:rsid w:val="007E5AAC"/>
    <w:rsid w:val="007F102F"/>
    <w:rsid w:val="007F2DFA"/>
    <w:rsid w:val="007F5DBC"/>
    <w:rsid w:val="00810F93"/>
    <w:rsid w:val="00824C3B"/>
    <w:rsid w:val="0083040B"/>
    <w:rsid w:val="008420BD"/>
    <w:rsid w:val="00851828"/>
    <w:rsid w:val="0085483A"/>
    <w:rsid w:val="00856400"/>
    <w:rsid w:val="00865161"/>
    <w:rsid w:val="00870208"/>
    <w:rsid w:val="00871348"/>
    <w:rsid w:val="008722E2"/>
    <w:rsid w:val="00873C05"/>
    <w:rsid w:val="00877E3E"/>
    <w:rsid w:val="008869B4"/>
    <w:rsid w:val="0088770D"/>
    <w:rsid w:val="008920A4"/>
    <w:rsid w:val="00896F38"/>
    <w:rsid w:val="008A0F11"/>
    <w:rsid w:val="008A4141"/>
    <w:rsid w:val="008A4F4A"/>
    <w:rsid w:val="008A64A9"/>
    <w:rsid w:val="008B0805"/>
    <w:rsid w:val="008B0DE4"/>
    <w:rsid w:val="008B17A3"/>
    <w:rsid w:val="008B2C37"/>
    <w:rsid w:val="008C13D3"/>
    <w:rsid w:val="008C2732"/>
    <w:rsid w:val="008C4A90"/>
    <w:rsid w:val="008D35E1"/>
    <w:rsid w:val="008D7E93"/>
    <w:rsid w:val="008E42D9"/>
    <w:rsid w:val="008E75A7"/>
    <w:rsid w:val="008F3A5D"/>
    <w:rsid w:val="009040DB"/>
    <w:rsid w:val="00916D65"/>
    <w:rsid w:val="009347F3"/>
    <w:rsid w:val="0094497E"/>
    <w:rsid w:val="009459EC"/>
    <w:rsid w:val="00954AD1"/>
    <w:rsid w:val="009614EC"/>
    <w:rsid w:val="009624F9"/>
    <w:rsid w:val="0096793A"/>
    <w:rsid w:val="00972D5A"/>
    <w:rsid w:val="00977B83"/>
    <w:rsid w:val="00977FB8"/>
    <w:rsid w:val="00980227"/>
    <w:rsid w:val="009826E5"/>
    <w:rsid w:val="00993354"/>
    <w:rsid w:val="0099478E"/>
    <w:rsid w:val="009A174F"/>
    <w:rsid w:val="009A4065"/>
    <w:rsid w:val="009A70C3"/>
    <w:rsid w:val="009B254C"/>
    <w:rsid w:val="009C6B78"/>
    <w:rsid w:val="009D00F4"/>
    <w:rsid w:val="009E2649"/>
    <w:rsid w:val="009E334C"/>
    <w:rsid w:val="009E72CB"/>
    <w:rsid w:val="009E76C8"/>
    <w:rsid w:val="009E774F"/>
    <w:rsid w:val="009F2927"/>
    <w:rsid w:val="009F41FD"/>
    <w:rsid w:val="009F662F"/>
    <w:rsid w:val="00A00642"/>
    <w:rsid w:val="00A0458C"/>
    <w:rsid w:val="00A24408"/>
    <w:rsid w:val="00A24EA1"/>
    <w:rsid w:val="00A302B1"/>
    <w:rsid w:val="00A31FF9"/>
    <w:rsid w:val="00A440E5"/>
    <w:rsid w:val="00A44E9E"/>
    <w:rsid w:val="00A53BCF"/>
    <w:rsid w:val="00A6148A"/>
    <w:rsid w:val="00A61BAF"/>
    <w:rsid w:val="00A735B6"/>
    <w:rsid w:val="00A748F4"/>
    <w:rsid w:val="00A75A8D"/>
    <w:rsid w:val="00A86F05"/>
    <w:rsid w:val="00A90FEB"/>
    <w:rsid w:val="00AA31CC"/>
    <w:rsid w:val="00AB0EDE"/>
    <w:rsid w:val="00AB1AC1"/>
    <w:rsid w:val="00AB24D2"/>
    <w:rsid w:val="00AB6E45"/>
    <w:rsid w:val="00AC2003"/>
    <w:rsid w:val="00AD63F1"/>
    <w:rsid w:val="00AD6518"/>
    <w:rsid w:val="00AE15EA"/>
    <w:rsid w:val="00AE23D1"/>
    <w:rsid w:val="00B01001"/>
    <w:rsid w:val="00B05AD8"/>
    <w:rsid w:val="00B06654"/>
    <w:rsid w:val="00B16D7F"/>
    <w:rsid w:val="00B25D53"/>
    <w:rsid w:val="00B3440C"/>
    <w:rsid w:val="00B35303"/>
    <w:rsid w:val="00B368D6"/>
    <w:rsid w:val="00B37CAA"/>
    <w:rsid w:val="00B4105C"/>
    <w:rsid w:val="00B51E15"/>
    <w:rsid w:val="00B5366E"/>
    <w:rsid w:val="00B6547A"/>
    <w:rsid w:val="00B74A07"/>
    <w:rsid w:val="00B80666"/>
    <w:rsid w:val="00B8240D"/>
    <w:rsid w:val="00B845BB"/>
    <w:rsid w:val="00B85292"/>
    <w:rsid w:val="00B932EE"/>
    <w:rsid w:val="00BA63EC"/>
    <w:rsid w:val="00BA693B"/>
    <w:rsid w:val="00BA78C2"/>
    <w:rsid w:val="00BB73E5"/>
    <w:rsid w:val="00BB7405"/>
    <w:rsid w:val="00BC77EB"/>
    <w:rsid w:val="00BD11FD"/>
    <w:rsid w:val="00BD1F7B"/>
    <w:rsid w:val="00BD2151"/>
    <w:rsid w:val="00BD3F89"/>
    <w:rsid w:val="00BD69C4"/>
    <w:rsid w:val="00BE164F"/>
    <w:rsid w:val="00BE37E2"/>
    <w:rsid w:val="00BE4772"/>
    <w:rsid w:val="00BE5A13"/>
    <w:rsid w:val="00BE7519"/>
    <w:rsid w:val="00BF0DC9"/>
    <w:rsid w:val="00BF280C"/>
    <w:rsid w:val="00BF476E"/>
    <w:rsid w:val="00C000E1"/>
    <w:rsid w:val="00C07AFB"/>
    <w:rsid w:val="00C1164A"/>
    <w:rsid w:val="00C22183"/>
    <w:rsid w:val="00C24020"/>
    <w:rsid w:val="00C35C20"/>
    <w:rsid w:val="00C36301"/>
    <w:rsid w:val="00C4632B"/>
    <w:rsid w:val="00C51F5A"/>
    <w:rsid w:val="00C53795"/>
    <w:rsid w:val="00C6732A"/>
    <w:rsid w:val="00C67D10"/>
    <w:rsid w:val="00C73694"/>
    <w:rsid w:val="00C819A5"/>
    <w:rsid w:val="00C82FDD"/>
    <w:rsid w:val="00C87779"/>
    <w:rsid w:val="00C93990"/>
    <w:rsid w:val="00C97A9D"/>
    <w:rsid w:val="00C97DFB"/>
    <w:rsid w:val="00CB2E49"/>
    <w:rsid w:val="00CB4ED7"/>
    <w:rsid w:val="00CC03B4"/>
    <w:rsid w:val="00CC290E"/>
    <w:rsid w:val="00CD17D5"/>
    <w:rsid w:val="00CD4EAE"/>
    <w:rsid w:val="00CE14C9"/>
    <w:rsid w:val="00CF0573"/>
    <w:rsid w:val="00CF0D63"/>
    <w:rsid w:val="00CF2190"/>
    <w:rsid w:val="00CF4C76"/>
    <w:rsid w:val="00D21858"/>
    <w:rsid w:val="00D22C53"/>
    <w:rsid w:val="00D36130"/>
    <w:rsid w:val="00D37D77"/>
    <w:rsid w:val="00D41ADF"/>
    <w:rsid w:val="00D444DD"/>
    <w:rsid w:val="00D66002"/>
    <w:rsid w:val="00D80901"/>
    <w:rsid w:val="00DA3627"/>
    <w:rsid w:val="00DA6660"/>
    <w:rsid w:val="00DC33FC"/>
    <w:rsid w:val="00DC6B96"/>
    <w:rsid w:val="00DD64B6"/>
    <w:rsid w:val="00DE09E1"/>
    <w:rsid w:val="00DE23E6"/>
    <w:rsid w:val="00DE5A0C"/>
    <w:rsid w:val="00DE5BA7"/>
    <w:rsid w:val="00DE727F"/>
    <w:rsid w:val="00E1083A"/>
    <w:rsid w:val="00E10907"/>
    <w:rsid w:val="00E11047"/>
    <w:rsid w:val="00E17C4B"/>
    <w:rsid w:val="00E17D2E"/>
    <w:rsid w:val="00E21B06"/>
    <w:rsid w:val="00E21F68"/>
    <w:rsid w:val="00E25C1B"/>
    <w:rsid w:val="00E271B2"/>
    <w:rsid w:val="00E27EBF"/>
    <w:rsid w:val="00E32FF4"/>
    <w:rsid w:val="00E331AB"/>
    <w:rsid w:val="00E338CB"/>
    <w:rsid w:val="00E4278A"/>
    <w:rsid w:val="00E50295"/>
    <w:rsid w:val="00E51F7C"/>
    <w:rsid w:val="00E5355F"/>
    <w:rsid w:val="00E549B3"/>
    <w:rsid w:val="00E57132"/>
    <w:rsid w:val="00E645D9"/>
    <w:rsid w:val="00E71726"/>
    <w:rsid w:val="00E75E61"/>
    <w:rsid w:val="00E803BF"/>
    <w:rsid w:val="00E8469F"/>
    <w:rsid w:val="00E847D4"/>
    <w:rsid w:val="00E85F08"/>
    <w:rsid w:val="00E97A0B"/>
    <w:rsid w:val="00EA73B8"/>
    <w:rsid w:val="00EB0C6E"/>
    <w:rsid w:val="00EB31DB"/>
    <w:rsid w:val="00EB544F"/>
    <w:rsid w:val="00ED2084"/>
    <w:rsid w:val="00ED5EB3"/>
    <w:rsid w:val="00ED6CB1"/>
    <w:rsid w:val="00ED7E8A"/>
    <w:rsid w:val="00EE22AD"/>
    <w:rsid w:val="00EE2B58"/>
    <w:rsid w:val="00EF2734"/>
    <w:rsid w:val="00F03139"/>
    <w:rsid w:val="00F14204"/>
    <w:rsid w:val="00F23D75"/>
    <w:rsid w:val="00F265BB"/>
    <w:rsid w:val="00F26E60"/>
    <w:rsid w:val="00F30EA2"/>
    <w:rsid w:val="00F333F0"/>
    <w:rsid w:val="00F50153"/>
    <w:rsid w:val="00F50205"/>
    <w:rsid w:val="00F5414F"/>
    <w:rsid w:val="00F56C09"/>
    <w:rsid w:val="00F60127"/>
    <w:rsid w:val="00F65C8F"/>
    <w:rsid w:val="00F70BDA"/>
    <w:rsid w:val="00F74859"/>
    <w:rsid w:val="00FA1267"/>
    <w:rsid w:val="00FA2E1A"/>
    <w:rsid w:val="00FA71F0"/>
    <w:rsid w:val="00FB4BF0"/>
    <w:rsid w:val="00FB5A90"/>
    <w:rsid w:val="00FC5185"/>
    <w:rsid w:val="00FC5E31"/>
    <w:rsid w:val="00FD2B46"/>
    <w:rsid w:val="00FD49B0"/>
    <w:rsid w:val="00FD753F"/>
    <w:rsid w:val="00FE0D82"/>
    <w:rsid w:val="00FE6075"/>
    <w:rsid w:val="00FE70B6"/>
    <w:rsid w:val="00FE7684"/>
    <w:rsid w:val="00FF5F21"/>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98"/>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591742717">
                                                                          <w:marLeft w:val="0"/>
                                                                          <w:marRight w:val="0"/>
                                                                          <w:marTop w:val="0"/>
                                                                          <w:marBottom w:val="0"/>
                                                                          <w:divBdr>
                                                                            <w:top w:val="none" w:sz="0" w:space="0" w:color="auto"/>
                                                                            <w:left w:val="none" w:sz="0" w:space="0" w:color="auto"/>
                                                                            <w:bottom w:val="none" w:sz="0" w:space="0" w:color="auto"/>
                                                                            <w:right w:val="none" w:sz="0" w:space="0" w:color="auto"/>
                                                                          </w:divBdr>
                                                                        </w:div>
                                                                        <w:div w:id="138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657264992">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45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255988593">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94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aw.vba.va.gov/VBADOD/docs/predischarge/RequestingBDDandIDESExamsDuringtheCOVID19Pandemic.pdf" TargetMode="External"/><Relationship Id="rId18" Type="http://schemas.openxmlformats.org/officeDocument/2006/relationships/image" Target="cid:image001.png@01D60CCA.5A926900" TargetMode="External"/><Relationship Id="rId26" Type="http://schemas.openxmlformats.org/officeDocument/2006/relationships/hyperlink" Target="https://vbaw.vba.va.gov/VBMS/docs/VBMS_CoreUserGuide_Release17-0.pdf" TargetMode="External"/><Relationship Id="rId39" Type="http://schemas.openxmlformats.org/officeDocument/2006/relationships/hyperlink" Target="mailto:ContractExam.VBAVACO@va.gov" TargetMode="External"/><Relationship Id="rId3" Type="http://schemas.openxmlformats.org/officeDocument/2006/relationships/customXml" Target="../customXml/item3.xml"/><Relationship Id="rId21" Type="http://schemas.openxmlformats.org/officeDocument/2006/relationships/hyperlink" Target="https://vbaw.vba.va.gov/VBADOD/docs/IDES/COVID19ImpactonIDESProcessing.pdf" TargetMode="External"/><Relationship Id="rId34" Type="http://schemas.openxmlformats.org/officeDocument/2006/relationships/hyperlink" Target="mailto:VAVBAWAS/CO/IDES%20%3cIDES.VBACO@VA.GOV%3e"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image" Target="media/image1.png"/><Relationship Id="rId25" Type="http://schemas.openxmlformats.org/officeDocument/2006/relationships/hyperlink" Target="https://www.ebenefits.va.gov/ebenefits/homepage" TargetMode="External"/><Relationship Id="rId33" Type="http://schemas.openxmlformats.org/officeDocument/2006/relationships/image" Target="media/image3.png"/><Relationship Id="rId38" Type="http://schemas.openxmlformats.org/officeDocument/2006/relationships/hyperlink" Target="https://vaww.infoshare.va.gov/sites/212Procedures/212D/VDPO%20Monthly%20IDES%20Call/2020/Mar%202020" TargetMode="External"/><Relationship Id="rId2" Type="http://schemas.openxmlformats.org/officeDocument/2006/relationships/customXml" Target="../customXml/item2.xml"/><Relationship Id="rId16" Type="http://schemas.openxmlformats.org/officeDocument/2006/relationships/hyperlink" Target="mailto:VAVBAWAS/CO/IDES%20%3cIDES.VBACO@VA.GOV%3e" TargetMode="External"/><Relationship Id="rId20" Type="http://schemas.openxmlformats.org/officeDocument/2006/relationships/image" Target="cid:image004.png@01D60CCA.BB2ACDC0" TargetMode="External"/><Relationship Id="rId29" Type="http://schemas.openxmlformats.org/officeDocument/2006/relationships/hyperlink" Target="https://youtu.be/DTSujFDP-58" TargetMode="External"/><Relationship Id="rId41" Type="http://schemas.openxmlformats.org/officeDocument/2006/relationships/hyperlink" Target="mailto:VAVBAWAS/CO/PREDISCHARGE%20%3cPredischarge.VBACO@va.gov%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32" Type="http://schemas.openxmlformats.org/officeDocument/2006/relationships/hyperlink" Target="https://vbaw.vba.va.gov/VBADOD/docs/predischarge/BDDFlier2.pdf" TargetMode="External"/><Relationship Id="rId37" Type="http://schemas.openxmlformats.org/officeDocument/2006/relationships/hyperlink" Target="mailto:VAVBAWAS/CO/PREDISCHARGE%20%3cPredischarge.VBACO@va.gov%3e" TargetMode="External"/><Relationship Id="rId40" Type="http://schemas.openxmlformats.org/officeDocument/2006/relationships/hyperlink" Target="mailto:VAVBAWAS/CO/IDES%20%3cIDES.VBACO@VA.GOV%3e" TargetMode="External"/><Relationship Id="rId5" Type="http://schemas.openxmlformats.org/officeDocument/2006/relationships/numbering" Target="numbering.xml"/><Relationship Id="rId15" Type="http://schemas.openxmlformats.org/officeDocument/2006/relationships/hyperlink" Target="mailto:VAVBAWAS/CO/PREDISCHARGE%20%3cPredischarge.VBACO@va.gov%3e" TargetMode="External"/><Relationship Id="rId23"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8" Type="http://schemas.openxmlformats.org/officeDocument/2006/relationships/hyperlink" Target="https://vbaw.vba.va.gov/vbadod/predischarge.asp" TargetMode="External"/><Relationship Id="rId36" Type="http://schemas.openxmlformats.org/officeDocument/2006/relationships/hyperlink" Target="mailto:VAVBAWAS/CO/IDES%20%3cIDES.VBACO@VA.GOV%3e"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vbaw.vba.va.gov/VBADOD/docs/predischarge/BDDFlier1.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Contract%20Examination%20Inquiries%20%3cContractExam.VBAVACO@va.gov%3e" TargetMode="External"/><Relationship Id="rId22" Type="http://schemas.openxmlformats.org/officeDocument/2006/relationships/hyperlink" Target="https://vaww.vrm.km.va.gov/system/templates/selfservice/va_kanew/help/agent/locale/en-US/portal/554400000001034/content/554400000033257/M21-1-Part-III-Subpart-i-Chapter-2-Section-D-Overview-of-the-Integrated-Disability-Evaluation-System-IDES-and-Initial-Claims-Development?query=ides" TargetMode="External"/><Relationship Id="rId27" Type="http://schemas.openxmlformats.org/officeDocument/2006/relationships/hyperlink" Target="https://vta.va.gov/VTA/secured/DES/View/HomepagePKCFileManager.aspx?FolderId=207" TargetMode="External"/><Relationship Id="rId30" Type="http://schemas.openxmlformats.org/officeDocument/2006/relationships/hyperlink" Target="https://youtu.be/DTSujFDP-58" TargetMode="External"/><Relationship Id="rId35" Type="http://schemas.openxmlformats.org/officeDocument/2006/relationships/hyperlink" Target="mailto:VAVBAWAS/CO/PREDISCHARGE%20%3cPredischarge.VBACO@va.gov%3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66744-A843-4FF1-8E65-97EF6EA3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10</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April 2020 BDD and IDES Call Read Ahead Notes</vt:lpstr>
    </vt:vector>
  </TitlesOfParts>
  <Company>Veterans Benefits Administration</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2020 BDD and IDES Call Read Ahead Notes</dc:title>
  <dc:subject/>
  <dc:creator>Department of Veterans Affairs, Veterans Benefits Administration, Vocational Rehabilitation and Employment Service, STAFF</dc:creator>
  <cp:keywords/>
  <dc:description/>
  <cp:lastModifiedBy>Kathy Poole</cp:lastModifiedBy>
  <cp:revision>3</cp:revision>
  <cp:lastPrinted>2019-10-08T17:52:00Z</cp:lastPrinted>
  <dcterms:created xsi:type="dcterms:W3CDTF">2020-04-20T13:27:00Z</dcterms:created>
  <dcterms:modified xsi:type="dcterms:W3CDTF">2020-04-20T13:31:00Z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