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708E" w14:textId="77777777" w:rsidR="00A0458C" w:rsidRDefault="002A757B">
      <w:pPr>
        <w:pStyle w:val="ListParagraph"/>
        <w:keepNext/>
        <w:keepLines/>
        <w:tabs>
          <w:tab w:val="left" w:pos="5940"/>
        </w:tabs>
        <w:ind w:left="115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1"/>
      <w:bookmarkEnd w:id="12"/>
      <w:bookmarkEnd w:id="13"/>
      <w:bookmarkEnd w:id="14"/>
      <w:bookmarkEnd w:id="15"/>
      <w:bookmarkEnd w:id="16"/>
      <w:bookmarkEnd w:id="17"/>
      <w:bookmarkEnd w:id="18"/>
      <w:bookmarkEnd w:id="19"/>
    </w:p>
    <w:p w14:paraId="78BD7090" w14:textId="77777777" w:rsidR="00A0458C" w:rsidRDefault="002A757B">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78BD7091" w14:textId="77777777" w:rsidR="00A0458C" w:rsidRDefault="002A757B">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78BD7092" w14:textId="4F350FC9" w:rsidR="00A0458C" w:rsidRDefault="00060BB4">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March 10</w:t>
      </w:r>
      <w:r w:rsidR="00582CDF">
        <w:rPr>
          <w:rFonts w:ascii="Arial" w:eastAsia="MS ????" w:hAnsi="Arial" w:cs="Arial"/>
          <w:color w:val="365F91" w:themeColor="accent1" w:themeShade="BF"/>
          <w:sz w:val="28"/>
        </w:rPr>
        <w:t>, 2020</w:t>
      </w:r>
      <w:r w:rsidR="002A757B">
        <w:rPr>
          <w:rFonts w:ascii="Arial" w:eastAsia="MS ????" w:hAnsi="Arial" w:cs="Arial"/>
          <w:color w:val="365F91" w:themeColor="accent1" w:themeShade="BF"/>
          <w:sz w:val="28"/>
        </w:rPr>
        <w:t>—2 PM ET</w:t>
      </w:r>
      <w:bookmarkEnd w:id="38"/>
      <w:bookmarkEnd w:id="39"/>
      <w:bookmarkEnd w:id="40"/>
      <w:bookmarkEnd w:id="41"/>
      <w:bookmarkEnd w:id="42"/>
      <w:bookmarkEnd w:id="43"/>
      <w:bookmarkEnd w:id="44"/>
      <w:bookmarkEnd w:id="45"/>
      <w:bookmarkEnd w:id="46"/>
    </w:p>
    <w:p w14:paraId="78BD7093" w14:textId="77777777" w:rsidR="00A0458C" w:rsidRDefault="00A0458C">
      <w:pPr>
        <w:keepNext/>
        <w:jc w:val="center"/>
        <w:outlineLvl w:val="3"/>
        <w:rPr>
          <w:rFonts w:ascii="Arial" w:hAnsi="Arial" w:cs="Arial"/>
          <w:color w:val="365F91" w:themeColor="accent1" w:themeShade="BF"/>
        </w:rPr>
      </w:pPr>
    </w:p>
    <w:p w14:paraId="78BD7094" w14:textId="77777777" w:rsidR="00A0458C" w:rsidRDefault="002A757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7"/>
      <w:bookmarkEnd w:id="48"/>
      <w:bookmarkEnd w:id="49"/>
      <w:bookmarkEnd w:id="50"/>
      <w:bookmarkEnd w:id="51"/>
      <w:bookmarkEnd w:id="52"/>
      <w:bookmarkEnd w:id="53"/>
      <w:bookmarkEnd w:id="54"/>
      <w:bookmarkEnd w:id="55"/>
      <w:r>
        <w:rPr>
          <w:rFonts w:ascii="Arial" w:hAnsi="Arial" w:cs="Arial"/>
          <w:color w:val="000000" w:themeColor="text1"/>
        </w:rPr>
        <w:t xml:space="preserve"> </w:t>
      </w:r>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4413A2DE"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w:t>
      </w:r>
      <w:r w:rsidR="00746697">
        <w:rPr>
          <w:rFonts w:ascii="Arial" w:hAnsi="Arial" w:cs="Arial"/>
          <w:color w:val="000000" w:themeColor="text1"/>
        </w:rPr>
        <w:t xml:space="preserve"> </w:t>
      </w: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 xml:space="preserve"> The Call Notes for the </w:t>
      </w:r>
      <w:r w:rsidR="00617579">
        <w:rPr>
          <w:rFonts w:ascii="Arial" w:hAnsi="Arial" w:cs="Arial"/>
          <w:color w:val="000000" w:themeColor="text1"/>
        </w:rPr>
        <w:t>February</w:t>
      </w:r>
      <w:r w:rsidR="00EF2734">
        <w:rPr>
          <w:rFonts w:ascii="Arial" w:hAnsi="Arial" w:cs="Arial"/>
          <w:color w:val="000000" w:themeColor="text1"/>
        </w:rPr>
        <w:t xml:space="preserve"> Call </w:t>
      </w:r>
      <w:r w:rsidR="00617579">
        <w:rPr>
          <w:rFonts w:ascii="Arial" w:hAnsi="Arial" w:cs="Arial"/>
          <w:color w:val="000000" w:themeColor="text1"/>
        </w:rPr>
        <w:t xml:space="preserve">are in this Read Ahead.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9A4065">
        <w:rPr>
          <w:rFonts w:ascii="Arial" w:hAnsi="Arial" w:cs="Arial"/>
          <w:color w:val="000000" w:themeColor="text1"/>
        </w:rPr>
        <w:t xml:space="preserve">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Default="00E549B3" w:rsidP="00E549B3">
      <w:pPr>
        <w:autoSpaceDE w:val="0"/>
        <w:autoSpaceDN w:val="0"/>
        <w:rPr>
          <w:rFonts w:ascii="Arial" w:hAnsi="Arial" w:cs="Arial"/>
          <w:color w:val="000000" w:themeColor="text1"/>
        </w:rPr>
      </w:pPr>
      <w:r w:rsidRPr="0035383B">
        <w:rPr>
          <w:rFonts w:ascii="Arial" w:hAnsi="Arial" w:cs="Arial"/>
          <w:color w:val="000000" w:themeColor="text1"/>
        </w:rPr>
        <w:t xml:space="preserve">Call in </w:t>
      </w:r>
      <w:r>
        <w:rPr>
          <w:rFonts w:ascii="Arial" w:hAnsi="Arial" w:cs="Arial"/>
          <w:color w:val="000000" w:themeColor="text1"/>
        </w:rPr>
        <w:t>info</w:t>
      </w:r>
      <w:r w:rsidRPr="0035383B">
        <w:rPr>
          <w:rFonts w:ascii="Arial" w:hAnsi="Arial" w:cs="Arial"/>
          <w:color w:val="000000" w:themeColor="text1"/>
        </w:rPr>
        <w:t>:</w:t>
      </w:r>
    </w:p>
    <w:p w14:paraId="7B1E523B" w14:textId="7E029E47" w:rsidR="00E549B3" w:rsidRPr="0035383B" w:rsidRDefault="00545B49"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146E4B04"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2ACACC68"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presenter 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If you are dialed in through a phone (select “Call me at” or “Don’t Join Audio” when signing into Skype), 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5E85029F" w14:textId="77777777" w:rsidR="009A4065" w:rsidRDefault="009A4065">
      <w:pPr>
        <w:pStyle w:val="Heading10"/>
        <w:rPr>
          <w:sz w:val="32"/>
        </w:rPr>
      </w:pPr>
      <w:bookmarkStart w:id="56" w:name="_Toc534285416"/>
      <w:bookmarkStart w:id="57" w:name="_Toc529446355"/>
    </w:p>
    <w:p w14:paraId="5423A18B" w14:textId="77777777" w:rsidR="009A4065" w:rsidRDefault="009A4065">
      <w:pPr>
        <w:pStyle w:val="Heading10"/>
        <w:rPr>
          <w:sz w:val="32"/>
        </w:rPr>
      </w:pPr>
    </w:p>
    <w:p w14:paraId="72599B6A" w14:textId="77777777" w:rsidR="009A4065" w:rsidRDefault="009A4065">
      <w:pPr>
        <w:pStyle w:val="Heading10"/>
        <w:rPr>
          <w:sz w:val="32"/>
        </w:rPr>
      </w:pPr>
    </w:p>
    <w:p w14:paraId="4E7E1898" w14:textId="77777777" w:rsidR="009A4065" w:rsidRDefault="009A4065">
      <w:pPr>
        <w:pStyle w:val="Heading10"/>
        <w:rPr>
          <w:sz w:val="32"/>
        </w:rPr>
      </w:pPr>
    </w:p>
    <w:bookmarkEnd w:id="56"/>
    <w:bookmarkEnd w:id="57"/>
    <w:p w14:paraId="144411A1" w14:textId="6B12D095" w:rsidR="00B74A07" w:rsidRPr="00262DF3" w:rsidRDefault="00B74A07" w:rsidP="00262DF3">
      <w:pPr>
        <w:pStyle w:val="Heading10"/>
        <w:rPr>
          <w:sz w:val="32"/>
        </w:rPr>
      </w:pPr>
      <w:r>
        <w:rPr>
          <w:sz w:val="32"/>
        </w:rPr>
        <w:lastRenderedPageBreak/>
        <w:t>General Topics for Discussion</w:t>
      </w:r>
    </w:p>
    <w:p w14:paraId="34D129D5" w14:textId="77777777" w:rsidR="004906E7" w:rsidRDefault="004906E7" w:rsidP="00623CB5">
      <w:pPr>
        <w:pStyle w:val="Heading10"/>
        <w:rPr>
          <w:bCs/>
          <w:color w:val="201F1E"/>
          <w:sz w:val="28"/>
          <w:szCs w:val="28"/>
        </w:rPr>
      </w:pPr>
    </w:p>
    <w:p w14:paraId="3C60193C" w14:textId="006E0142" w:rsidR="00473041" w:rsidRPr="00623CB5" w:rsidRDefault="00473041" w:rsidP="00623CB5">
      <w:pPr>
        <w:pStyle w:val="Heading10"/>
        <w:rPr>
          <w:bCs/>
          <w:color w:val="201F1E"/>
          <w:sz w:val="28"/>
          <w:szCs w:val="28"/>
        </w:rPr>
      </w:pPr>
      <w:r w:rsidRPr="00623CB5">
        <w:rPr>
          <w:bCs/>
          <w:color w:val="201F1E"/>
          <w:sz w:val="28"/>
          <w:szCs w:val="28"/>
        </w:rPr>
        <w:t xml:space="preserve">Gulf War </w:t>
      </w:r>
      <w:r w:rsidR="00476DD2">
        <w:rPr>
          <w:bCs/>
          <w:color w:val="201F1E"/>
          <w:sz w:val="28"/>
          <w:szCs w:val="28"/>
        </w:rPr>
        <w:t xml:space="preserve">(GW) </w:t>
      </w:r>
      <w:r w:rsidRPr="00623CB5">
        <w:rPr>
          <w:bCs/>
          <w:color w:val="201F1E"/>
          <w:sz w:val="28"/>
          <w:szCs w:val="28"/>
        </w:rPr>
        <w:t>Examinations</w:t>
      </w:r>
      <w:r w:rsidR="00262DF3" w:rsidRPr="00623CB5">
        <w:rPr>
          <w:bCs/>
          <w:color w:val="201F1E"/>
          <w:sz w:val="28"/>
          <w:szCs w:val="28"/>
        </w:rPr>
        <w:t xml:space="preserve"> in Pre-Discharge Cases</w:t>
      </w:r>
    </w:p>
    <w:p w14:paraId="2BD8DE09" w14:textId="79E7AD5B" w:rsidR="00262DF3" w:rsidRPr="00623CB5" w:rsidRDefault="00262DF3" w:rsidP="00473041">
      <w:pPr>
        <w:pStyle w:val="Heading10"/>
        <w:rPr>
          <w:b w:val="0"/>
          <w:color w:val="201F1E"/>
          <w:sz w:val="24"/>
          <w:u w:val="none"/>
        </w:rPr>
      </w:pPr>
      <w:r w:rsidRPr="00623CB5">
        <w:rPr>
          <w:b w:val="0"/>
          <w:color w:val="201F1E"/>
          <w:sz w:val="24"/>
          <w:u w:val="none"/>
        </w:rPr>
        <w:t>MSCs are reminded of the procedures for handling IDES/BDD claims related to G</w:t>
      </w:r>
      <w:r w:rsidR="00476DD2">
        <w:rPr>
          <w:b w:val="0"/>
          <w:color w:val="201F1E"/>
          <w:sz w:val="24"/>
          <w:u w:val="none"/>
        </w:rPr>
        <w:t>W</w:t>
      </w:r>
      <w:r w:rsidRPr="00623CB5">
        <w:rPr>
          <w:b w:val="0"/>
          <w:color w:val="201F1E"/>
          <w:sz w:val="24"/>
          <w:u w:val="none"/>
        </w:rPr>
        <w:t xml:space="preserve"> Environmental Hazards</w:t>
      </w:r>
      <w:r w:rsidR="009459EC">
        <w:rPr>
          <w:b w:val="0"/>
          <w:color w:val="201F1E"/>
          <w:sz w:val="24"/>
          <w:u w:val="none"/>
        </w:rPr>
        <w:t xml:space="preserve">.  </w:t>
      </w:r>
      <w:r w:rsidRPr="00623CB5">
        <w:rPr>
          <w:b w:val="0"/>
          <w:color w:val="201F1E"/>
          <w:sz w:val="24"/>
          <w:u w:val="none"/>
        </w:rPr>
        <w:t xml:space="preserve">These procedures are outlined in </w:t>
      </w:r>
      <w:hyperlink r:id="rId13" w:history="1">
        <w:r w:rsidR="00623CB5" w:rsidRPr="00FA1267">
          <w:rPr>
            <w:rStyle w:val="Hyperlink"/>
            <w:b w:val="0"/>
            <w:sz w:val="24"/>
          </w:rPr>
          <w:t>M21-1 III.i.2.D.6.</w:t>
        </w:r>
      </w:hyperlink>
      <w:r w:rsidR="00623CB5" w:rsidRPr="00623CB5">
        <w:rPr>
          <w:b w:val="0"/>
          <w:color w:val="201F1E"/>
          <w:sz w:val="24"/>
          <w:u w:val="none"/>
        </w:rPr>
        <w:t>c</w:t>
      </w:r>
      <w:bookmarkStart w:id="58" w:name="6c"/>
      <w:r w:rsidR="00623CB5" w:rsidRPr="00623CB5">
        <w:rPr>
          <w:b w:val="0"/>
          <w:color w:val="201F1E"/>
          <w:sz w:val="24"/>
          <w:u w:val="none"/>
        </w:rPr>
        <w:t>.</w:t>
      </w:r>
      <w:bookmarkEnd w:id="58"/>
      <w:r w:rsidR="00623CB5" w:rsidRPr="00623CB5">
        <w:rPr>
          <w:b w:val="0"/>
          <w:color w:val="201F1E"/>
          <w:sz w:val="24"/>
          <w:u w:val="none"/>
        </w:rPr>
        <w:t xml:space="preserve"> and </w:t>
      </w:r>
      <w:hyperlink r:id="rId14" w:anchor="2" w:history="1">
        <w:r w:rsidR="00623CB5" w:rsidRPr="00FA1267">
          <w:rPr>
            <w:rStyle w:val="Hyperlink"/>
            <w:b w:val="0"/>
            <w:sz w:val="24"/>
          </w:rPr>
          <w:t>M21-1 III.i.2.B.2.b</w:t>
        </w:r>
      </w:hyperlink>
      <w:r w:rsidR="00623CB5">
        <w:rPr>
          <w:b w:val="0"/>
          <w:color w:val="201F1E"/>
          <w:sz w:val="24"/>
          <w:u w:val="none"/>
        </w:rPr>
        <w:t xml:space="preserve"> and are summarized below. </w:t>
      </w:r>
    </w:p>
    <w:p w14:paraId="3EA2C809" w14:textId="05E0DEB5" w:rsidR="00262DF3" w:rsidRPr="00623CB5" w:rsidRDefault="00262DF3" w:rsidP="00473041">
      <w:pPr>
        <w:pStyle w:val="Heading10"/>
        <w:rPr>
          <w:b w:val="0"/>
          <w:color w:val="201F1E"/>
          <w:sz w:val="24"/>
          <w:u w:val="none"/>
        </w:rPr>
      </w:pPr>
    </w:p>
    <w:p w14:paraId="3844A2FB" w14:textId="5524E479" w:rsidR="00262DF3" w:rsidRPr="00623CB5" w:rsidRDefault="00262DF3" w:rsidP="00301D3A">
      <w:pPr>
        <w:rPr>
          <w:rFonts w:ascii="Arial" w:hAnsi="Arial" w:cs="Arial"/>
          <w:color w:val="auto"/>
        </w:rPr>
      </w:pPr>
      <w:r w:rsidRPr="00623CB5">
        <w:rPr>
          <w:rFonts w:ascii="Arial" w:hAnsi="Arial" w:cs="Arial"/>
        </w:rPr>
        <w:t xml:space="preserve">When IDES/BDD exams involve claims </w:t>
      </w:r>
      <w:r w:rsidR="00301D3A" w:rsidRPr="00623CB5">
        <w:rPr>
          <w:rFonts w:ascii="Arial" w:hAnsi="Arial" w:cs="Arial"/>
        </w:rPr>
        <w:t xml:space="preserve">specifically </w:t>
      </w:r>
      <w:r w:rsidRPr="00623CB5">
        <w:rPr>
          <w:rFonts w:ascii="Arial" w:hAnsi="Arial" w:cs="Arial"/>
        </w:rPr>
        <w:t xml:space="preserve">based on </w:t>
      </w:r>
      <w:bookmarkStart w:id="59" w:name="_Hlk34378193"/>
      <w:r w:rsidRPr="00623CB5">
        <w:rPr>
          <w:rFonts w:ascii="Arial" w:hAnsi="Arial" w:cs="Arial"/>
        </w:rPr>
        <w:fldChar w:fldCharType="begin"/>
      </w:r>
      <w:r w:rsidRPr="00623CB5">
        <w:rPr>
          <w:rFonts w:ascii="Arial" w:hAnsi="Arial" w:cs="Arial"/>
        </w:rPr>
        <w:instrText xml:space="preserve"> HYPERLINK "https://www.ecfr.gov/cgi-bin/retrieveECFR?gp=1&amp;SID=f229d024585f9c6198819439ad4a0419&amp;ty=HTML&amp;h=L&amp;r=SECTION&amp;n=se38.1.3_1317" </w:instrText>
      </w:r>
      <w:r w:rsidRPr="00623CB5">
        <w:rPr>
          <w:rFonts w:ascii="Arial" w:hAnsi="Arial" w:cs="Arial"/>
        </w:rPr>
        <w:fldChar w:fldCharType="separate"/>
      </w:r>
      <w:r w:rsidRPr="00623CB5">
        <w:rPr>
          <w:rStyle w:val="Hyperlink"/>
          <w:rFonts w:ascii="Arial" w:hAnsi="Arial" w:cs="Arial"/>
          <w:b/>
          <w:bCs/>
        </w:rPr>
        <w:t>38 CFR 3.317</w:t>
      </w:r>
      <w:r w:rsidRPr="00623CB5">
        <w:rPr>
          <w:rFonts w:ascii="Arial" w:hAnsi="Arial" w:cs="Arial"/>
        </w:rPr>
        <w:fldChar w:fldCharType="end"/>
      </w:r>
      <w:r w:rsidRPr="00623CB5">
        <w:rPr>
          <w:rFonts w:ascii="Arial" w:hAnsi="Arial" w:cs="Arial"/>
        </w:rPr>
        <w:t xml:space="preserve">, </w:t>
      </w:r>
      <w:bookmarkEnd w:id="59"/>
      <w:r w:rsidRPr="00623CB5">
        <w:rPr>
          <w:rFonts w:ascii="Arial" w:hAnsi="Arial" w:cs="Arial"/>
        </w:rPr>
        <w:t xml:space="preserve">the MSC must: request the SHA DBQ, and include the </w:t>
      </w:r>
      <w:r w:rsidRPr="00623CB5">
        <w:rPr>
          <w:rFonts w:ascii="Arial" w:hAnsi="Arial" w:cs="Arial"/>
          <w:i/>
          <w:iCs/>
        </w:rPr>
        <w:t>GW Notice to Examiners</w:t>
      </w:r>
      <w:r w:rsidRPr="00623CB5">
        <w:rPr>
          <w:rFonts w:ascii="Arial" w:hAnsi="Arial" w:cs="Arial"/>
        </w:rPr>
        <w:t xml:space="preserve"> within the request</w:t>
      </w:r>
      <w:r w:rsidR="00623CB5">
        <w:rPr>
          <w:rFonts w:ascii="Arial" w:hAnsi="Arial" w:cs="Arial"/>
        </w:rPr>
        <w:t xml:space="preserve">. </w:t>
      </w:r>
    </w:p>
    <w:p w14:paraId="3C2D5884" w14:textId="77777777" w:rsidR="00262DF3" w:rsidRPr="00623CB5" w:rsidRDefault="00262DF3" w:rsidP="00623CB5">
      <w:pPr>
        <w:pStyle w:val="ListParagraph"/>
        <w:numPr>
          <w:ilvl w:val="0"/>
          <w:numId w:val="28"/>
        </w:numPr>
        <w:rPr>
          <w:rFonts w:ascii="Arial" w:hAnsi="Arial" w:cs="Arial"/>
        </w:rPr>
      </w:pPr>
      <w:r w:rsidRPr="00623CB5">
        <w:rPr>
          <w:rFonts w:ascii="Arial" w:hAnsi="Arial" w:cs="Arial"/>
        </w:rPr>
        <w:t xml:space="preserve">CAPRI users must copy and paste the </w:t>
      </w:r>
      <w:r w:rsidRPr="00623CB5">
        <w:rPr>
          <w:rFonts w:ascii="Arial" w:hAnsi="Arial" w:cs="Arial"/>
          <w:i/>
          <w:iCs/>
        </w:rPr>
        <w:t>GW Notice</w:t>
      </w:r>
      <w:r w:rsidRPr="00623CB5">
        <w:rPr>
          <w:rFonts w:ascii="Arial" w:hAnsi="Arial" w:cs="Arial"/>
        </w:rPr>
        <w:t xml:space="preserve"> into the remarks of the request;  </w:t>
      </w:r>
    </w:p>
    <w:p w14:paraId="32A997EC" w14:textId="3D7A5237" w:rsidR="00262DF3" w:rsidRPr="00623CB5" w:rsidRDefault="00262DF3" w:rsidP="00623CB5">
      <w:pPr>
        <w:pStyle w:val="ListParagraph"/>
        <w:numPr>
          <w:ilvl w:val="0"/>
          <w:numId w:val="28"/>
        </w:numPr>
        <w:rPr>
          <w:rFonts w:ascii="Arial" w:hAnsi="Arial" w:cs="Arial"/>
        </w:rPr>
      </w:pPr>
      <w:r w:rsidRPr="00623CB5">
        <w:rPr>
          <w:rFonts w:ascii="Arial" w:hAnsi="Arial" w:cs="Arial"/>
        </w:rPr>
        <w:t xml:space="preserve">EMS users must use </w:t>
      </w:r>
      <w:r w:rsidRPr="00623CB5">
        <w:rPr>
          <w:rFonts w:ascii="Arial" w:hAnsi="Arial" w:cs="Arial"/>
          <w:i/>
          <w:iCs/>
        </w:rPr>
        <w:t xml:space="preserve">Specialty Language Needed? </w:t>
      </w:r>
      <w:r w:rsidRPr="00623CB5">
        <w:rPr>
          <w:rFonts w:ascii="Arial" w:hAnsi="Arial" w:cs="Arial"/>
        </w:rPr>
        <w:t xml:space="preserve">Field under the applicable contention and select, “general medical gulf war opinion;” this selection will populate the required language into the request. </w:t>
      </w:r>
    </w:p>
    <w:p w14:paraId="18B0E738" w14:textId="77777777" w:rsidR="00623CB5" w:rsidRPr="00623CB5" w:rsidRDefault="00623CB5" w:rsidP="00623CB5">
      <w:pPr>
        <w:pStyle w:val="ListParagraph"/>
        <w:ind w:left="1080"/>
        <w:contextualSpacing w:val="0"/>
        <w:rPr>
          <w:rFonts w:ascii="Arial" w:hAnsi="Arial" w:cs="Arial"/>
        </w:rPr>
      </w:pPr>
    </w:p>
    <w:p w14:paraId="1AB54491" w14:textId="37C58C37" w:rsidR="00301D3A" w:rsidRPr="00623CB5" w:rsidRDefault="00301D3A" w:rsidP="00301D3A">
      <w:pPr>
        <w:rPr>
          <w:rFonts w:ascii="Arial" w:hAnsi="Arial" w:cs="Arial"/>
          <w:b/>
          <w:bCs/>
        </w:rPr>
      </w:pPr>
      <w:r w:rsidRPr="00623CB5">
        <w:rPr>
          <w:rFonts w:ascii="Arial" w:hAnsi="Arial" w:cs="Arial"/>
        </w:rPr>
        <w:t xml:space="preserve">In these </w:t>
      </w:r>
      <w:r w:rsidR="0070285A" w:rsidRPr="00623CB5">
        <w:rPr>
          <w:rFonts w:ascii="Arial" w:hAnsi="Arial" w:cs="Arial"/>
        </w:rPr>
        <w:t>instances,</w:t>
      </w:r>
      <w:r w:rsidRPr="00623CB5">
        <w:rPr>
          <w:rFonts w:ascii="Arial" w:hAnsi="Arial" w:cs="Arial"/>
        </w:rPr>
        <w:t xml:space="preserve"> MSCs must</w:t>
      </w:r>
      <w:r w:rsidRPr="00623CB5">
        <w:rPr>
          <w:rFonts w:ascii="Arial" w:hAnsi="Arial" w:cs="Arial"/>
          <w:b/>
          <w:bCs/>
        </w:rPr>
        <w:t xml:space="preserve"> </w:t>
      </w:r>
      <w:r w:rsidR="00262DF3" w:rsidRPr="00623CB5">
        <w:rPr>
          <w:rFonts w:ascii="Arial" w:hAnsi="Arial" w:cs="Arial"/>
          <w:b/>
          <w:bCs/>
        </w:rPr>
        <w:t>NOT</w:t>
      </w:r>
      <w:r w:rsidRPr="00623CB5">
        <w:rPr>
          <w:rFonts w:ascii="Arial" w:hAnsi="Arial" w:cs="Arial"/>
          <w:b/>
          <w:bCs/>
        </w:rPr>
        <w:t>:</w:t>
      </w:r>
    </w:p>
    <w:p w14:paraId="69B7CCB8" w14:textId="7182D88A" w:rsidR="00301D3A" w:rsidRPr="00623CB5" w:rsidRDefault="00262DF3" w:rsidP="00301D3A">
      <w:pPr>
        <w:pStyle w:val="ListParagraph"/>
        <w:numPr>
          <w:ilvl w:val="0"/>
          <w:numId w:val="27"/>
        </w:numPr>
        <w:rPr>
          <w:rFonts w:ascii="Arial" w:hAnsi="Arial" w:cs="Arial"/>
        </w:rPr>
      </w:pPr>
      <w:r w:rsidRPr="00623CB5">
        <w:rPr>
          <w:rFonts w:ascii="Arial" w:hAnsi="Arial" w:cs="Arial"/>
        </w:rPr>
        <w:t>request a G</w:t>
      </w:r>
      <w:r w:rsidR="00476DD2">
        <w:rPr>
          <w:rFonts w:ascii="Arial" w:hAnsi="Arial" w:cs="Arial"/>
        </w:rPr>
        <w:t>W</w:t>
      </w:r>
      <w:r w:rsidRPr="00623CB5">
        <w:rPr>
          <w:rFonts w:ascii="Arial" w:hAnsi="Arial" w:cs="Arial"/>
        </w:rPr>
        <w:t xml:space="preserve"> General Medical </w:t>
      </w:r>
      <w:r w:rsidR="002417C1" w:rsidRPr="00623CB5">
        <w:rPr>
          <w:rFonts w:ascii="Arial" w:hAnsi="Arial" w:cs="Arial"/>
        </w:rPr>
        <w:t>DBQ (</w:t>
      </w:r>
      <w:r w:rsidRPr="00623CB5">
        <w:rPr>
          <w:rFonts w:ascii="Arial" w:hAnsi="Arial" w:cs="Arial"/>
        </w:rPr>
        <w:t xml:space="preserve">This would be duplicative of the SHA DBQ, which also includes a full general medical exam). </w:t>
      </w:r>
    </w:p>
    <w:p w14:paraId="441DD4FE" w14:textId="2AF73BA4" w:rsidR="00262DF3" w:rsidRPr="00623CB5" w:rsidRDefault="00262DF3" w:rsidP="00301D3A">
      <w:pPr>
        <w:pStyle w:val="ListParagraph"/>
        <w:numPr>
          <w:ilvl w:val="0"/>
          <w:numId w:val="27"/>
        </w:numPr>
        <w:rPr>
          <w:rFonts w:ascii="Arial" w:hAnsi="Arial" w:cs="Arial"/>
        </w:rPr>
      </w:pPr>
      <w:r w:rsidRPr="00623CB5">
        <w:rPr>
          <w:rFonts w:ascii="Arial" w:hAnsi="Arial" w:cs="Arial"/>
        </w:rPr>
        <w:t>request a Medical Opinion DBQ</w:t>
      </w:r>
    </w:p>
    <w:p w14:paraId="12ACF97E" w14:textId="77777777" w:rsidR="00262DF3" w:rsidRPr="00262DF3" w:rsidRDefault="00262DF3" w:rsidP="00473041">
      <w:pPr>
        <w:pStyle w:val="Heading10"/>
        <w:rPr>
          <w:b w:val="0"/>
          <w:color w:val="201F1E"/>
          <w:sz w:val="28"/>
          <w:szCs w:val="28"/>
          <w:u w:val="none"/>
        </w:rPr>
      </w:pPr>
    </w:p>
    <w:p w14:paraId="654D6B90" w14:textId="1634A7E6" w:rsidR="00301D3A" w:rsidRPr="00301D3A" w:rsidRDefault="00301D3A" w:rsidP="00301D3A">
      <w:pPr>
        <w:rPr>
          <w:rFonts w:ascii="Arial" w:hAnsi="Arial" w:cs="Arial"/>
          <w:bCs/>
          <w:color w:val="201F1E"/>
          <w:szCs w:val="28"/>
        </w:rPr>
      </w:pPr>
      <w:r w:rsidRPr="00301D3A">
        <w:rPr>
          <w:rFonts w:ascii="Arial" w:hAnsi="Arial" w:cs="Arial"/>
          <w:b/>
          <w:i/>
          <w:iCs/>
          <w:color w:val="201F1E"/>
          <w:szCs w:val="28"/>
          <w:u w:val="single"/>
        </w:rPr>
        <w:t>Important:</w:t>
      </w:r>
      <w:r w:rsidRPr="00301D3A">
        <w:rPr>
          <w:rFonts w:ascii="Arial" w:hAnsi="Arial" w:cs="Arial"/>
          <w:bCs/>
          <w:color w:val="201F1E"/>
          <w:szCs w:val="28"/>
        </w:rPr>
        <w:t xml:space="preserve"> these special GW exam requirements are only </w:t>
      </w:r>
      <w:r w:rsidR="0070285A" w:rsidRPr="00301D3A">
        <w:rPr>
          <w:rFonts w:ascii="Arial" w:hAnsi="Arial" w:cs="Arial"/>
          <w:bCs/>
          <w:color w:val="201F1E"/>
          <w:szCs w:val="28"/>
        </w:rPr>
        <w:t>necessary</w:t>
      </w:r>
      <w:r w:rsidRPr="00301D3A">
        <w:rPr>
          <w:rFonts w:ascii="Arial" w:hAnsi="Arial" w:cs="Arial"/>
          <w:bCs/>
          <w:color w:val="201F1E"/>
          <w:szCs w:val="28"/>
        </w:rPr>
        <w:t xml:space="preserve"> in claims specifically based on </w:t>
      </w:r>
      <w:hyperlink r:id="rId15" w:history="1">
        <w:r w:rsidRPr="00301D3A">
          <w:rPr>
            <w:rStyle w:val="Hyperlink"/>
            <w:rFonts w:ascii="Arial" w:hAnsi="Arial" w:cs="Arial"/>
            <w:bCs/>
            <w:szCs w:val="28"/>
          </w:rPr>
          <w:t>38 CFR 3.317</w:t>
        </w:r>
      </w:hyperlink>
      <w:r w:rsidRPr="00301D3A">
        <w:rPr>
          <w:rFonts w:ascii="Arial" w:hAnsi="Arial" w:cs="Arial"/>
          <w:b/>
          <w:bCs/>
          <w:color w:val="201F1E"/>
          <w:szCs w:val="28"/>
          <w:u w:val="single"/>
        </w:rPr>
        <w:t>.</w:t>
      </w:r>
      <w:r w:rsidRPr="009459EC">
        <w:rPr>
          <w:rFonts w:ascii="Arial" w:hAnsi="Arial" w:cs="Arial"/>
          <w:color w:val="201F1E"/>
          <w:szCs w:val="28"/>
        </w:rPr>
        <w:t xml:space="preserve"> </w:t>
      </w:r>
      <w:r w:rsidR="009459EC" w:rsidRPr="009459EC">
        <w:rPr>
          <w:rFonts w:ascii="Arial" w:hAnsi="Arial" w:cs="Arial"/>
          <w:color w:val="201F1E"/>
          <w:szCs w:val="28"/>
        </w:rPr>
        <w:t xml:space="preserve"> </w:t>
      </w:r>
      <w:r w:rsidRPr="00301D3A">
        <w:rPr>
          <w:rFonts w:ascii="Arial" w:hAnsi="Arial" w:cs="Arial"/>
          <w:bCs/>
          <w:color w:val="201F1E"/>
          <w:szCs w:val="28"/>
        </w:rPr>
        <w:t xml:space="preserve">These procedures are not necessarily required simply because a claimant or an application indicates service in Southwest Asia, or exposure to </w:t>
      </w:r>
      <w:r w:rsidR="0070285A" w:rsidRPr="00301D3A">
        <w:rPr>
          <w:rFonts w:ascii="Arial" w:hAnsi="Arial" w:cs="Arial"/>
          <w:bCs/>
          <w:color w:val="201F1E"/>
          <w:szCs w:val="28"/>
        </w:rPr>
        <w:t>environmental</w:t>
      </w:r>
      <w:r w:rsidRPr="00301D3A">
        <w:rPr>
          <w:rFonts w:ascii="Arial" w:hAnsi="Arial" w:cs="Arial"/>
          <w:bCs/>
          <w:color w:val="201F1E"/>
          <w:szCs w:val="28"/>
        </w:rPr>
        <w:t xml:space="preserve"> hazards.  Further, G</w:t>
      </w:r>
      <w:r w:rsidR="00476DD2">
        <w:rPr>
          <w:rFonts w:ascii="Arial" w:hAnsi="Arial" w:cs="Arial"/>
          <w:bCs/>
          <w:color w:val="201F1E"/>
          <w:szCs w:val="28"/>
        </w:rPr>
        <w:t>W</w:t>
      </w:r>
      <w:r w:rsidRPr="00301D3A">
        <w:rPr>
          <w:rFonts w:ascii="Arial" w:hAnsi="Arial" w:cs="Arial"/>
          <w:bCs/>
          <w:color w:val="201F1E"/>
          <w:szCs w:val="28"/>
        </w:rPr>
        <w:t xml:space="preserve"> examination protocols are typically </w:t>
      </w:r>
      <w:r w:rsidR="0070285A">
        <w:rPr>
          <w:rFonts w:ascii="Arial" w:hAnsi="Arial" w:cs="Arial"/>
          <w:bCs/>
          <w:color w:val="201F1E"/>
          <w:szCs w:val="28"/>
        </w:rPr>
        <w:t>not necessary</w:t>
      </w:r>
      <w:r w:rsidRPr="00301D3A">
        <w:rPr>
          <w:rFonts w:ascii="Arial" w:hAnsi="Arial" w:cs="Arial"/>
          <w:bCs/>
          <w:color w:val="201F1E"/>
          <w:szCs w:val="28"/>
        </w:rPr>
        <w:t xml:space="preserve"> in cases involving diagnosed chronic conditions, that are subject to service connection on a direct basis</w:t>
      </w:r>
      <w:r w:rsidR="009459EC">
        <w:rPr>
          <w:rFonts w:ascii="Arial" w:hAnsi="Arial" w:cs="Arial"/>
          <w:bCs/>
          <w:color w:val="201F1E"/>
          <w:szCs w:val="28"/>
        </w:rPr>
        <w:t xml:space="preserve">.  </w:t>
      </w:r>
      <w:r w:rsidRPr="00301D3A">
        <w:rPr>
          <w:rFonts w:ascii="Arial" w:hAnsi="Arial" w:cs="Arial"/>
          <w:bCs/>
          <w:color w:val="201F1E"/>
          <w:szCs w:val="28"/>
        </w:rPr>
        <w:t xml:space="preserve">If MSCs are unsure of </w:t>
      </w:r>
      <w:r w:rsidR="0070285A" w:rsidRPr="00301D3A">
        <w:rPr>
          <w:rFonts w:ascii="Arial" w:hAnsi="Arial" w:cs="Arial"/>
          <w:bCs/>
          <w:color w:val="201F1E"/>
          <w:szCs w:val="28"/>
        </w:rPr>
        <w:t>whether</w:t>
      </w:r>
      <w:r w:rsidRPr="00301D3A">
        <w:rPr>
          <w:rFonts w:ascii="Arial" w:hAnsi="Arial" w:cs="Arial"/>
          <w:bCs/>
          <w:color w:val="201F1E"/>
          <w:szCs w:val="28"/>
        </w:rPr>
        <w:t xml:space="preserve"> a claim is related to </w:t>
      </w:r>
      <w:hyperlink r:id="rId16" w:history="1">
        <w:r w:rsidR="005757B3" w:rsidRPr="00301D3A">
          <w:rPr>
            <w:rStyle w:val="Hyperlink"/>
            <w:rFonts w:ascii="Arial" w:hAnsi="Arial" w:cs="Arial"/>
            <w:bCs/>
            <w:szCs w:val="28"/>
          </w:rPr>
          <w:t>38 CFR 3.317</w:t>
        </w:r>
      </w:hyperlink>
      <w:r w:rsidRPr="00301D3A">
        <w:rPr>
          <w:rFonts w:ascii="Arial" w:hAnsi="Arial" w:cs="Arial"/>
          <w:bCs/>
          <w:color w:val="201F1E"/>
          <w:szCs w:val="28"/>
        </w:rPr>
        <w:t xml:space="preserve">, and requires GW exam protocols, please contact the IDES Mailbox for guidance. </w:t>
      </w:r>
    </w:p>
    <w:p w14:paraId="79CCA8F9" w14:textId="77777777" w:rsidR="00473041" w:rsidRDefault="00473041" w:rsidP="00473041">
      <w:pPr>
        <w:rPr>
          <w:rFonts w:ascii="Arial" w:hAnsi="Arial" w:cs="Arial"/>
          <w:bCs/>
          <w:color w:val="201F1E"/>
          <w:szCs w:val="28"/>
        </w:rPr>
      </w:pPr>
    </w:p>
    <w:p w14:paraId="6B1DAB3F" w14:textId="690E8387" w:rsidR="00623CB5" w:rsidRPr="00623CB5" w:rsidRDefault="00623CB5" w:rsidP="00623CB5">
      <w:pPr>
        <w:spacing w:line="259" w:lineRule="auto"/>
        <w:rPr>
          <w:rFonts w:ascii="Arial" w:eastAsia="Calibri" w:hAnsi="Arial" w:cs="Arial"/>
          <w:b/>
          <w:color w:val="auto"/>
          <w:sz w:val="28"/>
          <w:szCs w:val="28"/>
          <w:u w:val="single"/>
        </w:rPr>
      </w:pPr>
      <w:r w:rsidRPr="00623CB5">
        <w:rPr>
          <w:rFonts w:ascii="Arial" w:eastAsia="Calibri" w:hAnsi="Arial" w:cs="Arial"/>
          <w:b/>
          <w:color w:val="auto"/>
          <w:sz w:val="28"/>
          <w:szCs w:val="28"/>
          <w:u w:val="single"/>
        </w:rPr>
        <w:t>Use of Telehealth/Tele-mental Health C&amp;P Exams in BDD/IDES</w:t>
      </w:r>
    </w:p>
    <w:p w14:paraId="6C3F7E54" w14:textId="7D732A95" w:rsidR="00623CB5" w:rsidRPr="00623CB5" w:rsidRDefault="00545B49" w:rsidP="008420BD">
      <w:pPr>
        <w:spacing w:after="160"/>
        <w:rPr>
          <w:rFonts w:ascii="Arial" w:eastAsia="Calibri" w:hAnsi="Arial" w:cs="Arial"/>
          <w:color w:val="auto"/>
        </w:rPr>
      </w:pPr>
      <w:hyperlink r:id="rId17" w:anchor="4b" w:history="1">
        <w:r w:rsidR="00623CB5" w:rsidRPr="00623CB5">
          <w:rPr>
            <w:rFonts w:ascii="Arial" w:eastAsia="Calibri" w:hAnsi="Arial" w:cs="Arial"/>
            <w:color w:val="0000FF"/>
            <w:u w:val="single"/>
          </w:rPr>
          <w:t>M21-1 III.iv.3.A.4.b</w:t>
        </w:r>
      </w:hyperlink>
      <w:r w:rsidR="00623CB5" w:rsidRPr="00623CB5">
        <w:rPr>
          <w:rFonts w:ascii="Arial" w:eastAsia="Calibri" w:hAnsi="Arial" w:cs="Arial"/>
          <w:color w:val="auto"/>
        </w:rPr>
        <w:t xml:space="preserve"> stipulates that Acceptable Clinical Evidence (ACE) process is not allowable in IDES/BDD exams.  IDES and BDD exam requests must indicate that ACE exams cannot be used. </w:t>
      </w:r>
    </w:p>
    <w:p w14:paraId="5ADE52D3" w14:textId="401062B0" w:rsidR="00623CB5" w:rsidRDefault="00623CB5" w:rsidP="008420BD">
      <w:pPr>
        <w:spacing w:after="160"/>
        <w:rPr>
          <w:rFonts w:ascii="Arial" w:eastAsia="Calibri" w:hAnsi="Arial" w:cs="Arial"/>
          <w:color w:val="auto"/>
        </w:rPr>
      </w:pPr>
      <w:r w:rsidRPr="00623CB5">
        <w:rPr>
          <w:rFonts w:ascii="Arial" w:eastAsia="Calibri" w:hAnsi="Arial" w:cs="Arial"/>
          <w:color w:val="auto"/>
        </w:rPr>
        <w:t xml:space="preserve">However, an important distinction must be made between the ACE process and </w:t>
      </w:r>
      <w:r w:rsidRPr="00623CB5">
        <w:rPr>
          <w:rFonts w:ascii="Arial" w:eastAsia="Calibri" w:hAnsi="Arial" w:cs="Arial"/>
          <w:i/>
          <w:color w:val="auto"/>
        </w:rPr>
        <w:t xml:space="preserve">telehealth </w:t>
      </w:r>
      <w:r w:rsidRPr="00623CB5">
        <w:rPr>
          <w:rFonts w:ascii="Arial" w:eastAsia="Calibri" w:hAnsi="Arial" w:cs="Arial"/>
          <w:color w:val="auto"/>
        </w:rPr>
        <w:t>and/or</w:t>
      </w:r>
      <w:r w:rsidRPr="00623CB5">
        <w:rPr>
          <w:rFonts w:ascii="Arial" w:eastAsia="Calibri" w:hAnsi="Arial" w:cs="Arial"/>
          <w:i/>
          <w:color w:val="auto"/>
        </w:rPr>
        <w:t xml:space="preserve"> tele-mental health</w:t>
      </w:r>
      <w:r w:rsidRPr="00623CB5">
        <w:rPr>
          <w:rFonts w:ascii="Arial" w:eastAsia="Calibri" w:hAnsi="Arial" w:cs="Arial"/>
          <w:color w:val="auto"/>
        </w:rPr>
        <w:t xml:space="preserve"> C&amp;P exams.  Although the ACE process is prohibited in BDD/IDES, an exam provider may complete one or more of the requested examinations using telehealth technology, provided that the exams </w:t>
      </w:r>
      <w:r w:rsidR="002417C1" w:rsidRPr="00623CB5">
        <w:rPr>
          <w:rFonts w:ascii="Arial" w:eastAsia="Calibri" w:hAnsi="Arial" w:cs="Arial"/>
          <w:color w:val="auto"/>
        </w:rPr>
        <w:t>are</w:t>
      </w:r>
      <w:r w:rsidR="002417C1">
        <w:rPr>
          <w:rFonts w:ascii="Arial" w:eastAsia="Calibri" w:hAnsi="Arial" w:cs="Arial"/>
          <w:color w:val="auto"/>
        </w:rPr>
        <w:t xml:space="preserve"> </w:t>
      </w:r>
      <w:r w:rsidR="002417C1" w:rsidRPr="00623CB5">
        <w:rPr>
          <w:rFonts w:ascii="Arial" w:eastAsia="Calibri" w:hAnsi="Arial" w:cs="Arial"/>
          <w:color w:val="auto"/>
        </w:rPr>
        <w:t>completed</w:t>
      </w:r>
      <w:r w:rsidRPr="00623CB5">
        <w:rPr>
          <w:rFonts w:ascii="Arial" w:eastAsia="Calibri" w:hAnsi="Arial" w:cs="Arial"/>
          <w:color w:val="auto"/>
        </w:rPr>
        <w:t xml:space="preserve"> under the specifications outlined under VHA telehealth protocol.  Exams completed in this manner are effectively considered in-person or face to face exams and as such, are acceptable in BDD and IDES cases.   </w:t>
      </w:r>
    </w:p>
    <w:p w14:paraId="02ADBA25" w14:textId="77777777" w:rsidR="000529D1" w:rsidRDefault="000529D1" w:rsidP="000529D1">
      <w:pPr>
        <w:pStyle w:val="Heading10"/>
        <w:rPr>
          <w:sz w:val="32"/>
        </w:rPr>
      </w:pPr>
      <w:r>
        <w:rPr>
          <w:sz w:val="32"/>
        </w:rPr>
        <w:t xml:space="preserve">IDES Specific Topics </w:t>
      </w:r>
    </w:p>
    <w:p w14:paraId="481120CE" w14:textId="77777777" w:rsidR="000529D1" w:rsidRDefault="000529D1" w:rsidP="00623CB5">
      <w:pPr>
        <w:spacing w:line="259" w:lineRule="auto"/>
        <w:rPr>
          <w:rFonts w:ascii="Arial" w:eastAsia="Calibri" w:hAnsi="Arial" w:cs="Arial"/>
          <w:b/>
          <w:color w:val="auto"/>
          <w:sz w:val="28"/>
          <w:szCs w:val="28"/>
          <w:u w:val="single"/>
        </w:rPr>
      </w:pPr>
    </w:p>
    <w:p w14:paraId="1E1C61AA" w14:textId="7E9C50C7" w:rsidR="00623CB5" w:rsidRPr="00623CB5" w:rsidRDefault="00623CB5" w:rsidP="00623CB5">
      <w:pPr>
        <w:spacing w:line="259" w:lineRule="auto"/>
        <w:rPr>
          <w:rFonts w:ascii="Arial" w:eastAsia="Calibri" w:hAnsi="Arial" w:cs="Arial"/>
          <w:b/>
          <w:color w:val="auto"/>
          <w:sz w:val="28"/>
          <w:szCs w:val="28"/>
          <w:u w:val="single"/>
        </w:rPr>
      </w:pPr>
      <w:r w:rsidRPr="00623CB5">
        <w:rPr>
          <w:rFonts w:ascii="Arial" w:eastAsia="Calibri" w:hAnsi="Arial" w:cs="Arial"/>
          <w:b/>
          <w:color w:val="auto"/>
          <w:sz w:val="28"/>
          <w:szCs w:val="28"/>
          <w:u w:val="single"/>
        </w:rPr>
        <w:t>Proposed Ratings Provided Only by PEBLO</w:t>
      </w:r>
    </w:p>
    <w:p w14:paraId="41DB77A5" w14:textId="58FCDB44" w:rsidR="00623CB5" w:rsidRPr="00623CB5" w:rsidRDefault="00545B49" w:rsidP="00623CB5">
      <w:pPr>
        <w:spacing w:after="160" w:line="259" w:lineRule="auto"/>
        <w:rPr>
          <w:rFonts w:ascii="Arial" w:eastAsia="Calibri" w:hAnsi="Arial" w:cs="Arial"/>
          <w:color w:val="auto"/>
        </w:rPr>
      </w:pPr>
      <w:hyperlink r:id="rId18" w:history="1">
        <w:r w:rsidR="00FA1267" w:rsidRPr="00FA1267">
          <w:rPr>
            <w:rStyle w:val="Hyperlink"/>
            <w:rFonts w:ascii="Arial" w:eastAsia="Calibri" w:hAnsi="Arial" w:cs="Arial"/>
          </w:rPr>
          <w:t xml:space="preserve">M21-1 </w:t>
        </w:r>
        <w:r w:rsidR="00623CB5" w:rsidRPr="00623CB5">
          <w:rPr>
            <w:rStyle w:val="Hyperlink"/>
            <w:rFonts w:ascii="Arial" w:eastAsia="Calibri" w:hAnsi="Arial" w:cs="Arial"/>
          </w:rPr>
          <w:t>III.i.2.E.3.m.</w:t>
        </w:r>
      </w:hyperlink>
      <w:r w:rsidR="00623CB5" w:rsidRPr="00623CB5">
        <w:rPr>
          <w:rFonts w:ascii="Arial" w:eastAsia="Calibri" w:hAnsi="Arial" w:cs="Arial"/>
          <w:color w:val="auto"/>
        </w:rPr>
        <w:t xml:space="preserve"> describes the process for distribution of the Proposed Rating Decision and stipulates that only the PEBLO can provide a </w:t>
      </w:r>
      <w:r w:rsidR="00BA78C2">
        <w:rPr>
          <w:rFonts w:ascii="Arial" w:eastAsia="Calibri" w:hAnsi="Arial" w:cs="Arial"/>
          <w:color w:val="auto"/>
        </w:rPr>
        <w:t>P</w:t>
      </w:r>
      <w:r w:rsidR="00623CB5" w:rsidRPr="00623CB5">
        <w:rPr>
          <w:rFonts w:ascii="Arial" w:eastAsia="Calibri" w:hAnsi="Arial" w:cs="Arial"/>
          <w:color w:val="auto"/>
        </w:rPr>
        <w:t xml:space="preserve">roposed </w:t>
      </w:r>
      <w:r w:rsidR="00BA78C2">
        <w:rPr>
          <w:rFonts w:ascii="Arial" w:eastAsia="Calibri" w:hAnsi="Arial" w:cs="Arial"/>
          <w:color w:val="auto"/>
        </w:rPr>
        <w:t>R</w:t>
      </w:r>
      <w:r w:rsidR="00623CB5" w:rsidRPr="00623CB5">
        <w:rPr>
          <w:rFonts w:ascii="Arial" w:eastAsia="Calibri" w:hAnsi="Arial" w:cs="Arial"/>
          <w:color w:val="auto"/>
        </w:rPr>
        <w:t xml:space="preserve">ating to </w:t>
      </w:r>
      <w:bookmarkStart w:id="60" w:name="_Hlk34385846"/>
      <w:r w:rsidR="00623CB5" w:rsidRPr="00623CB5">
        <w:rPr>
          <w:rFonts w:ascii="Arial" w:eastAsia="Calibri" w:hAnsi="Arial" w:cs="Arial"/>
          <w:color w:val="auto"/>
        </w:rPr>
        <w:t>an IDES participant</w:t>
      </w:r>
      <w:bookmarkEnd w:id="60"/>
      <w:r w:rsidR="00623CB5" w:rsidRPr="00623CB5">
        <w:rPr>
          <w:rFonts w:ascii="Arial" w:eastAsia="Calibri" w:hAnsi="Arial" w:cs="Arial"/>
          <w:color w:val="auto"/>
        </w:rPr>
        <w:t xml:space="preserve">.  MSC’s and DRAS personnel must not release </w:t>
      </w:r>
      <w:r w:rsidR="00BA78C2">
        <w:rPr>
          <w:rFonts w:ascii="Arial" w:eastAsia="Calibri" w:hAnsi="Arial" w:cs="Arial"/>
          <w:color w:val="auto"/>
        </w:rPr>
        <w:t>P</w:t>
      </w:r>
      <w:r w:rsidR="00623CB5" w:rsidRPr="00623CB5">
        <w:rPr>
          <w:rFonts w:ascii="Arial" w:eastAsia="Calibri" w:hAnsi="Arial" w:cs="Arial"/>
          <w:color w:val="auto"/>
        </w:rPr>
        <w:t xml:space="preserve">roposed </w:t>
      </w:r>
      <w:r w:rsidR="00BA78C2">
        <w:rPr>
          <w:rFonts w:ascii="Arial" w:eastAsia="Calibri" w:hAnsi="Arial" w:cs="Arial"/>
          <w:color w:val="auto"/>
        </w:rPr>
        <w:t>R</w:t>
      </w:r>
      <w:r w:rsidR="00623CB5" w:rsidRPr="00623CB5">
        <w:rPr>
          <w:rFonts w:ascii="Arial" w:eastAsia="Calibri" w:hAnsi="Arial" w:cs="Arial"/>
          <w:color w:val="auto"/>
        </w:rPr>
        <w:t xml:space="preserve">atings decisions to </w:t>
      </w:r>
      <w:r w:rsidR="00BA78C2">
        <w:rPr>
          <w:rFonts w:ascii="Arial" w:eastAsia="Calibri" w:hAnsi="Arial" w:cs="Arial"/>
          <w:color w:val="auto"/>
        </w:rPr>
        <w:t xml:space="preserve">IDES </w:t>
      </w:r>
      <w:r w:rsidR="00623CB5" w:rsidRPr="00623CB5">
        <w:rPr>
          <w:rFonts w:ascii="Arial" w:eastAsia="Calibri" w:hAnsi="Arial" w:cs="Arial"/>
          <w:color w:val="auto"/>
        </w:rPr>
        <w:t xml:space="preserve">participant’s directly.   </w:t>
      </w:r>
    </w:p>
    <w:p w14:paraId="1B89DA52" w14:textId="4D2D3275"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lastRenderedPageBreak/>
        <w:t xml:space="preserve">Recent reports have indicated increasing instances in which </w:t>
      </w:r>
      <w:r w:rsidR="009459EC" w:rsidRPr="009459EC">
        <w:rPr>
          <w:rFonts w:ascii="Arial" w:eastAsia="Calibri" w:hAnsi="Arial" w:cs="Arial"/>
          <w:color w:val="auto"/>
        </w:rPr>
        <w:t xml:space="preserve">an IDES participant </w:t>
      </w:r>
      <w:r w:rsidR="009459EC">
        <w:rPr>
          <w:rFonts w:ascii="Arial" w:eastAsia="Calibri" w:hAnsi="Arial" w:cs="Arial"/>
          <w:color w:val="auto"/>
        </w:rPr>
        <w:t xml:space="preserve">has </w:t>
      </w:r>
      <w:r w:rsidRPr="00623CB5">
        <w:rPr>
          <w:rFonts w:ascii="Arial" w:eastAsia="Calibri" w:hAnsi="Arial" w:cs="Arial"/>
          <w:color w:val="auto"/>
        </w:rPr>
        <w:t xml:space="preserve">been provided Proposed Ratings before meeting with their PEBLO to discuss the PEB findings.  This has resulted in complications involving participants seeking reconsiderations of VA evaluations prior to the conclusion of the IPEB. </w:t>
      </w:r>
    </w:p>
    <w:p w14:paraId="12894C6A" w14:textId="132858EE"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t xml:space="preserve">The increase in these situations may be related to recent Parallel Processing (PP) efforts at the DRAS in which DRAS may be taking rating action in advance of the PEB’s request.  Although the </w:t>
      </w:r>
      <w:r w:rsidR="009459EC">
        <w:rPr>
          <w:rFonts w:ascii="Arial" w:eastAsia="Calibri" w:hAnsi="Arial" w:cs="Arial"/>
          <w:color w:val="auto"/>
        </w:rPr>
        <w:t>P</w:t>
      </w:r>
      <w:r w:rsidRPr="00623CB5">
        <w:rPr>
          <w:rFonts w:ascii="Arial" w:eastAsia="Calibri" w:hAnsi="Arial" w:cs="Arial"/>
          <w:color w:val="auto"/>
        </w:rPr>
        <w:t xml:space="preserve">roposed </w:t>
      </w:r>
      <w:r w:rsidR="009459EC">
        <w:rPr>
          <w:rFonts w:ascii="Arial" w:eastAsia="Calibri" w:hAnsi="Arial" w:cs="Arial"/>
          <w:color w:val="auto"/>
        </w:rPr>
        <w:t>R</w:t>
      </w:r>
      <w:r w:rsidRPr="00623CB5">
        <w:rPr>
          <w:rFonts w:ascii="Arial" w:eastAsia="Calibri" w:hAnsi="Arial" w:cs="Arial"/>
          <w:color w:val="auto"/>
        </w:rPr>
        <w:t xml:space="preserve">atings may be complete and available in the eFolder earlier, </w:t>
      </w:r>
      <w:r w:rsidR="009459EC">
        <w:rPr>
          <w:rFonts w:ascii="Arial" w:eastAsia="Calibri" w:hAnsi="Arial" w:cs="Arial"/>
          <w:color w:val="auto"/>
        </w:rPr>
        <w:t>P</w:t>
      </w:r>
      <w:r w:rsidR="00C4632B">
        <w:rPr>
          <w:rFonts w:ascii="Arial" w:eastAsia="Calibri" w:hAnsi="Arial" w:cs="Arial"/>
          <w:color w:val="auto"/>
        </w:rPr>
        <w:t>P</w:t>
      </w:r>
      <w:r w:rsidRPr="00623CB5">
        <w:rPr>
          <w:rFonts w:ascii="Arial" w:eastAsia="Calibri" w:hAnsi="Arial" w:cs="Arial"/>
          <w:color w:val="auto"/>
        </w:rPr>
        <w:t xml:space="preserve"> makes no change to when or how these documents should be provided to the participant. </w:t>
      </w:r>
    </w:p>
    <w:p w14:paraId="38454311" w14:textId="1A96BAAC" w:rsidR="00623CB5" w:rsidRDefault="00623CB5" w:rsidP="008420BD">
      <w:pPr>
        <w:rPr>
          <w:rFonts w:ascii="Arial" w:eastAsia="Calibri" w:hAnsi="Arial" w:cs="Arial"/>
          <w:color w:val="auto"/>
        </w:rPr>
      </w:pPr>
      <w:r w:rsidRPr="00623CB5">
        <w:rPr>
          <w:rFonts w:ascii="Arial" w:eastAsia="Calibri" w:hAnsi="Arial" w:cs="Arial"/>
          <w:color w:val="auto"/>
        </w:rPr>
        <w:t xml:space="preserve">There has been some indication that National Call Center </w:t>
      </w:r>
      <w:r w:rsidR="009459EC">
        <w:rPr>
          <w:rFonts w:ascii="Arial" w:eastAsia="Calibri" w:hAnsi="Arial" w:cs="Arial"/>
          <w:color w:val="auto"/>
        </w:rPr>
        <w:t xml:space="preserve">(NCC) </w:t>
      </w:r>
      <w:r w:rsidRPr="00623CB5">
        <w:rPr>
          <w:rFonts w:ascii="Arial" w:eastAsia="Calibri" w:hAnsi="Arial" w:cs="Arial"/>
          <w:color w:val="auto"/>
        </w:rPr>
        <w:t xml:space="preserve">Representatives, may be providing </w:t>
      </w:r>
      <w:r w:rsidR="009459EC">
        <w:rPr>
          <w:rFonts w:ascii="Arial" w:eastAsia="Calibri" w:hAnsi="Arial" w:cs="Arial"/>
          <w:color w:val="auto"/>
        </w:rPr>
        <w:t>P</w:t>
      </w:r>
      <w:r w:rsidRPr="00623CB5">
        <w:rPr>
          <w:rFonts w:ascii="Arial" w:eastAsia="Calibri" w:hAnsi="Arial" w:cs="Arial"/>
          <w:color w:val="auto"/>
        </w:rPr>
        <w:t xml:space="preserve">roposed </w:t>
      </w:r>
      <w:r w:rsidR="002417C1">
        <w:rPr>
          <w:rFonts w:ascii="Arial" w:eastAsia="Calibri" w:hAnsi="Arial" w:cs="Arial"/>
          <w:color w:val="auto"/>
        </w:rPr>
        <w:t>R</w:t>
      </w:r>
      <w:r w:rsidR="002417C1" w:rsidRPr="00623CB5">
        <w:rPr>
          <w:rFonts w:ascii="Arial" w:eastAsia="Calibri" w:hAnsi="Arial" w:cs="Arial"/>
          <w:color w:val="auto"/>
        </w:rPr>
        <w:t>ating</w:t>
      </w:r>
      <w:r w:rsidRPr="00623CB5">
        <w:rPr>
          <w:rFonts w:ascii="Arial" w:eastAsia="Calibri" w:hAnsi="Arial" w:cs="Arial"/>
          <w:color w:val="auto"/>
        </w:rPr>
        <w:t xml:space="preserve"> in response to telephone inquiries.  Compensation </w:t>
      </w:r>
      <w:r w:rsidR="009459EC">
        <w:rPr>
          <w:rFonts w:ascii="Arial" w:eastAsia="Calibri" w:hAnsi="Arial" w:cs="Arial"/>
          <w:color w:val="auto"/>
        </w:rPr>
        <w:t>S</w:t>
      </w:r>
      <w:r w:rsidRPr="00623CB5">
        <w:rPr>
          <w:rFonts w:ascii="Arial" w:eastAsia="Calibri" w:hAnsi="Arial" w:cs="Arial"/>
          <w:color w:val="auto"/>
        </w:rPr>
        <w:t xml:space="preserve">ervice will engage the NCC with a reminder of proper procedures regarding IDES </w:t>
      </w:r>
      <w:r w:rsidR="009459EC">
        <w:rPr>
          <w:rFonts w:ascii="Arial" w:eastAsia="Calibri" w:hAnsi="Arial" w:cs="Arial"/>
          <w:color w:val="auto"/>
        </w:rPr>
        <w:t>P</w:t>
      </w:r>
      <w:r w:rsidRPr="00623CB5">
        <w:rPr>
          <w:rFonts w:ascii="Arial" w:eastAsia="Calibri" w:hAnsi="Arial" w:cs="Arial"/>
          <w:color w:val="auto"/>
        </w:rPr>
        <w:t xml:space="preserve">roposed </w:t>
      </w:r>
      <w:r w:rsidR="009459EC">
        <w:rPr>
          <w:rFonts w:ascii="Arial" w:eastAsia="Calibri" w:hAnsi="Arial" w:cs="Arial"/>
          <w:color w:val="auto"/>
        </w:rPr>
        <w:t>R</w:t>
      </w:r>
      <w:r w:rsidRPr="00623CB5">
        <w:rPr>
          <w:rFonts w:ascii="Arial" w:eastAsia="Calibri" w:hAnsi="Arial" w:cs="Arial"/>
          <w:color w:val="auto"/>
        </w:rPr>
        <w:t xml:space="preserve">atings.  In the meantime, DRAS personnel and MSCs must continue to adhere to existing restrictions regarding the release of </w:t>
      </w:r>
      <w:r w:rsidR="009459EC">
        <w:rPr>
          <w:rFonts w:ascii="Arial" w:eastAsia="Calibri" w:hAnsi="Arial" w:cs="Arial"/>
          <w:color w:val="auto"/>
        </w:rPr>
        <w:t>P</w:t>
      </w:r>
      <w:r w:rsidRPr="00623CB5">
        <w:rPr>
          <w:rFonts w:ascii="Arial" w:eastAsia="Calibri" w:hAnsi="Arial" w:cs="Arial"/>
          <w:color w:val="auto"/>
        </w:rPr>
        <w:t xml:space="preserve">roposed </w:t>
      </w:r>
      <w:r w:rsidR="009459EC">
        <w:rPr>
          <w:rFonts w:ascii="Arial" w:eastAsia="Calibri" w:hAnsi="Arial" w:cs="Arial"/>
          <w:color w:val="auto"/>
        </w:rPr>
        <w:t>R</w:t>
      </w:r>
      <w:r w:rsidRPr="00623CB5">
        <w:rPr>
          <w:rFonts w:ascii="Arial" w:eastAsia="Calibri" w:hAnsi="Arial" w:cs="Arial"/>
          <w:color w:val="auto"/>
        </w:rPr>
        <w:t xml:space="preserve">atings. </w:t>
      </w:r>
    </w:p>
    <w:p w14:paraId="7042949C" w14:textId="77777777" w:rsidR="005A72F3" w:rsidRPr="00623CB5" w:rsidRDefault="005A72F3" w:rsidP="005A72F3">
      <w:pPr>
        <w:spacing w:line="259" w:lineRule="auto"/>
        <w:rPr>
          <w:rFonts w:ascii="Arial" w:eastAsia="Calibri" w:hAnsi="Arial" w:cs="Arial"/>
          <w:color w:val="auto"/>
        </w:rPr>
      </w:pPr>
    </w:p>
    <w:p w14:paraId="07CA26CF" w14:textId="7624A2E3" w:rsidR="00623CB5" w:rsidRPr="00623CB5" w:rsidRDefault="00080033" w:rsidP="00623CB5">
      <w:pPr>
        <w:spacing w:line="259" w:lineRule="auto"/>
        <w:rPr>
          <w:rFonts w:ascii="Arial" w:eastAsia="Calibri" w:hAnsi="Arial" w:cs="Arial"/>
          <w:b/>
          <w:color w:val="auto"/>
          <w:sz w:val="28"/>
          <w:szCs w:val="28"/>
          <w:u w:val="single"/>
        </w:rPr>
      </w:pPr>
      <w:r>
        <w:rPr>
          <w:rFonts w:ascii="Arial" w:eastAsia="Calibri" w:hAnsi="Arial" w:cs="Arial"/>
          <w:b/>
          <w:color w:val="auto"/>
          <w:sz w:val="28"/>
          <w:szCs w:val="28"/>
          <w:u w:val="single"/>
        </w:rPr>
        <w:t>M</w:t>
      </w:r>
      <w:r w:rsidRPr="00080033">
        <w:rPr>
          <w:rFonts w:ascii="Arial" w:eastAsia="Calibri" w:hAnsi="Arial" w:cs="Arial"/>
          <w:b/>
          <w:color w:val="auto"/>
          <w:sz w:val="28"/>
          <w:szCs w:val="28"/>
          <w:u w:val="single"/>
        </w:rPr>
        <w:t xml:space="preserve">ilitary </w:t>
      </w:r>
      <w:r>
        <w:rPr>
          <w:rFonts w:ascii="Arial" w:eastAsia="Calibri" w:hAnsi="Arial" w:cs="Arial"/>
          <w:b/>
          <w:color w:val="auto"/>
          <w:sz w:val="28"/>
          <w:szCs w:val="28"/>
          <w:u w:val="single"/>
        </w:rPr>
        <w:t>S</w:t>
      </w:r>
      <w:r w:rsidRPr="00080033">
        <w:rPr>
          <w:rFonts w:ascii="Arial" w:eastAsia="Calibri" w:hAnsi="Arial" w:cs="Arial"/>
          <w:b/>
          <w:color w:val="auto"/>
          <w:sz w:val="28"/>
          <w:szCs w:val="28"/>
          <w:u w:val="single"/>
        </w:rPr>
        <w:t xml:space="preserve">exual </w:t>
      </w:r>
      <w:r>
        <w:rPr>
          <w:rFonts w:ascii="Arial" w:eastAsia="Calibri" w:hAnsi="Arial" w:cs="Arial"/>
          <w:b/>
          <w:color w:val="auto"/>
          <w:sz w:val="28"/>
          <w:szCs w:val="28"/>
          <w:u w:val="single"/>
        </w:rPr>
        <w:t>T</w:t>
      </w:r>
      <w:r w:rsidRPr="00080033">
        <w:rPr>
          <w:rFonts w:ascii="Arial" w:eastAsia="Calibri" w:hAnsi="Arial" w:cs="Arial"/>
          <w:b/>
          <w:color w:val="auto"/>
          <w:sz w:val="28"/>
          <w:szCs w:val="28"/>
          <w:u w:val="single"/>
        </w:rPr>
        <w:t xml:space="preserve">rauma </w:t>
      </w:r>
      <w:r>
        <w:rPr>
          <w:rFonts w:ascii="Arial" w:eastAsia="Calibri" w:hAnsi="Arial" w:cs="Arial"/>
          <w:b/>
          <w:color w:val="auto"/>
          <w:sz w:val="28"/>
          <w:szCs w:val="28"/>
          <w:u w:val="single"/>
        </w:rPr>
        <w:t>(</w:t>
      </w:r>
      <w:r w:rsidR="00623CB5" w:rsidRPr="00623CB5">
        <w:rPr>
          <w:rFonts w:ascii="Arial" w:eastAsia="Calibri" w:hAnsi="Arial" w:cs="Arial"/>
          <w:b/>
          <w:color w:val="auto"/>
          <w:sz w:val="28"/>
          <w:szCs w:val="28"/>
          <w:u w:val="single"/>
        </w:rPr>
        <w:t>MST</w:t>
      </w:r>
      <w:r>
        <w:rPr>
          <w:rFonts w:ascii="Arial" w:eastAsia="Calibri" w:hAnsi="Arial" w:cs="Arial"/>
          <w:b/>
          <w:color w:val="auto"/>
          <w:sz w:val="28"/>
          <w:szCs w:val="28"/>
          <w:u w:val="single"/>
        </w:rPr>
        <w:t>)</w:t>
      </w:r>
      <w:r w:rsidR="00623CB5" w:rsidRPr="00623CB5">
        <w:rPr>
          <w:rFonts w:ascii="Arial" w:eastAsia="Calibri" w:hAnsi="Arial" w:cs="Arial"/>
          <w:b/>
          <w:color w:val="auto"/>
          <w:sz w:val="28"/>
          <w:szCs w:val="28"/>
          <w:u w:val="single"/>
        </w:rPr>
        <w:t xml:space="preserve"> in </w:t>
      </w:r>
      <w:r w:rsidR="005B70B5" w:rsidRPr="005B70B5">
        <w:rPr>
          <w:rFonts w:ascii="Arial" w:eastAsia="Calibri" w:hAnsi="Arial" w:cs="Arial"/>
          <w:b/>
          <w:color w:val="auto"/>
          <w:sz w:val="28"/>
          <w:szCs w:val="28"/>
          <w:u w:val="single"/>
        </w:rPr>
        <w:t xml:space="preserve">Non-Active Duty </w:t>
      </w:r>
      <w:r w:rsidR="005B70B5">
        <w:rPr>
          <w:rFonts w:ascii="Arial" w:eastAsia="Calibri" w:hAnsi="Arial" w:cs="Arial"/>
          <w:b/>
          <w:color w:val="auto"/>
          <w:sz w:val="28"/>
          <w:szCs w:val="28"/>
          <w:u w:val="single"/>
        </w:rPr>
        <w:t>(</w:t>
      </w:r>
      <w:r w:rsidR="00623CB5" w:rsidRPr="00623CB5">
        <w:rPr>
          <w:rFonts w:ascii="Arial" w:eastAsia="Calibri" w:hAnsi="Arial" w:cs="Arial"/>
          <w:b/>
          <w:color w:val="auto"/>
          <w:sz w:val="28"/>
          <w:szCs w:val="28"/>
          <w:u w:val="single"/>
        </w:rPr>
        <w:t>NAD</w:t>
      </w:r>
      <w:r w:rsidR="005B70B5">
        <w:rPr>
          <w:rFonts w:ascii="Arial" w:eastAsia="Calibri" w:hAnsi="Arial" w:cs="Arial"/>
          <w:b/>
          <w:color w:val="auto"/>
          <w:sz w:val="28"/>
          <w:szCs w:val="28"/>
          <w:u w:val="single"/>
        </w:rPr>
        <w:t>)</w:t>
      </w:r>
      <w:r w:rsidR="00623CB5" w:rsidRPr="00623CB5">
        <w:rPr>
          <w:rFonts w:ascii="Arial" w:eastAsia="Calibri" w:hAnsi="Arial" w:cs="Arial"/>
          <w:b/>
          <w:color w:val="auto"/>
          <w:sz w:val="28"/>
          <w:szCs w:val="28"/>
          <w:u w:val="single"/>
        </w:rPr>
        <w:t xml:space="preserve"> IDES Cases</w:t>
      </w:r>
    </w:p>
    <w:p w14:paraId="713F83C0" w14:textId="77452C15"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t xml:space="preserve">MSCs are reminded that generally, no stressor development or special handling of MST claims involving </w:t>
      </w:r>
      <w:r w:rsidR="005B70B5">
        <w:rPr>
          <w:rFonts w:ascii="Arial" w:eastAsia="Calibri" w:hAnsi="Arial" w:cs="Arial"/>
          <w:color w:val="auto"/>
        </w:rPr>
        <w:t xml:space="preserve">IDES participants </w:t>
      </w:r>
      <w:r w:rsidRPr="00623CB5">
        <w:rPr>
          <w:rFonts w:ascii="Arial" w:eastAsia="Calibri" w:hAnsi="Arial" w:cs="Arial"/>
          <w:color w:val="auto"/>
        </w:rPr>
        <w:t>who are currently serving on active duty.  However, in any case from a</w:t>
      </w:r>
      <w:r w:rsidR="005B70B5">
        <w:rPr>
          <w:rFonts w:ascii="Arial" w:eastAsia="Calibri" w:hAnsi="Arial" w:cs="Arial"/>
          <w:color w:val="auto"/>
        </w:rPr>
        <w:t xml:space="preserve"> </w:t>
      </w:r>
      <w:r w:rsidRPr="00623CB5">
        <w:rPr>
          <w:rFonts w:ascii="Arial" w:eastAsia="Calibri" w:hAnsi="Arial" w:cs="Arial"/>
          <w:color w:val="auto"/>
        </w:rPr>
        <w:t xml:space="preserve">NAD IDES participant involving MST, MSCs must notify the DRAS per </w:t>
      </w:r>
      <w:hyperlink r:id="rId19" w:history="1">
        <w:r w:rsidRPr="00623CB5">
          <w:rPr>
            <w:rFonts w:ascii="Arial" w:eastAsia="Calibri" w:hAnsi="Arial" w:cs="Arial"/>
            <w:color w:val="0000FF"/>
            <w:u w:val="single"/>
          </w:rPr>
          <w:t xml:space="preserve">M21-1 </w:t>
        </w:r>
        <w:r w:rsidRPr="00623CB5">
          <w:rPr>
            <w:rFonts w:ascii="Arial" w:eastAsia="Calibri" w:hAnsi="Arial" w:cs="Arial"/>
            <w:bCs/>
            <w:color w:val="0000FF"/>
            <w:u w:val="single"/>
          </w:rPr>
          <w:t>III.i.2.D.4.c</w:t>
        </w:r>
        <w:bookmarkStart w:id="61" w:name="4c"/>
        <w:r w:rsidRPr="00623CB5">
          <w:rPr>
            <w:rFonts w:ascii="Arial" w:eastAsia="Calibri" w:hAnsi="Arial" w:cs="Arial"/>
            <w:bCs/>
            <w:color w:val="0000FF"/>
            <w:u w:val="single"/>
          </w:rPr>
          <w:t>.</w:t>
        </w:r>
        <w:bookmarkEnd w:id="61"/>
        <w:r w:rsidRPr="00623CB5">
          <w:rPr>
            <w:rFonts w:ascii="Arial" w:eastAsia="Calibri" w:hAnsi="Arial" w:cs="Arial"/>
            <w:bCs/>
            <w:color w:val="0000FF"/>
            <w:u w:val="single"/>
          </w:rPr>
          <w:t> </w:t>
        </w:r>
      </w:hyperlink>
    </w:p>
    <w:p w14:paraId="2CAE5191" w14:textId="1C4D83DE" w:rsidR="00623CB5" w:rsidRPr="00623CB5" w:rsidRDefault="00623CB5" w:rsidP="008420BD">
      <w:pPr>
        <w:spacing w:after="160"/>
        <w:rPr>
          <w:rFonts w:ascii="Arial" w:hAnsi="Arial" w:cs="Arial"/>
        </w:rPr>
      </w:pPr>
      <w:r w:rsidRPr="00623CB5">
        <w:rPr>
          <w:rFonts w:ascii="Arial" w:eastAsia="Calibri" w:hAnsi="Arial" w:cs="Arial"/>
          <w:color w:val="auto"/>
        </w:rPr>
        <w:t xml:space="preserve">MSCs must notify the DRAS via the DRAS mailboxes indicated in </w:t>
      </w:r>
      <w:hyperlink r:id="rId20" w:history="1">
        <w:r w:rsidRPr="00623CB5">
          <w:rPr>
            <w:rFonts w:ascii="Arial" w:eastAsia="Calibri" w:hAnsi="Arial" w:cs="Arial"/>
            <w:color w:val="0000FF"/>
            <w:u w:val="single"/>
          </w:rPr>
          <w:t xml:space="preserve">M21-1 </w:t>
        </w:r>
        <w:r w:rsidRPr="00623CB5">
          <w:rPr>
            <w:rFonts w:ascii="Arial" w:eastAsia="Calibri" w:hAnsi="Arial" w:cs="Arial"/>
            <w:bCs/>
            <w:color w:val="0000FF"/>
            <w:u w:val="single"/>
          </w:rPr>
          <w:t>III.i.2.D.1.g</w:t>
        </w:r>
        <w:bookmarkStart w:id="62" w:name="1g"/>
        <w:r w:rsidRPr="00623CB5">
          <w:rPr>
            <w:rFonts w:ascii="Arial" w:eastAsia="Calibri" w:hAnsi="Arial" w:cs="Arial"/>
            <w:bCs/>
            <w:color w:val="0000FF"/>
            <w:u w:val="single"/>
          </w:rPr>
          <w:t>.</w:t>
        </w:r>
        <w:bookmarkEnd w:id="62"/>
        <w:r w:rsidRPr="005B70B5">
          <w:rPr>
            <w:rFonts w:ascii="Arial" w:eastAsia="Calibri" w:hAnsi="Arial" w:cs="Arial"/>
            <w:color w:val="0000FF"/>
          </w:rPr>
          <w:t> </w:t>
        </w:r>
      </w:hyperlink>
      <w:r w:rsidRPr="00623CB5">
        <w:rPr>
          <w:rFonts w:ascii="Arial" w:eastAsia="Calibri" w:hAnsi="Arial" w:cs="Arial"/>
          <w:color w:val="auto"/>
        </w:rPr>
        <w:t xml:space="preserve"> T</w:t>
      </w:r>
      <w:r w:rsidRPr="00623CB5">
        <w:rPr>
          <w:rFonts w:ascii="Arial" w:hAnsi="Arial" w:cs="Arial"/>
        </w:rPr>
        <w:t xml:space="preserve">he MST Outreach Coordinator at the DRAS is responsible for taking the actions outlined in </w:t>
      </w:r>
      <w:hyperlink r:id="rId21" w:history="1">
        <w:r w:rsidRPr="00623CB5">
          <w:rPr>
            <w:rFonts w:ascii="Arial" w:hAnsi="Arial" w:cs="Arial"/>
            <w:bCs/>
            <w:color w:val="0000FF"/>
            <w:u w:val="single"/>
          </w:rPr>
          <w:t xml:space="preserve">M21-1 IV.ii.1.D.5.d and f. </w:t>
        </w:r>
      </w:hyperlink>
      <w:r w:rsidRPr="00623CB5">
        <w:rPr>
          <w:rFonts w:ascii="Arial" w:hAnsi="Arial" w:cs="Arial"/>
        </w:rPr>
        <w:t xml:space="preserve">  </w:t>
      </w:r>
    </w:p>
    <w:p w14:paraId="367BE20C" w14:textId="520BBF5D" w:rsidR="00623CB5" w:rsidRDefault="00623CB5" w:rsidP="008420BD">
      <w:pPr>
        <w:rPr>
          <w:rFonts w:ascii="Arial" w:hAnsi="Arial" w:cs="Arial"/>
        </w:rPr>
      </w:pPr>
      <w:r w:rsidRPr="00623CB5">
        <w:rPr>
          <w:rFonts w:ascii="Arial" w:hAnsi="Arial" w:cs="Arial"/>
        </w:rPr>
        <w:t xml:space="preserve">It is critical that MSCs notify the DRAS immediately following the initial interview in NAD MST cases, so that the MST coordinator can complete the necessary actions.  When the MSC fails to notify the DRAS in these instances, the required MST coordinator actions must be completed later during the IDES process and can potentially delay IDES ratings and/or delivery of Veterans’ benefits. </w:t>
      </w:r>
    </w:p>
    <w:p w14:paraId="27B9298E" w14:textId="77777777" w:rsidR="005A72F3" w:rsidRPr="00623CB5" w:rsidRDefault="005A72F3" w:rsidP="005A72F3">
      <w:pPr>
        <w:spacing w:line="259" w:lineRule="auto"/>
        <w:rPr>
          <w:rFonts w:ascii="Arial" w:hAnsi="Arial" w:cs="Arial"/>
        </w:rPr>
      </w:pPr>
    </w:p>
    <w:p w14:paraId="72CC507C" w14:textId="5BB6C7C8" w:rsidR="00623CB5" w:rsidRPr="00623CB5" w:rsidRDefault="00623CB5" w:rsidP="00623CB5">
      <w:pPr>
        <w:spacing w:line="259" w:lineRule="auto"/>
        <w:rPr>
          <w:rFonts w:ascii="Arial" w:eastAsia="Calibri" w:hAnsi="Arial" w:cs="Arial"/>
          <w:b/>
          <w:color w:val="auto"/>
          <w:sz w:val="28"/>
          <w:szCs w:val="28"/>
          <w:u w:val="single"/>
        </w:rPr>
      </w:pPr>
      <w:r w:rsidRPr="00623CB5">
        <w:rPr>
          <w:rFonts w:ascii="Arial" w:eastAsia="Calibri" w:hAnsi="Arial" w:cs="Arial"/>
          <w:b/>
          <w:color w:val="auto"/>
          <w:sz w:val="28"/>
          <w:szCs w:val="28"/>
          <w:u w:val="single"/>
        </w:rPr>
        <w:t>Timely Update of Medical Evaluation End Date</w:t>
      </w:r>
    </w:p>
    <w:p w14:paraId="23388781" w14:textId="38A9C6FD"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t xml:space="preserve">MSC must make every effort to update the </w:t>
      </w:r>
      <w:r w:rsidRPr="00623CB5">
        <w:rPr>
          <w:rFonts w:ascii="Arial" w:eastAsia="Calibri" w:hAnsi="Arial" w:cs="Arial"/>
          <w:i/>
          <w:color w:val="auto"/>
        </w:rPr>
        <w:t>Medical Evaluation End Date</w:t>
      </w:r>
      <w:r w:rsidRPr="00623CB5">
        <w:rPr>
          <w:rFonts w:ascii="Arial" w:eastAsia="Calibri" w:hAnsi="Arial" w:cs="Arial"/>
          <w:color w:val="auto"/>
        </w:rPr>
        <w:t xml:space="preserve"> (ME</w:t>
      </w:r>
      <w:r w:rsidR="005B70B5">
        <w:rPr>
          <w:rFonts w:ascii="Arial" w:eastAsia="Calibri" w:hAnsi="Arial" w:cs="Arial"/>
          <w:color w:val="auto"/>
        </w:rPr>
        <w:t>ED)</w:t>
      </w:r>
      <w:r w:rsidRPr="00623CB5">
        <w:rPr>
          <w:rFonts w:ascii="Arial" w:eastAsia="Calibri" w:hAnsi="Arial" w:cs="Arial"/>
          <w:color w:val="auto"/>
        </w:rPr>
        <w:t xml:space="preserve"> in VTA on the same day examination results are provided to the PEBLO.  Timely entry of this data point is now critically important due to recent DRAS process changes associated </w:t>
      </w:r>
      <w:r w:rsidR="005B70B5">
        <w:rPr>
          <w:rFonts w:ascii="Arial" w:eastAsia="Calibri" w:hAnsi="Arial" w:cs="Arial"/>
          <w:color w:val="auto"/>
        </w:rPr>
        <w:t>with P</w:t>
      </w:r>
      <w:r w:rsidRPr="00623CB5">
        <w:rPr>
          <w:rFonts w:ascii="Arial" w:eastAsia="Calibri" w:hAnsi="Arial" w:cs="Arial"/>
          <w:color w:val="auto"/>
        </w:rPr>
        <w:t xml:space="preserve">arallel </w:t>
      </w:r>
      <w:r w:rsidR="005B70B5">
        <w:rPr>
          <w:rFonts w:ascii="Arial" w:eastAsia="Calibri" w:hAnsi="Arial" w:cs="Arial"/>
          <w:color w:val="auto"/>
        </w:rPr>
        <w:t>P</w:t>
      </w:r>
      <w:r w:rsidRPr="00623CB5">
        <w:rPr>
          <w:rFonts w:ascii="Arial" w:eastAsia="Calibri" w:hAnsi="Arial" w:cs="Arial"/>
          <w:color w:val="auto"/>
        </w:rPr>
        <w:t>rocessing</w:t>
      </w:r>
      <w:r w:rsidR="00BA78C2">
        <w:rPr>
          <w:rFonts w:ascii="Arial" w:eastAsia="Calibri" w:hAnsi="Arial" w:cs="Arial"/>
          <w:color w:val="auto"/>
        </w:rPr>
        <w:t xml:space="preserve"> (PP)</w:t>
      </w:r>
      <w:r w:rsidRPr="00623CB5">
        <w:rPr>
          <w:rFonts w:ascii="Arial" w:eastAsia="Calibri" w:hAnsi="Arial" w:cs="Arial"/>
          <w:color w:val="auto"/>
        </w:rPr>
        <w:t xml:space="preserve">.    </w:t>
      </w:r>
    </w:p>
    <w:p w14:paraId="4AB32D6A" w14:textId="16592096"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t>P</w:t>
      </w:r>
      <w:r w:rsidR="00BA78C2">
        <w:rPr>
          <w:rFonts w:ascii="Arial" w:eastAsia="Calibri" w:hAnsi="Arial" w:cs="Arial"/>
          <w:color w:val="auto"/>
        </w:rPr>
        <w:t>P</w:t>
      </w:r>
      <w:r w:rsidRPr="00623CB5">
        <w:rPr>
          <w:rFonts w:ascii="Arial" w:eastAsia="Calibri" w:hAnsi="Arial" w:cs="Arial"/>
          <w:color w:val="auto"/>
        </w:rPr>
        <w:t xml:space="preserve"> allows the DRAS to begin rating activity immediately following completion of VA Exams; and in these cases, it is the MSC entry of the ME</w:t>
      </w:r>
      <w:r w:rsidR="005B70B5">
        <w:rPr>
          <w:rFonts w:ascii="Arial" w:eastAsia="Calibri" w:hAnsi="Arial" w:cs="Arial"/>
          <w:color w:val="auto"/>
        </w:rPr>
        <w:t>ED</w:t>
      </w:r>
      <w:r w:rsidRPr="00623CB5">
        <w:rPr>
          <w:rFonts w:ascii="Arial" w:eastAsia="Calibri" w:hAnsi="Arial" w:cs="Arial"/>
          <w:color w:val="auto"/>
        </w:rPr>
        <w:t xml:space="preserve"> that signals to the DRAS that the case has become actionable.  When the ME</w:t>
      </w:r>
      <w:r w:rsidR="005B70B5">
        <w:rPr>
          <w:rFonts w:ascii="Arial" w:eastAsia="Calibri" w:hAnsi="Arial" w:cs="Arial"/>
          <w:color w:val="auto"/>
        </w:rPr>
        <w:t>ED</w:t>
      </w:r>
      <w:r w:rsidRPr="00623CB5">
        <w:rPr>
          <w:rFonts w:ascii="Arial" w:eastAsia="Calibri" w:hAnsi="Arial" w:cs="Arial"/>
          <w:color w:val="auto"/>
        </w:rPr>
        <w:t xml:space="preserve"> is not entered on the date that the results are provided to the PEBLO, it reduces the additional time for rating that </w:t>
      </w:r>
      <w:r w:rsidR="005B70B5">
        <w:rPr>
          <w:rFonts w:ascii="Arial" w:eastAsia="Calibri" w:hAnsi="Arial" w:cs="Arial"/>
          <w:color w:val="auto"/>
        </w:rPr>
        <w:t>P</w:t>
      </w:r>
      <w:r w:rsidR="00B845BB">
        <w:rPr>
          <w:rFonts w:ascii="Arial" w:eastAsia="Calibri" w:hAnsi="Arial" w:cs="Arial"/>
          <w:color w:val="auto"/>
        </w:rPr>
        <w:t>P</w:t>
      </w:r>
      <w:r w:rsidRPr="00623CB5">
        <w:rPr>
          <w:rFonts w:ascii="Arial" w:eastAsia="Calibri" w:hAnsi="Arial" w:cs="Arial"/>
          <w:color w:val="auto"/>
        </w:rPr>
        <w:t xml:space="preserve"> was designed to provide.</w:t>
      </w:r>
    </w:p>
    <w:p w14:paraId="56E21545" w14:textId="24C23799" w:rsidR="00623CB5" w:rsidRPr="00623CB5" w:rsidRDefault="00623CB5" w:rsidP="008420BD">
      <w:pPr>
        <w:spacing w:after="160"/>
        <w:rPr>
          <w:rFonts w:ascii="Arial" w:eastAsia="Calibri" w:hAnsi="Arial" w:cs="Arial"/>
          <w:color w:val="auto"/>
        </w:rPr>
      </w:pPr>
      <w:r w:rsidRPr="00623CB5">
        <w:rPr>
          <w:rFonts w:ascii="Arial" w:eastAsia="Calibri" w:hAnsi="Arial" w:cs="Arial"/>
          <w:color w:val="auto"/>
        </w:rPr>
        <w:t>Compensation Service recently completed analysis of ME</w:t>
      </w:r>
      <w:r w:rsidR="005B70B5">
        <w:rPr>
          <w:rFonts w:ascii="Arial" w:eastAsia="Calibri" w:hAnsi="Arial" w:cs="Arial"/>
          <w:color w:val="auto"/>
        </w:rPr>
        <w:t>ED data</w:t>
      </w:r>
      <w:r w:rsidRPr="00623CB5">
        <w:rPr>
          <w:rFonts w:ascii="Arial" w:eastAsia="Calibri" w:hAnsi="Arial" w:cs="Arial"/>
          <w:color w:val="auto"/>
        </w:rPr>
        <w:t xml:space="preserve"> in VTA to determine the impact/extent of late data entry.  The analysis found that the majority of MSCs consistently update the ME</w:t>
      </w:r>
      <w:r w:rsidR="005B70B5">
        <w:rPr>
          <w:rFonts w:ascii="Arial" w:eastAsia="Calibri" w:hAnsi="Arial" w:cs="Arial"/>
          <w:color w:val="auto"/>
        </w:rPr>
        <w:t>ED</w:t>
      </w:r>
      <w:r w:rsidRPr="00623CB5">
        <w:rPr>
          <w:rFonts w:ascii="Arial" w:eastAsia="Calibri" w:hAnsi="Arial" w:cs="Arial"/>
          <w:color w:val="auto"/>
        </w:rPr>
        <w:t xml:space="preserve"> on the date the exam results were provided to the PEBLO.  However, several MSCs routinely back date the ME</w:t>
      </w:r>
      <w:r w:rsidR="005B70B5">
        <w:rPr>
          <w:rFonts w:ascii="Arial" w:eastAsia="Calibri" w:hAnsi="Arial" w:cs="Arial"/>
          <w:color w:val="auto"/>
        </w:rPr>
        <w:t>ED</w:t>
      </w:r>
      <w:r w:rsidRPr="00623CB5">
        <w:rPr>
          <w:rFonts w:ascii="Arial" w:eastAsia="Calibri" w:hAnsi="Arial" w:cs="Arial"/>
          <w:color w:val="auto"/>
        </w:rPr>
        <w:t>.  Back dated ME</w:t>
      </w:r>
      <w:r w:rsidR="005B70B5">
        <w:rPr>
          <w:rFonts w:ascii="Arial" w:eastAsia="Calibri" w:hAnsi="Arial" w:cs="Arial"/>
          <w:color w:val="auto"/>
        </w:rPr>
        <w:t>ED</w:t>
      </w:r>
      <w:r w:rsidR="005C70DA">
        <w:rPr>
          <w:rFonts w:ascii="Arial" w:eastAsia="Calibri" w:hAnsi="Arial" w:cs="Arial"/>
          <w:color w:val="auto"/>
        </w:rPr>
        <w:t>s</w:t>
      </w:r>
      <w:r w:rsidRPr="00623CB5">
        <w:rPr>
          <w:rFonts w:ascii="Arial" w:eastAsia="Calibri" w:hAnsi="Arial" w:cs="Arial"/>
          <w:color w:val="auto"/>
        </w:rPr>
        <w:t xml:space="preserve"> were found in over 10% of IDES cases; and in 7% of cases, 3 or more days passed before the MSC updated the ME</w:t>
      </w:r>
      <w:r w:rsidR="005B70B5">
        <w:rPr>
          <w:rFonts w:ascii="Arial" w:eastAsia="Calibri" w:hAnsi="Arial" w:cs="Arial"/>
          <w:color w:val="auto"/>
        </w:rPr>
        <w:t>ED</w:t>
      </w:r>
      <w:r w:rsidRPr="00623CB5">
        <w:rPr>
          <w:rFonts w:ascii="Arial" w:eastAsia="Calibri" w:hAnsi="Arial" w:cs="Arial"/>
          <w:color w:val="auto"/>
        </w:rPr>
        <w:t>.  Compensation Service will continue to monitor the ME</w:t>
      </w:r>
      <w:r w:rsidR="005B70B5">
        <w:rPr>
          <w:rFonts w:ascii="Arial" w:eastAsia="Calibri" w:hAnsi="Arial" w:cs="Arial"/>
          <w:color w:val="auto"/>
        </w:rPr>
        <w:t>ED</w:t>
      </w:r>
      <w:r w:rsidRPr="00623CB5">
        <w:rPr>
          <w:rFonts w:ascii="Arial" w:eastAsia="Calibri" w:hAnsi="Arial" w:cs="Arial"/>
          <w:color w:val="auto"/>
        </w:rPr>
        <w:t xml:space="preserve"> data and will take action to engage management at stations in which MSCs continue to repeatedly back-date the ME</w:t>
      </w:r>
      <w:r w:rsidR="005B70B5">
        <w:rPr>
          <w:rFonts w:ascii="Arial" w:eastAsia="Calibri" w:hAnsi="Arial" w:cs="Arial"/>
          <w:color w:val="auto"/>
        </w:rPr>
        <w:t>ED</w:t>
      </w:r>
      <w:r w:rsidRPr="00623CB5">
        <w:rPr>
          <w:rFonts w:ascii="Arial" w:eastAsia="Calibri" w:hAnsi="Arial" w:cs="Arial"/>
          <w:color w:val="auto"/>
        </w:rPr>
        <w:t xml:space="preserve">. </w:t>
      </w:r>
    </w:p>
    <w:p w14:paraId="3A56E922" w14:textId="01610C1C" w:rsidR="00623CB5" w:rsidRDefault="00623CB5" w:rsidP="005A72F3">
      <w:pPr>
        <w:spacing w:line="259" w:lineRule="auto"/>
        <w:rPr>
          <w:rFonts w:ascii="Arial" w:eastAsia="Calibri" w:hAnsi="Arial" w:cs="Arial"/>
          <w:color w:val="auto"/>
        </w:rPr>
      </w:pPr>
      <w:r w:rsidRPr="00623CB5">
        <w:rPr>
          <w:rFonts w:ascii="Arial" w:eastAsia="Calibri" w:hAnsi="Arial" w:cs="Arial"/>
          <w:color w:val="auto"/>
        </w:rPr>
        <w:t xml:space="preserve">All MSCs are asked to review their current work processes, and to ensure that VTA is being updated on the same day exam results are provided to the PEBLO. </w:t>
      </w:r>
    </w:p>
    <w:p w14:paraId="031A4792" w14:textId="77777777" w:rsidR="005A72F3" w:rsidRPr="00623CB5" w:rsidRDefault="005A72F3" w:rsidP="005A72F3">
      <w:pPr>
        <w:spacing w:line="259" w:lineRule="auto"/>
        <w:rPr>
          <w:rFonts w:ascii="Arial" w:eastAsia="Calibri" w:hAnsi="Arial" w:cs="Arial"/>
          <w:color w:val="auto"/>
        </w:rPr>
      </w:pPr>
    </w:p>
    <w:p w14:paraId="6A53DE22" w14:textId="713C38B7" w:rsidR="00623CB5" w:rsidRPr="00623CB5" w:rsidRDefault="00623CB5" w:rsidP="00623CB5">
      <w:pPr>
        <w:spacing w:line="259" w:lineRule="auto"/>
        <w:rPr>
          <w:rFonts w:ascii="Arial" w:eastAsia="Calibri" w:hAnsi="Arial" w:cs="Arial"/>
          <w:b/>
          <w:bCs/>
          <w:color w:val="auto"/>
          <w:sz w:val="28"/>
          <w:szCs w:val="28"/>
          <w:u w:val="single"/>
        </w:rPr>
      </w:pPr>
      <w:r w:rsidRPr="00623CB5">
        <w:rPr>
          <w:rFonts w:ascii="Arial" w:eastAsia="Calibri" w:hAnsi="Arial" w:cs="Arial"/>
          <w:b/>
          <w:bCs/>
          <w:color w:val="auto"/>
          <w:sz w:val="28"/>
          <w:szCs w:val="28"/>
          <w:u w:val="single"/>
        </w:rPr>
        <w:t>IDES Quality Reviews Completed by DRAS</w:t>
      </w:r>
    </w:p>
    <w:p w14:paraId="2E7DB3FE" w14:textId="03BE4625" w:rsidR="00623CB5" w:rsidRDefault="00623CB5" w:rsidP="005A72F3">
      <w:pPr>
        <w:rPr>
          <w:rFonts w:ascii="Arial" w:hAnsi="Arial" w:cs="Arial"/>
          <w:color w:val="auto"/>
        </w:rPr>
      </w:pPr>
      <w:r w:rsidRPr="00623CB5">
        <w:rPr>
          <w:rFonts w:ascii="Arial" w:eastAsia="Calibri" w:hAnsi="Arial" w:cs="Arial"/>
          <w:color w:val="auto"/>
        </w:rPr>
        <w:t xml:space="preserve">As of January 2020, quality reviews of MSCs IDES work (actions taken on cases controlled by EP 689s) will be routed only to the Providence and Seattle DRAS for review. </w:t>
      </w:r>
      <w:r w:rsidR="005B70B5">
        <w:rPr>
          <w:rFonts w:ascii="Arial" w:eastAsia="Calibri" w:hAnsi="Arial" w:cs="Arial"/>
          <w:color w:val="auto"/>
        </w:rPr>
        <w:t xml:space="preserve"> </w:t>
      </w:r>
      <w:r w:rsidRPr="00623CB5">
        <w:rPr>
          <w:rFonts w:ascii="Arial" w:eastAsia="Calibri" w:hAnsi="Arial" w:cs="Arial"/>
          <w:color w:val="auto"/>
        </w:rPr>
        <w:t xml:space="preserve">As DRAS employees, the Providence and Seattle AQRS generally have a practical understanding of IDES-specific requirements, which is expected to result </w:t>
      </w:r>
      <w:r w:rsidR="005B70B5">
        <w:rPr>
          <w:rFonts w:ascii="Arial" w:eastAsia="Calibri" w:hAnsi="Arial" w:cs="Arial"/>
          <w:color w:val="auto"/>
        </w:rPr>
        <w:t xml:space="preserve">in </w:t>
      </w:r>
      <w:r w:rsidRPr="00623CB5">
        <w:rPr>
          <w:rFonts w:ascii="Arial" w:eastAsia="Calibri" w:hAnsi="Arial" w:cs="Arial"/>
          <w:color w:val="auto"/>
        </w:rPr>
        <w:t xml:space="preserve">more effective quality reviews.  Specifically, this change is expected to </w:t>
      </w:r>
      <w:r w:rsidRPr="00623CB5">
        <w:rPr>
          <w:rFonts w:ascii="Arial" w:hAnsi="Arial" w:cs="Arial"/>
          <w:color w:val="auto"/>
        </w:rPr>
        <w:t xml:space="preserve">provide MSCs with more useful feedback and reduce the number of challenged/rebutted errors called in IDES cases.  This change will also allow closer communication and coordination between the IDES team at Compensation Service and the AQRSs completing IDES reviews. </w:t>
      </w:r>
    </w:p>
    <w:p w14:paraId="3595BADB" w14:textId="77777777" w:rsidR="005A72F3" w:rsidRPr="00623CB5" w:rsidRDefault="005A72F3" w:rsidP="005A72F3">
      <w:pPr>
        <w:rPr>
          <w:rFonts w:ascii="Arial" w:hAnsi="Arial" w:cs="Arial"/>
          <w:color w:val="auto"/>
        </w:rPr>
      </w:pPr>
    </w:p>
    <w:p w14:paraId="4BEC4006" w14:textId="5BC8418B" w:rsidR="00556B46" w:rsidRDefault="00556B46" w:rsidP="00556B46">
      <w:pPr>
        <w:pStyle w:val="Heading20"/>
      </w:pPr>
      <w:r>
        <w:t>Current IDES Program Timeliness</w:t>
      </w:r>
      <w:r w:rsidR="005F6757">
        <w:t xml:space="preserve"> </w:t>
      </w:r>
    </w:p>
    <w:p w14:paraId="4160F2D5" w14:textId="70C2AFAF" w:rsidR="00556B46" w:rsidRDefault="00556B46" w:rsidP="00556B46">
      <w:pPr>
        <w:rPr>
          <w:sz w:val="32"/>
        </w:rPr>
      </w:pPr>
      <w:bookmarkStart w:id="63" w:name="_Hlk31097617"/>
      <w:r>
        <w:rPr>
          <w:rFonts w:ascii="Arial" w:hAnsi="Arial" w:cs="Arial"/>
          <w:color w:val="auto"/>
        </w:rPr>
        <w:t xml:space="preserve">As outreach specialists </w:t>
      </w:r>
      <w:bookmarkEnd w:id="63"/>
      <w:r>
        <w:rPr>
          <w:rFonts w:ascii="Arial" w:hAnsi="Arial" w:cs="Arial"/>
          <w:color w:val="auto"/>
        </w:rPr>
        <w:t xml:space="preserve">and VA’s frontline contact with SMs and Veterans, it is vital that we are realistic in our communications regarding claims processing times.  Below is the current program timeliness data (ADC) for </w:t>
      </w:r>
      <w:r w:rsidR="002B7303">
        <w:rPr>
          <w:rFonts w:ascii="Arial" w:hAnsi="Arial" w:cs="Arial"/>
          <w:color w:val="auto"/>
        </w:rPr>
        <w:t>February</w:t>
      </w:r>
      <w:r>
        <w:rPr>
          <w:rFonts w:ascii="Arial" w:hAnsi="Arial" w:cs="Arial"/>
          <w:color w:val="auto"/>
        </w:rPr>
        <w:t xml:space="preserve"> 2020.  </w:t>
      </w:r>
    </w:p>
    <w:p w14:paraId="3F50A840" w14:textId="77777777" w:rsidR="00556B46" w:rsidRDefault="00556B46" w:rsidP="00556B4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A86F05" w14:paraId="741344D5" w14:textId="77777777" w:rsidTr="00BD1067">
        <w:trPr>
          <w:trHeight w:val="260"/>
          <w:jc w:val="center"/>
        </w:trPr>
        <w:tc>
          <w:tcPr>
            <w:tcW w:w="3960" w:type="dxa"/>
            <w:shd w:val="clear" w:color="auto" w:fill="auto"/>
            <w:vAlign w:val="center"/>
            <w:hideMark/>
          </w:tcPr>
          <w:p w14:paraId="1453750C" w14:textId="15BA46BC" w:rsidR="00A86F05" w:rsidRPr="00B6547A" w:rsidRDefault="00A86F05" w:rsidP="00D27298">
            <w:pPr>
              <w:jc w:val="center"/>
              <w:rPr>
                <w:rFonts w:ascii="Arial" w:hAnsi="Arial" w:cs="Arial"/>
                <w:b/>
                <w:bCs/>
                <w:color w:val="auto"/>
                <w:sz w:val="28"/>
              </w:rPr>
            </w:pPr>
            <w:r>
              <w:rPr>
                <w:rFonts w:ascii="Arial" w:hAnsi="Arial" w:cs="Arial"/>
                <w:color w:val="auto"/>
                <w:sz w:val="28"/>
              </w:rPr>
              <w:br w:type="page"/>
            </w:r>
            <w:r w:rsidR="002B7303">
              <w:rPr>
                <w:rFonts w:ascii="Arial" w:hAnsi="Arial" w:cs="Arial"/>
                <w:b/>
                <w:color w:val="auto"/>
                <w:sz w:val="28"/>
              </w:rPr>
              <w:t>Februar</w:t>
            </w:r>
            <w:r w:rsidRPr="00B6547A">
              <w:rPr>
                <w:rFonts w:ascii="Arial" w:hAnsi="Arial" w:cs="Arial"/>
                <w:b/>
                <w:color w:val="auto"/>
                <w:sz w:val="28"/>
              </w:rPr>
              <w:t>y 2020</w:t>
            </w:r>
          </w:p>
        </w:tc>
        <w:tc>
          <w:tcPr>
            <w:tcW w:w="3150" w:type="dxa"/>
          </w:tcPr>
          <w:p w14:paraId="5E34C7BE" w14:textId="26304C20" w:rsidR="00A86F05" w:rsidRDefault="00A86F05" w:rsidP="00D27298">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auto"/>
            <w:vAlign w:val="center"/>
            <w:hideMark/>
          </w:tcPr>
          <w:p w14:paraId="60BE0002" w14:textId="7C6C34DC" w:rsidR="00A86F05" w:rsidRDefault="00A86F05" w:rsidP="00D27298">
            <w:pPr>
              <w:jc w:val="center"/>
              <w:rPr>
                <w:rFonts w:ascii="Arial" w:hAnsi="Arial" w:cs="Arial"/>
                <w:b/>
                <w:bCs/>
                <w:color w:val="auto"/>
                <w:sz w:val="28"/>
              </w:rPr>
            </w:pPr>
            <w:r>
              <w:rPr>
                <w:rFonts w:ascii="Arial" w:hAnsi="Arial" w:cs="Arial"/>
                <w:b/>
                <w:bCs/>
                <w:color w:val="auto"/>
                <w:sz w:val="28"/>
              </w:rPr>
              <w:t>IDES (AD/NAD)</w:t>
            </w:r>
          </w:p>
        </w:tc>
      </w:tr>
      <w:tr w:rsidR="00A86F05" w14:paraId="5AA59617" w14:textId="77777777" w:rsidTr="00BD1067">
        <w:trPr>
          <w:trHeight w:val="308"/>
          <w:jc w:val="center"/>
        </w:trPr>
        <w:tc>
          <w:tcPr>
            <w:tcW w:w="3960" w:type="dxa"/>
            <w:shd w:val="clear" w:color="auto" w:fill="auto"/>
            <w:vAlign w:val="center"/>
            <w:hideMark/>
          </w:tcPr>
          <w:p w14:paraId="2244A61A" w14:textId="77777777" w:rsidR="00A86F05" w:rsidRDefault="00A86F05" w:rsidP="00D27298">
            <w:pPr>
              <w:rPr>
                <w:rFonts w:ascii="Arial" w:hAnsi="Arial" w:cs="Arial"/>
                <w:b/>
                <w:color w:val="auto"/>
              </w:rPr>
            </w:pPr>
            <w:r>
              <w:rPr>
                <w:rFonts w:ascii="Arial" w:hAnsi="Arial" w:cs="Arial"/>
                <w:b/>
                <w:color w:val="auto"/>
              </w:rPr>
              <w:t xml:space="preserve">Claim Dev </w:t>
            </w:r>
          </w:p>
        </w:tc>
        <w:tc>
          <w:tcPr>
            <w:tcW w:w="3150" w:type="dxa"/>
          </w:tcPr>
          <w:p w14:paraId="04EB5F9D" w14:textId="3D74F862" w:rsidR="00A86F05" w:rsidRDefault="00A86F05" w:rsidP="00D27298">
            <w:pPr>
              <w:jc w:val="center"/>
              <w:rPr>
                <w:rFonts w:ascii="Arial" w:eastAsiaTheme="minorHAnsi" w:hAnsi="Arial" w:cs="Arial"/>
                <w:b/>
                <w:color w:val="auto"/>
              </w:rPr>
            </w:pPr>
            <w:r>
              <w:rPr>
                <w:rFonts w:ascii="Arial" w:eastAsiaTheme="minorHAnsi" w:hAnsi="Arial" w:cs="Arial"/>
                <w:b/>
                <w:color w:val="auto"/>
              </w:rPr>
              <w:t>5/11</w:t>
            </w:r>
          </w:p>
        </w:tc>
        <w:tc>
          <w:tcPr>
            <w:tcW w:w="3150" w:type="dxa"/>
            <w:shd w:val="clear" w:color="auto" w:fill="auto"/>
          </w:tcPr>
          <w:p w14:paraId="3EA4FDB3" w14:textId="1616A5F8" w:rsidR="00A86F05" w:rsidRDefault="00E271B2" w:rsidP="00D27298">
            <w:pPr>
              <w:jc w:val="center"/>
              <w:rPr>
                <w:rFonts w:ascii="Arial" w:eastAsiaTheme="minorHAnsi" w:hAnsi="Arial" w:cs="Arial"/>
                <w:b/>
                <w:color w:val="auto"/>
              </w:rPr>
            </w:pPr>
            <w:r>
              <w:rPr>
                <w:rFonts w:ascii="Arial" w:eastAsiaTheme="minorHAnsi" w:hAnsi="Arial" w:cs="Arial"/>
                <w:b/>
                <w:color w:val="auto"/>
              </w:rPr>
              <w:t>8/10</w:t>
            </w:r>
          </w:p>
        </w:tc>
      </w:tr>
      <w:tr w:rsidR="00A86F05" w14:paraId="705D898B" w14:textId="77777777" w:rsidTr="00BD1067">
        <w:trPr>
          <w:trHeight w:val="308"/>
          <w:jc w:val="center"/>
        </w:trPr>
        <w:tc>
          <w:tcPr>
            <w:tcW w:w="3960" w:type="dxa"/>
            <w:shd w:val="clear" w:color="auto" w:fill="auto"/>
            <w:vAlign w:val="center"/>
          </w:tcPr>
          <w:p w14:paraId="1D7BD6EF" w14:textId="77777777" w:rsidR="00A86F05" w:rsidRDefault="00A86F05" w:rsidP="00D27298">
            <w:pPr>
              <w:rPr>
                <w:rFonts w:ascii="Arial" w:hAnsi="Arial" w:cs="Arial"/>
                <w:b/>
                <w:color w:val="auto"/>
              </w:rPr>
            </w:pPr>
            <w:r>
              <w:rPr>
                <w:rFonts w:ascii="Arial" w:hAnsi="Arial" w:cs="Arial"/>
                <w:b/>
                <w:color w:val="auto"/>
              </w:rPr>
              <w:t>Medical Stage</w:t>
            </w:r>
          </w:p>
        </w:tc>
        <w:tc>
          <w:tcPr>
            <w:tcW w:w="3150" w:type="dxa"/>
          </w:tcPr>
          <w:p w14:paraId="5A7460A8" w14:textId="2C2FD712" w:rsidR="00A86F05" w:rsidRDefault="00A86F05" w:rsidP="00D27298">
            <w:pPr>
              <w:jc w:val="center"/>
              <w:rPr>
                <w:rFonts w:ascii="Arial" w:eastAsiaTheme="minorHAnsi" w:hAnsi="Arial" w:cs="Arial"/>
                <w:b/>
                <w:color w:val="auto"/>
              </w:rPr>
            </w:pPr>
            <w:r>
              <w:rPr>
                <w:rFonts w:ascii="Arial" w:eastAsiaTheme="minorHAnsi" w:hAnsi="Arial" w:cs="Arial"/>
                <w:b/>
                <w:color w:val="auto"/>
              </w:rPr>
              <w:t>32</w:t>
            </w:r>
          </w:p>
        </w:tc>
        <w:tc>
          <w:tcPr>
            <w:tcW w:w="3150" w:type="dxa"/>
            <w:shd w:val="clear" w:color="auto" w:fill="auto"/>
          </w:tcPr>
          <w:p w14:paraId="32F15BDA" w14:textId="124FC609" w:rsidR="00A86F05" w:rsidRDefault="009C6B78" w:rsidP="00D27298">
            <w:pPr>
              <w:jc w:val="center"/>
              <w:rPr>
                <w:rFonts w:ascii="Arial" w:eastAsiaTheme="minorHAnsi" w:hAnsi="Arial" w:cs="Arial"/>
                <w:b/>
                <w:color w:val="auto"/>
              </w:rPr>
            </w:pPr>
            <w:r>
              <w:rPr>
                <w:rFonts w:ascii="Arial" w:eastAsiaTheme="minorHAnsi" w:hAnsi="Arial" w:cs="Arial"/>
                <w:b/>
                <w:color w:val="auto"/>
              </w:rPr>
              <w:t>40/38</w:t>
            </w:r>
          </w:p>
        </w:tc>
      </w:tr>
      <w:tr w:rsidR="00A86F05" w14:paraId="455D0B21" w14:textId="77777777" w:rsidTr="00BD1067">
        <w:trPr>
          <w:trHeight w:val="308"/>
          <w:jc w:val="center"/>
        </w:trPr>
        <w:tc>
          <w:tcPr>
            <w:tcW w:w="3960" w:type="dxa"/>
            <w:shd w:val="clear" w:color="auto" w:fill="auto"/>
            <w:vAlign w:val="center"/>
            <w:hideMark/>
          </w:tcPr>
          <w:p w14:paraId="4F72810C" w14:textId="77777777" w:rsidR="00A86F05" w:rsidRDefault="00A86F05" w:rsidP="00D27298">
            <w:pPr>
              <w:rPr>
                <w:rFonts w:ascii="Arial" w:hAnsi="Arial" w:cs="Arial"/>
                <w:b/>
                <w:color w:val="auto"/>
              </w:rPr>
            </w:pPr>
            <w:r>
              <w:rPr>
                <w:rFonts w:ascii="Arial" w:hAnsi="Arial" w:cs="Arial"/>
                <w:b/>
                <w:color w:val="auto"/>
              </w:rPr>
              <w:t>Proposed Ratings</w:t>
            </w:r>
          </w:p>
        </w:tc>
        <w:tc>
          <w:tcPr>
            <w:tcW w:w="3150" w:type="dxa"/>
          </w:tcPr>
          <w:p w14:paraId="30D0A044" w14:textId="2B134311"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76CD8465" w14:textId="41188CF8" w:rsidR="00A86F05" w:rsidRDefault="009C6B78" w:rsidP="00D27298">
            <w:pPr>
              <w:jc w:val="center"/>
              <w:rPr>
                <w:rFonts w:ascii="Arial" w:eastAsiaTheme="minorHAnsi" w:hAnsi="Arial" w:cs="Arial"/>
                <w:b/>
                <w:color w:val="auto"/>
              </w:rPr>
            </w:pPr>
            <w:r>
              <w:rPr>
                <w:rFonts w:ascii="Arial" w:eastAsiaTheme="minorHAnsi" w:hAnsi="Arial" w:cs="Arial"/>
                <w:b/>
                <w:color w:val="auto"/>
              </w:rPr>
              <w:t>19/</w:t>
            </w:r>
            <w:r w:rsidR="0009278D">
              <w:rPr>
                <w:rFonts w:ascii="Arial" w:eastAsiaTheme="minorHAnsi" w:hAnsi="Arial" w:cs="Arial"/>
                <w:b/>
                <w:color w:val="auto"/>
              </w:rPr>
              <w:t>37</w:t>
            </w:r>
          </w:p>
        </w:tc>
      </w:tr>
      <w:tr w:rsidR="00A86F05" w14:paraId="5C603A05" w14:textId="77777777" w:rsidTr="00BD1067">
        <w:trPr>
          <w:trHeight w:val="308"/>
          <w:jc w:val="center"/>
        </w:trPr>
        <w:tc>
          <w:tcPr>
            <w:tcW w:w="3960" w:type="dxa"/>
            <w:shd w:val="clear" w:color="auto" w:fill="auto"/>
            <w:vAlign w:val="center"/>
            <w:hideMark/>
          </w:tcPr>
          <w:p w14:paraId="1D80D552" w14:textId="77777777" w:rsidR="00A86F05" w:rsidRDefault="00A86F05" w:rsidP="00D27298">
            <w:pPr>
              <w:rPr>
                <w:rFonts w:ascii="Arial" w:hAnsi="Arial" w:cs="Arial"/>
                <w:b/>
                <w:color w:val="auto"/>
              </w:rPr>
            </w:pPr>
            <w:r>
              <w:rPr>
                <w:rFonts w:ascii="Arial" w:hAnsi="Arial" w:cs="Arial"/>
                <w:b/>
                <w:color w:val="auto"/>
              </w:rPr>
              <w:t xml:space="preserve">Recon Ratings </w:t>
            </w:r>
          </w:p>
        </w:tc>
        <w:tc>
          <w:tcPr>
            <w:tcW w:w="3150" w:type="dxa"/>
          </w:tcPr>
          <w:p w14:paraId="167FB877" w14:textId="1D00AEA2" w:rsidR="00A86F05" w:rsidRDefault="00A86F05" w:rsidP="00D27298">
            <w:pPr>
              <w:jc w:val="center"/>
              <w:rPr>
                <w:rFonts w:ascii="Arial" w:eastAsiaTheme="minorHAnsi" w:hAnsi="Arial" w:cs="Arial"/>
                <w:b/>
                <w:color w:val="auto"/>
              </w:rPr>
            </w:pPr>
            <w:r>
              <w:rPr>
                <w:rFonts w:ascii="Arial" w:eastAsiaTheme="minorHAnsi" w:hAnsi="Arial" w:cs="Arial"/>
                <w:b/>
                <w:color w:val="auto"/>
              </w:rPr>
              <w:t>4</w:t>
            </w:r>
          </w:p>
        </w:tc>
        <w:tc>
          <w:tcPr>
            <w:tcW w:w="3150" w:type="dxa"/>
            <w:shd w:val="clear" w:color="auto" w:fill="auto"/>
          </w:tcPr>
          <w:p w14:paraId="72846694" w14:textId="57B6A95A" w:rsidR="00A86F05" w:rsidRDefault="001C0C67" w:rsidP="00D27298">
            <w:pPr>
              <w:jc w:val="center"/>
              <w:rPr>
                <w:rFonts w:ascii="Arial" w:eastAsiaTheme="minorHAnsi" w:hAnsi="Arial" w:cs="Arial"/>
                <w:b/>
                <w:color w:val="auto"/>
              </w:rPr>
            </w:pPr>
            <w:r>
              <w:rPr>
                <w:rFonts w:ascii="Arial" w:eastAsiaTheme="minorHAnsi" w:hAnsi="Arial" w:cs="Arial"/>
                <w:b/>
                <w:color w:val="auto"/>
              </w:rPr>
              <w:t>14/12</w:t>
            </w:r>
          </w:p>
        </w:tc>
      </w:tr>
      <w:tr w:rsidR="00A86F05" w14:paraId="78D66C0F" w14:textId="77777777" w:rsidTr="00BD1067">
        <w:trPr>
          <w:trHeight w:val="308"/>
          <w:jc w:val="center"/>
        </w:trPr>
        <w:tc>
          <w:tcPr>
            <w:tcW w:w="3960" w:type="dxa"/>
            <w:shd w:val="clear" w:color="auto" w:fill="auto"/>
            <w:vAlign w:val="center"/>
            <w:hideMark/>
          </w:tcPr>
          <w:p w14:paraId="729EAE33" w14:textId="77777777" w:rsidR="00A86F05" w:rsidRDefault="00A86F05" w:rsidP="00D27298">
            <w:pPr>
              <w:rPr>
                <w:rFonts w:ascii="Arial" w:hAnsi="Arial" w:cs="Arial"/>
                <w:b/>
                <w:color w:val="auto"/>
              </w:rPr>
            </w:pPr>
            <w:r>
              <w:rPr>
                <w:rFonts w:ascii="Arial" w:hAnsi="Arial" w:cs="Arial"/>
                <w:b/>
                <w:color w:val="auto"/>
              </w:rPr>
              <w:t>Exit Interviews</w:t>
            </w:r>
          </w:p>
        </w:tc>
        <w:tc>
          <w:tcPr>
            <w:tcW w:w="3150" w:type="dxa"/>
          </w:tcPr>
          <w:p w14:paraId="3D912EC4" w14:textId="3B06BAB4" w:rsidR="00A86F05" w:rsidRDefault="00A86F05" w:rsidP="00D27298">
            <w:pPr>
              <w:jc w:val="center"/>
              <w:rPr>
                <w:rFonts w:ascii="Arial" w:eastAsiaTheme="minorHAnsi" w:hAnsi="Arial" w:cs="Arial"/>
                <w:b/>
                <w:color w:val="auto"/>
              </w:rPr>
            </w:pPr>
            <w:r>
              <w:rPr>
                <w:rFonts w:ascii="Arial" w:eastAsiaTheme="minorHAnsi" w:hAnsi="Arial" w:cs="Arial"/>
                <w:b/>
                <w:color w:val="auto"/>
              </w:rPr>
              <w:t>14</w:t>
            </w:r>
          </w:p>
        </w:tc>
        <w:tc>
          <w:tcPr>
            <w:tcW w:w="3150" w:type="dxa"/>
            <w:shd w:val="clear" w:color="auto" w:fill="auto"/>
          </w:tcPr>
          <w:p w14:paraId="4C8DD94E" w14:textId="528D1D37" w:rsidR="00A86F05" w:rsidRDefault="00AC2003" w:rsidP="00D27298">
            <w:pPr>
              <w:jc w:val="center"/>
              <w:rPr>
                <w:rFonts w:ascii="Arial" w:eastAsiaTheme="minorHAnsi" w:hAnsi="Arial" w:cs="Arial"/>
                <w:b/>
                <w:color w:val="auto"/>
              </w:rPr>
            </w:pPr>
            <w:r>
              <w:rPr>
                <w:rFonts w:ascii="Arial" w:eastAsiaTheme="minorHAnsi" w:hAnsi="Arial" w:cs="Arial"/>
                <w:b/>
                <w:color w:val="auto"/>
              </w:rPr>
              <w:t>8/9</w:t>
            </w:r>
          </w:p>
        </w:tc>
      </w:tr>
      <w:tr w:rsidR="00A86F05" w14:paraId="721AE218" w14:textId="77777777" w:rsidTr="00BD1067">
        <w:trPr>
          <w:trHeight w:val="308"/>
          <w:jc w:val="center"/>
        </w:trPr>
        <w:tc>
          <w:tcPr>
            <w:tcW w:w="3960" w:type="dxa"/>
            <w:shd w:val="clear" w:color="auto" w:fill="auto"/>
            <w:vAlign w:val="center"/>
            <w:hideMark/>
          </w:tcPr>
          <w:p w14:paraId="54FC7CC6" w14:textId="77777777" w:rsidR="00A86F05" w:rsidRDefault="00A86F05" w:rsidP="00D27298">
            <w:pPr>
              <w:rPr>
                <w:rFonts w:ascii="Arial" w:hAnsi="Arial" w:cs="Arial"/>
                <w:b/>
                <w:color w:val="auto"/>
              </w:rPr>
            </w:pPr>
            <w:r>
              <w:rPr>
                <w:rFonts w:ascii="Arial" w:hAnsi="Arial" w:cs="Arial"/>
                <w:b/>
                <w:color w:val="auto"/>
              </w:rPr>
              <w:t>Final Ratings</w:t>
            </w:r>
          </w:p>
        </w:tc>
        <w:tc>
          <w:tcPr>
            <w:tcW w:w="3150" w:type="dxa"/>
          </w:tcPr>
          <w:p w14:paraId="16F37D7B" w14:textId="404A5787"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r w:rsidR="004313B2">
              <w:rPr>
                <w:rFonts w:ascii="Arial" w:eastAsiaTheme="minorHAnsi" w:hAnsi="Arial" w:cs="Arial"/>
                <w:b/>
                <w:color w:val="auto"/>
              </w:rPr>
              <w:t>/na</w:t>
            </w:r>
          </w:p>
        </w:tc>
        <w:tc>
          <w:tcPr>
            <w:tcW w:w="3150" w:type="dxa"/>
            <w:shd w:val="clear" w:color="auto" w:fill="auto"/>
          </w:tcPr>
          <w:p w14:paraId="754BA58C" w14:textId="3256C898" w:rsidR="00A86F05" w:rsidRDefault="00AC2003" w:rsidP="00D27298">
            <w:pPr>
              <w:jc w:val="center"/>
              <w:rPr>
                <w:rFonts w:ascii="Arial" w:eastAsiaTheme="minorHAnsi" w:hAnsi="Arial" w:cs="Arial"/>
                <w:b/>
                <w:color w:val="auto"/>
              </w:rPr>
            </w:pPr>
            <w:r>
              <w:rPr>
                <w:rFonts w:ascii="Arial" w:eastAsiaTheme="minorHAnsi" w:hAnsi="Arial" w:cs="Arial"/>
                <w:b/>
                <w:color w:val="auto"/>
              </w:rPr>
              <w:t>29</w:t>
            </w:r>
            <w:r w:rsidR="00A86F05">
              <w:rPr>
                <w:rFonts w:ascii="Arial" w:eastAsiaTheme="minorHAnsi" w:hAnsi="Arial" w:cs="Arial"/>
                <w:b/>
                <w:color w:val="auto"/>
              </w:rPr>
              <w:t>/na</w:t>
            </w:r>
          </w:p>
        </w:tc>
      </w:tr>
    </w:tbl>
    <w:p w14:paraId="0C60A4D7" w14:textId="6F2AE0E0" w:rsidR="00556B46" w:rsidRDefault="00556B46" w:rsidP="00556B46">
      <w:pPr>
        <w:ind w:left="1620"/>
        <w:rPr>
          <w:rFonts w:ascii="Arial" w:hAnsi="Arial" w:cs="Arial"/>
          <w:color w:val="auto"/>
        </w:rPr>
      </w:pPr>
      <w:r>
        <w:rPr>
          <w:rFonts w:ascii="Arial" w:hAnsi="Arial" w:cs="Arial"/>
          <w:b/>
          <w:color w:val="auto"/>
        </w:rPr>
        <w:t xml:space="preserve">            Source:</w:t>
      </w:r>
      <w:r>
        <w:rPr>
          <w:rFonts w:ascii="Arial" w:hAnsi="Arial" w:cs="Arial"/>
          <w:color w:val="auto"/>
        </w:rPr>
        <w:t xml:space="preserve">  VTA Completed Reports </w:t>
      </w:r>
      <w:r w:rsidR="002B7303">
        <w:rPr>
          <w:rFonts w:ascii="Arial" w:hAnsi="Arial" w:cs="Arial"/>
          <w:color w:val="auto"/>
        </w:rPr>
        <w:t>March</w:t>
      </w:r>
      <w:r w:rsidR="00AC2003">
        <w:rPr>
          <w:rFonts w:ascii="Arial" w:hAnsi="Arial" w:cs="Arial"/>
          <w:color w:val="auto"/>
        </w:rPr>
        <w:t xml:space="preserve"> 5</w:t>
      </w:r>
      <w:r>
        <w:rPr>
          <w:rFonts w:ascii="Arial" w:hAnsi="Arial" w:cs="Arial"/>
          <w:color w:val="auto"/>
        </w:rPr>
        <w:t>, 2020 (</w:t>
      </w:r>
      <w:r w:rsidR="00AC2003">
        <w:rPr>
          <w:rFonts w:ascii="Arial" w:hAnsi="Arial" w:cs="Arial"/>
          <w:color w:val="auto"/>
        </w:rPr>
        <w:t>7</w:t>
      </w:r>
      <w:r>
        <w:rPr>
          <w:rFonts w:ascii="Arial" w:hAnsi="Arial" w:cs="Arial"/>
          <w:color w:val="auto"/>
        </w:rPr>
        <w:t>am ET)</w:t>
      </w:r>
      <w:r w:rsidR="00DE23E6">
        <w:rPr>
          <w:rFonts w:ascii="Arial" w:hAnsi="Arial" w:cs="Arial"/>
          <w:color w:val="auto"/>
        </w:rPr>
        <w:t>.</w:t>
      </w:r>
    </w:p>
    <w:p w14:paraId="1D2EC8A5" w14:textId="5B01F027" w:rsidR="00BA63EC" w:rsidRDefault="00A24EA1" w:rsidP="003158DA">
      <w:pPr>
        <w:ind w:left="720"/>
        <w:rPr>
          <w:rFonts w:ascii="Arial" w:hAnsi="Arial" w:cs="Arial"/>
          <w:color w:val="auto"/>
        </w:rPr>
      </w:pPr>
      <w:r>
        <w:rPr>
          <w:rFonts w:ascii="Arial" w:hAnsi="Arial" w:cs="Arial"/>
          <w:b/>
          <w:color w:val="auto"/>
        </w:rPr>
        <w:t xml:space="preserve">                          </w:t>
      </w:r>
      <w:r w:rsidR="00BA63EC">
        <w:rPr>
          <w:rFonts w:ascii="Arial" w:hAnsi="Arial" w:cs="Arial"/>
          <w:b/>
          <w:color w:val="auto"/>
        </w:rPr>
        <w:t>Note:</w:t>
      </w:r>
      <w:r w:rsidR="00BA63EC">
        <w:rPr>
          <w:rFonts w:ascii="Arial" w:hAnsi="Arial" w:cs="Arial"/>
          <w:color w:val="auto"/>
        </w:rPr>
        <w:t xml:space="preserve"> VA is using the goals from the </w:t>
      </w:r>
      <w:r w:rsidR="002632BC">
        <w:rPr>
          <w:rFonts w:ascii="Arial" w:hAnsi="Arial" w:cs="Arial"/>
          <w:color w:val="auto"/>
        </w:rPr>
        <w:t>230-day</w:t>
      </w:r>
      <w:r w:rsidR="00BA63EC">
        <w:rPr>
          <w:rFonts w:ascii="Arial" w:hAnsi="Arial" w:cs="Arial"/>
          <w:color w:val="auto"/>
        </w:rPr>
        <w:t xml:space="preserve"> process</w:t>
      </w:r>
      <w:r w:rsidR="00DE23E6">
        <w:rPr>
          <w:rFonts w:ascii="Arial" w:hAnsi="Arial" w:cs="Arial"/>
          <w:color w:val="auto"/>
        </w:rPr>
        <w:t>.</w:t>
      </w:r>
    </w:p>
    <w:p w14:paraId="3589C23B" w14:textId="77777777" w:rsidR="00AB0EDE" w:rsidRDefault="00AB0EDE" w:rsidP="00352DED">
      <w:pPr>
        <w:rPr>
          <w:rFonts w:ascii="Arial" w:hAnsi="Arial" w:cs="Arial"/>
          <w:color w:val="auto"/>
          <w:sz w:val="22"/>
          <w:szCs w:val="22"/>
        </w:rPr>
      </w:pPr>
    </w:p>
    <w:p w14:paraId="78BD7131" w14:textId="3E13DAB0" w:rsidR="00A0458C" w:rsidRDefault="002A757B">
      <w:pPr>
        <w:pStyle w:val="Heading10"/>
        <w:rPr>
          <w:sz w:val="32"/>
        </w:rPr>
      </w:pPr>
      <w:bookmarkStart w:id="64" w:name="_Toc529446369"/>
      <w:bookmarkStart w:id="65" w:name="_Toc534285424"/>
      <w:bookmarkStart w:id="66" w:name="_Hlk534788642"/>
      <w:r>
        <w:rPr>
          <w:sz w:val="32"/>
        </w:rPr>
        <w:t>BDD Specific Topics</w:t>
      </w:r>
    </w:p>
    <w:bookmarkEnd w:id="64"/>
    <w:bookmarkEnd w:id="65"/>
    <w:bookmarkEnd w:id="66"/>
    <w:p w14:paraId="78BD7132" w14:textId="77777777" w:rsidR="00A0458C" w:rsidRDefault="00A0458C">
      <w:pPr>
        <w:rPr>
          <w:rFonts w:ascii="Arial" w:hAnsi="Arial" w:cs="Arial"/>
          <w:b/>
          <w:color w:val="1F497D" w:themeColor="text2"/>
          <w:u w:val="single"/>
        </w:rPr>
      </w:pPr>
    </w:p>
    <w:p w14:paraId="612D0957" w14:textId="77777777" w:rsidR="005F5482" w:rsidRPr="005F5482" w:rsidRDefault="005F5482" w:rsidP="005F5482">
      <w:pPr>
        <w:pStyle w:val="Heading10"/>
        <w:rPr>
          <w:bCs/>
          <w:color w:val="201F1E"/>
          <w:sz w:val="28"/>
          <w:szCs w:val="28"/>
        </w:rPr>
      </w:pPr>
      <w:r w:rsidRPr="005F5482">
        <w:rPr>
          <w:bCs/>
          <w:color w:val="201F1E"/>
          <w:sz w:val="28"/>
          <w:szCs w:val="28"/>
        </w:rPr>
        <w:t>Brokering BDD Claims</w:t>
      </w:r>
    </w:p>
    <w:p w14:paraId="17CC3A0E" w14:textId="05E32F20" w:rsidR="005F5482" w:rsidRPr="005F5482" w:rsidRDefault="005F5482" w:rsidP="005F5482">
      <w:pPr>
        <w:rPr>
          <w:rFonts w:ascii="Arial" w:hAnsi="Arial" w:cs="Arial"/>
          <w:color w:val="auto"/>
        </w:rPr>
      </w:pPr>
      <w:r w:rsidRPr="005F5482">
        <w:rPr>
          <w:rFonts w:ascii="Arial" w:hAnsi="Arial" w:cs="Arial"/>
        </w:rPr>
        <w:t xml:space="preserve">There have been reports of BDD claims held for 10 or more days and then brokered to other ROs due to the Servicemember living in the same state as the RO.  Per </w:t>
      </w:r>
      <w:hyperlink r:id="rId22" w:anchor="2" w:history="1">
        <w:r w:rsidRPr="005F5482">
          <w:rPr>
            <w:rStyle w:val="Hyperlink"/>
            <w:rFonts w:ascii="Arial" w:hAnsi="Arial" w:cs="Arial"/>
          </w:rPr>
          <w:t>M21-1, III.i.2.B.2.b</w:t>
        </w:r>
      </w:hyperlink>
      <w:r w:rsidRPr="005F5482">
        <w:rPr>
          <w:rStyle w:val="Hyperlink"/>
          <w:rFonts w:ascii="Arial" w:hAnsi="Arial" w:cs="Arial"/>
          <w:color w:val="auto"/>
          <w:u w:val="none"/>
        </w:rPr>
        <w:t xml:space="preserve">, all BDD claims received at an intake site must be developed by that intake site.  </w:t>
      </w:r>
    </w:p>
    <w:p w14:paraId="10DBF0B3" w14:textId="77777777" w:rsidR="005F5482" w:rsidRPr="005F5482" w:rsidRDefault="005F5482" w:rsidP="005F5482">
      <w:pPr>
        <w:rPr>
          <w:rFonts w:ascii="Arial" w:hAnsi="Arial" w:cs="Arial"/>
        </w:rPr>
      </w:pPr>
    </w:p>
    <w:p w14:paraId="60ADACB0" w14:textId="77777777" w:rsidR="005F5482" w:rsidRPr="005F5482" w:rsidRDefault="005F5482" w:rsidP="005F5482">
      <w:pPr>
        <w:rPr>
          <w:rFonts w:ascii="Arial" w:hAnsi="Arial" w:cs="Arial"/>
          <w:b/>
          <w:bCs/>
          <w:sz w:val="28"/>
          <w:szCs w:val="28"/>
          <w:u w:val="single"/>
        </w:rPr>
      </w:pPr>
      <w:r w:rsidRPr="005F5482">
        <w:rPr>
          <w:rFonts w:ascii="Arial" w:hAnsi="Arial" w:cs="Arial"/>
          <w:b/>
          <w:bCs/>
          <w:sz w:val="28"/>
          <w:szCs w:val="28"/>
          <w:u w:val="single"/>
        </w:rPr>
        <w:t>Transferring BDD Claims to Centralized Mail</w:t>
      </w:r>
    </w:p>
    <w:p w14:paraId="01C6B57B" w14:textId="77777777" w:rsidR="005F5482" w:rsidRPr="005F5482" w:rsidRDefault="005F5482" w:rsidP="005F5482">
      <w:pPr>
        <w:rPr>
          <w:rFonts w:ascii="Arial" w:hAnsi="Arial" w:cs="Arial"/>
          <w:color w:val="auto"/>
        </w:rPr>
      </w:pPr>
      <w:r w:rsidRPr="005F5482">
        <w:rPr>
          <w:rFonts w:ascii="Arial" w:hAnsi="Arial" w:cs="Arial"/>
        </w:rPr>
        <w:t xml:space="preserve">There have been reports in the past of BDD claims being shipped to Centralized Mail (CM).  If you are receiving BDD claims from other ROs via the CM portal without development, return these claims to the SOO/intake site and include the guidance from </w:t>
      </w:r>
      <w:hyperlink r:id="rId23" w:anchor="2" w:history="1">
        <w:r w:rsidRPr="005F5482">
          <w:rPr>
            <w:rStyle w:val="Hyperlink"/>
            <w:rFonts w:ascii="Arial" w:hAnsi="Arial" w:cs="Arial"/>
          </w:rPr>
          <w:t>M21-1, III.i.2.B.2.b</w:t>
        </w:r>
      </w:hyperlink>
      <w:r w:rsidRPr="005F5482">
        <w:rPr>
          <w:rFonts w:ascii="Arial" w:hAnsi="Arial" w:cs="Arial"/>
        </w:rPr>
        <w:t xml:space="preserve"> showing </w:t>
      </w:r>
      <w:r w:rsidRPr="005F5482">
        <w:rPr>
          <w:rStyle w:val="Hyperlink"/>
          <w:rFonts w:ascii="Arial" w:hAnsi="Arial" w:cs="Arial"/>
          <w:color w:val="auto"/>
          <w:u w:val="none"/>
        </w:rPr>
        <w:t xml:space="preserve">all BDD claims received at an intake site must be developed by that intake site.  </w:t>
      </w:r>
      <w:r w:rsidRPr="005F5482">
        <w:rPr>
          <w:rFonts w:ascii="Arial" w:hAnsi="Arial" w:cs="Arial"/>
        </w:rPr>
        <w:t xml:space="preserve">The SOO/intake site is responsible for the development and scanning of any incoming BDD claims.  Per </w:t>
      </w:r>
      <w:hyperlink r:id="rId24" w:anchor="2" w:history="1">
        <w:r w:rsidRPr="005F5482">
          <w:rPr>
            <w:rStyle w:val="Hyperlink"/>
            <w:rFonts w:ascii="Arial" w:hAnsi="Arial" w:cs="Arial"/>
          </w:rPr>
          <w:t>M21-1, III.i.2.B.2.b (Step 5)</w:t>
        </w:r>
      </w:hyperlink>
      <w:r w:rsidRPr="005F5482">
        <w:rPr>
          <w:rStyle w:val="Hyperlink"/>
          <w:rFonts w:ascii="Arial" w:hAnsi="Arial" w:cs="Arial"/>
          <w:color w:val="auto"/>
          <w:u w:val="none"/>
        </w:rPr>
        <w:t>, BDD claims documents are forwarded for VCIP scanning or scan the documents locally.  BDD claims documents must not be shipped to CM.</w:t>
      </w:r>
    </w:p>
    <w:p w14:paraId="3F2CE57C" w14:textId="77777777" w:rsidR="005F5482" w:rsidRPr="005F5482" w:rsidRDefault="005F5482" w:rsidP="005F5482">
      <w:pPr>
        <w:rPr>
          <w:rFonts w:ascii="Arial" w:hAnsi="Arial" w:cs="Arial"/>
        </w:rPr>
      </w:pPr>
    </w:p>
    <w:p w14:paraId="386C898F" w14:textId="77777777" w:rsidR="005F5482" w:rsidRPr="005F5482" w:rsidRDefault="005F5482" w:rsidP="005F5482">
      <w:pPr>
        <w:rPr>
          <w:rFonts w:ascii="Arial" w:hAnsi="Arial" w:cs="Arial"/>
          <w:b/>
          <w:bCs/>
          <w:sz w:val="28"/>
          <w:szCs w:val="28"/>
          <w:u w:val="single"/>
        </w:rPr>
      </w:pPr>
      <w:r w:rsidRPr="005F5482">
        <w:rPr>
          <w:rFonts w:ascii="Arial" w:hAnsi="Arial" w:cs="Arial"/>
          <w:b/>
          <w:bCs/>
          <w:sz w:val="28"/>
          <w:szCs w:val="28"/>
          <w:u w:val="single"/>
        </w:rPr>
        <w:t>Increasing Participation in the BDD Program</w:t>
      </w:r>
    </w:p>
    <w:p w14:paraId="36E616AE" w14:textId="378BB1AE" w:rsidR="005F5482" w:rsidRPr="005F5482" w:rsidRDefault="005F5482" w:rsidP="005F5482">
      <w:pPr>
        <w:rPr>
          <w:rFonts w:ascii="Arial" w:hAnsi="Arial" w:cs="Arial"/>
          <w:bCs/>
        </w:rPr>
      </w:pPr>
      <w:r w:rsidRPr="005F5482">
        <w:rPr>
          <w:rFonts w:ascii="Arial" w:hAnsi="Arial" w:cs="Arial"/>
          <w:bCs/>
        </w:rPr>
        <w:lastRenderedPageBreak/>
        <w:t xml:space="preserve">The BDD program has proven to be the fastest way to receive VA Benefits for transitioning Servicemembers; however, with an estimated 200k Servicemembers transitioning annually, the program has been </w:t>
      </w:r>
      <w:r w:rsidR="009347F3" w:rsidRPr="005F5482">
        <w:rPr>
          <w:rFonts w:ascii="Arial" w:hAnsi="Arial" w:cs="Arial"/>
          <w:bCs/>
        </w:rPr>
        <w:t>severely</w:t>
      </w:r>
      <w:r w:rsidRPr="005F5482">
        <w:rPr>
          <w:rFonts w:ascii="Arial" w:hAnsi="Arial" w:cs="Arial"/>
          <w:bCs/>
        </w:rPr>
        <w:t xml:space="preserve"> underutilized.  In FY2019, we received a total of 35k BDD claims, which only represents 18% of the estimated transitioning population.  Unfortunately, the BDD claim receipts as of today have not increased much compared to FY2019. </w:t>
      </w:r>
    </w:p>
    <w:p w14:paraId="3400E1FC" w14:textId="77777777" w:rsidR="005F5482" w:rsidRPr="005F5482" w:rsidRDefault="005F5482" w:rsidP="005F5482">
      <w:pPr>
        <w:rPr>
          <w:rFonts w:ascii="Arial" w:hAnsi="Arial" w:cs="Arial"/>
          <w:bCs/>
        </w:rPr>
      </w:pPr>
    </w:p>
    <w:p w14:paraId="20EA530C" w14:textId="77777777" w:rsidR="005F5482" w:rsidRPr="005F5482" w:rsidRDefault="005F5482" w:rsidP="005F5482">
      <w:pPr>
        <w:rPr>
          <w:rFonts w:ascii="Arial" w:hAnsi="Arial" w:cs="Arial"/>
        </w:rPr>
      </w:pPr>
      <w:r w:rsidRPr="005F5482">
        <w:rPr>
          <w:rFonts w:ascii="Arial" w:hAnsi="Arial" w:cs="Arial"/>
          <w:bCs/>
        </w:rPr>
        <w:t xml:space="preserve">Communication with the VACO Transition Assistance Program (TAP) Office, combined with a recent visit to the San Diego RO intake sites highlighted some of the possible reasons for the lack of participation.  The most common reason was that Servicemembers were unaware of the eligibility timeframe (180-90 days prior to discharge) to file their claim.  We are asking every RO and intake site to please reiterate the eligibility criteria (with an emphasis on the eligible timeframe) to transitioning Servicemembers at your location.  Your efforts will ensure otherwise eligible Servicemembers are not excluded due to filing their claim outside of the eligibility timeframe.  </w:t>
      </w:r>
    </w:p>
    <w:p w14:paraId="5880A64F" w14:textId="77777777" w:rsidR="005F5482" w:rsidRPr="005F5482" w:rsidRDefault="005F5482" w:rsidP="005F5482">
      <w:pPr>
        <w:pStyle w:val="Heading10"/>
        <w:rPr>
          <w:b w:val="0"/>
          <w:sz w:val="24"/>
          <w:u w:val="none"/>
        </w:rPr>
      </w:pPr>
    </w:p>
    <w:p w14:paraId="5A791251" w14:textId="77777777" w:rsidR="005F5482" w:rsidRPr="005F5482" w:rsidRDefault="005F5482" w:rsidP="005F5482">
      <w:pPr>
        <w:pStyle w:val="Heading10"/>
        <w:rPr>
          <w:color w:val="auto"/>
          <w:sz w:val="28"/>
        </w:rPr>
      </w:pPr>
      <w:r w:rsidRPr="005F5482">
        <w:rPr>
          <w:color w:val="auto"/>
          <w:sz w:val="28"/>
        </w:rPr>
        <w:t>BDD EPs and Claim Labels</w:t>
      </w:r>
    </w:p>
    <w:p w14:paraId="71C0A3A9" w14:textId="77777777" w:rsidR="005F5482" w:rsidRPr="005F5482" w:rsidRDefault="005F5482" w:rsidP="005F5482">
      <w:pPr>
        <w:rPr>
          <w:rFonts w:ascii="Arial" w:hAnsi="Arial" w:cs="Arial"/>
          <w:bCs/>
          <w:color w:val="201F1E"/>
          <w:szCs w:val="28"/>
        </w:rPr>
      </w:pPr>
      <w:r w:rsidRPr="005F5482">
        <w:rPr>
          <w:rFonts w:ascii="Arial" w:hAnsi="Arial" w:cs="Arial"/>
        </w:rPr>
        <w:t xml:space="preserve">There have been several instances of BDD and BDD-excluded claims establishment errors.  As a reminder, as directed in </w:t>
      </w:r>
      <w:hyperlink r:id="rId25" w:anchor="2a" w:history="1">
        <w:r w:rsidRPr="005F5482">
          <w:rPr>
            <w:rStyle w:val="Hyperlink"/>
            <w:rFonts w:ascii="Arial" w:hAnsi="Arial" w:cs="Arial"/>
          </w:rPr>
          <w:t>M21-1, III.i.2.A.2.c</w:t>
        </w:r>
      </w:hyperlink>
      <w:r w:rsidRPr="005F5482">
        <w:rPr>
          <w:rFonts w:ascii="Arial" w:hAnsi="Arial" w:cs="Arial"/>
        </w:rPr>
        <w:t xml:space="preserve">, all BDD claims must be established with a diary EP 336 with a </w:t>
      </w:r>
      <w:r w:rsidRPr="005F5482">
        <w:rPr>
          <w:rFonts w:ascii="Arial" w:hAnsi="Arial" w:cs="Arial"/>
          <w:i/>
        </w:rPr>
        <w:t xml:space="preserve">BDD </w:t>
      </w:r>
      <w:r w:rsidRPr="005F5482">
        <w:rPr>
          <w:rFonts w:ascii="Arial" w:hAnsi="Arial" w:cs="Arial"/>
        </w:rPr>
        <w:t>claim label.  The date of claim will be the day after the anticipated discharge date (RAD + 1).</w:t>
      </w:r>
    </w:p>
    <w:p w14:paraId="06537C5D" w14:textId="77777777" w:rsidR="005F5482" w:rsidRPr="005F5482" w:rsidRDefault="005F5482" w:rsidP="005F5482">
      <w:pPr>
        <w:rPr>
          <w:rFonts w:ascii="Arial" w:hAnsi="Arial" w:cs="Arial"/>
        </w:rPr>
      </w:pPr>
    </w:p>
    <w:p w14:paraId="4BD6B9E6" w14:textId="77777777" w:rsidR="005F5482" w:rsidRPr="005F5482" w:rsidRDefault="005F5482" w:rsidP="005F5482">
      <w:pPr>
        <w:rPr>
          <w:rFonts w:ascii="Arial" w:hAnsi="Arial" w:cs="Arial"/>
        </w:rPr>
      </w:pPr>
      <w:r w:rsidRPr="005F5482">
        <w:rPr>
          <w:rFonts w:ascii="Arial" w:hAnsi="Arial" w:cs="Arial"/>
        </w:rPr>
        <w:t xml:space="preserve">After the examinations have been requested and if no other development is required, the EP 336 must be changed to the appropriate rating EP and BDD claim label as shown in </w:t>
      </w:r>
      <w:hyperlink r:id="rId26" w:anchor="2a" w:history="1">
        <w:r w:rsidRPr="005F5482">
          <w:rPr>
            <w:rStyle w:val="Hyperlink"/>
            <w:rFonts w:ascii="Arial" w:hAnsi="Arial" w:cs="Arial"/>
          </w:rPr>
          <w:t>M21-1, III.i.2.A.2.d</w:t>
        </w:r>
      </w:hyperlink>
      <w:r w:rsidRPr="005F5482">
        <w:rPr>
          <w:rFonts w:ascii="Arial" w:hAnsi="Arial" w:cs="Arial"/>
        </w:rPr>
        <w:t xml:space="preserve"> and below.</w:t>
      </w:r>
    </w:p>
    <w:p w14:paraId="07A69CA7" w14:textId="77777777" w:rsidR="005F5482" w:rsidRPr="005F5482" w:rsidRDefault="005F5482" w:rsidP="005F5482">
      <w:pPr>
        <w:rPr>
          <w:rFonts w:ascii="Arial" w:hAnsi="Arial" w:cs="Arial"/>
        </w:rPr>
      </w:pPr>
    </w:p>
    <w:tbl>
      <w:tblPr>
        <w:tblW w:w="76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Column 1 provides the claim type, column 2 provides the BDD EP and claim label."/>
      </w:tblPr>
      <w:tblGrid>
        <w:gridCol w:w="3825"/>
        <w:gridCol w:w="3825"/>
      </w:tblGrid>
      <w:tr w:rsidR="005F5482" w:rsidRPr="005F5482" w14:paraId="6A34CFCB" w14:textId="77777777" w:rsidTr="00AB1B0F">
        <w:trPr>
          <w:tblHeader/>
          <w:tblCellSpacing w:w="0" w:type="dxa"/>
          <w:jc w:val="center"/>
        </w:trPr>
        <w:tc>
          <w:tcPr>
            <w:tcW w:w="3825" w:type="dxa"/>
            <w:shd w:val="clear" w:color="auto" w:fill="00B0F0"/>
            <w:vAlign w:val="center"/>
            <w:hideMark/>
          </w:tcPr>
          <w:p w14:paraId="1DD45BF5" w14:textId="18FA3685" w:rsidR="005F5482" w:rsidRPr="005F5482" w:rsidRDefault="005F5482" w:rsidP="00AB1B0F">
            <w:pPr>
              <w:jc w:val="center"/>
              <w:rPr>
                <w:rFonts w:ascii="Arial" w:hAnsi="Arial" w:cs="Arial"/>
                <w:b/>
                <w:bCs/>
              </w:rPr>
            </w:pPr>
            <w:r w:rsidRPr="005F5482">
              <w:rPr>
                <w:rFonts w:ascii="Arial" w:hAnsi="Arial" w:cs="Arial"/>
                <w:b/>
                <w:bCs/>
              </w:rPr>
              <w:t>Claim Type</w:t>
            </w:r>
          </w:p>
        </w:tc>
        <w:tc>
          <w:tcPr>
            <w:tcW w:w="3825" w:type="dxa"/>
            <w:shd w:val="clear" w:color="auto" w:fill="00B0F0"/>
            <w:vAlign w:val="center"/>
            <w:hideMark/>
          </w:tcPr>
          <w:p w14:paraId="76D87CB3" w14:textId="77777777" w:rsidR="005F5482" w:rsidRPr="005F5482" w:rsidRDefault="005F5482" w:rsidP="00AB1B0F">
            <w:pPr>
              <w:jc w:val="center"/>
              <w:rPr>
                <w:rFonts w:ascii="Arial" w:hAnsi="Arial" w:cs="Arial"/>
                <w:b/>
                <w:bCs/>
              </w:rPr>
            </w:pPr>
            <w:r w:rsidRPr="005F5482">
              <w:rPr>
                <w:rFonts w:ascii="Arial" w:hAnsi="Arial" w:cs="Arial"/>
                <w:b/>
                <w:bCs/>
              </w:rPr>
              <w:t>BDD EP - Claim Label</w:t>
            </w:r>
          </w:p>
        </w:tc>
      </w:tr>
      <w:tr w:rsidR="005F5482" w:rsidRPr="005F5482" w14:paraId="560E4D0E" w14:textId="77777777" w:rsidTr="00AB1B0F">
        <w:trPr>
          <w:tblCellSpacing w:w="0" w:type="dxa"/>
          <w:jc w:val="center"/>
        </w:trPr>
        <w:tc>
          <w:tcPr>
            <w:tcW w:w="3825" w:type="dxa"/>
            <w:vAlign w:val="center"/>
            <w:hideMark/>
          </w:tcPr>
          <w:p w14:paraId="071486D3" w14:textId="77777777" w:rsidR="005F5482" w:rsidRPr="005F5482" w:rsidRDefault="005F5482" w:rsidP="00AB1B0F">
            <w:pPr>
              <w:rPr>
                <w:rFonts w:ascii="Arial" w:hAnsi="Arial" w:cs="Arial"/>
              </w:rPr>
            </w:pPr>
            <w:r w:rsidRPr="005F5482">
              <w:rPr>
                <w:rFonts w:ascii="Arial" w:hAnsi="Arial" w:cs="Arial"/>
              </w:rPr>
              <w:t>original</w:t>
            </w:r>
          </w:p>
        </w:tc>
        <w:tc>
          <w:tcPr>
            <w:tcW w:w="3825" w:type="dxa"/>
            <w:vAlign w:val="center"/>
            <w:hideMark/>
          </w:tcPr>
          <w:p w14:paraId="39850B98" w14:textId="77777777" w:rsidR="005F5482" w:rsidRPr="005F5482" w:rsidRDefault="005F5482" w:rsidP="005F5482">
            <w:pPr>
              <w:numPr>
                <w:ilvl w:val="0"/>
                <w:numId w:val="23"/>
              </w:numPr>
              <w:spacing w:before="100" w:beforeAutospacing="1" w:after="100" w:afterAutospacing="1"/>
              <w:rPr>
                <w:rFonts w:ascii="Arial" w:hAnsi="Arial" w:cs="Arial"/>
              </w:rPr>
            </w:pPr>
            <w:r w:rsidRPr="005F5482">
              <w:rPr>
                <w:rFonts w:ascii="Arial" w:hAnsi="Arial" w:cs="Arial"/>
                <w:i/>
                <w:iCs/>
              </w:rPr>
              <w:t>110 - BDD-Initial</w:t>
            </w:r>
            <w:r w:rsidRPr="005F5482">
              <w:rPr>
                <w:rFonts w:ascii="Arial" w:hAnsi="Arial" w:cs="Arial"/>
              </w:rPr>
              <w:t>, or</w:t>
            </w:r>
          </w:p>
          <w:p w14:paraId="401A8FE0" w14:textId="77777777" w:rsidR="005F5482" w:rsidRPr="005F5482" w:rsidRDefault="005F5482" w:rsidP="005F5482">
            <w:pPr>
              <w:numPr>
                <w:ilvl w:val="0"/>
                <w:numId w:val="23"/>
              </w:numPr>
              <w:spacing w:before="100" w:beforeAutospacing="1" w:after="100" w:afterAutospacing="1"/>
              <w:rPr>
                <w:rFonts w:ascii="Arial" w:hAnsi="Arial" w:cs="Arial"/>
              </w:rPr>
            </w:pPr>
            <w:r w:rsidRPr="005F5482">
              <w:rPr>
                <w:rFonts w:ascii="Arial" w:hAnsi="Arial" w:cs="Arial"/>
                <w:i/>
                <w:iCs/>
              </w:rPr>
              <w:t>010 - BDD-Initial 8+ issues</w:t>
            </w:r>
          </w:p>
        </w:tc>
      </w:tr>
      <w:tr w:rsidR="005F5482" w:rsidRPr="005F5482" w14:paraId="52C1B859" w14:textId="77777777" w:rsidTr="00AB1B0F">
        <w:trPr>
          <w:tblCellSpacing w:w="0" w:type="dxa"/>
          <w:jc w:val="center"/>
        </w:trPr>
        <w:tc>
          <w:tcPr>
            <w:tcW w:w="3825" w:type="dxa"/>
            <w:vAlign w:val="center"/>
            <w:hideMark/>
          </w:tcPr>
          <w:p w14:paraId="7DAEF344" w14:textId="77777777" w:rsidR="005F5482" w:rsidRPr="005F5482" w:rsidRDefault="005F5482" w:rsidP="005F5482">
            <w:pPr>
              <w:numPr>
                <w:ilvl w:val="0"/>
                <w:numId w:val="24"/>
              </w:numPr>
              <w:spacing w:before="100" w:beforeAutospacing="1" w:after="100" w:afterAutospacing="1"/>
              <w:rPr>
                <w:rFonts w:ascii="Arial" w:hAnsi="Arial" w:cs="Arial"/>
              </w:rPr>
            </w:pPr>
            <w:r w:rsidRPr="005F5482">
              <w:rPr>
                <w:rFonts w:ascii="Arial" w:hAnsi="Arial" w:cs="Arial"/>
              </w:rPr>
              <w:t>new SC</w:t>
            </w:r>
          </w:p>
          <w:p w14:paraId="3BB76819" w14:textId="77777777" w:rsidR="005F5482" w:rsidRPr="005F5482" w:rsidRDefault="005F5482" w:rsidP="005F5482">
            <w:pPr>
              <w:numPr>
                <w:ilvl w:val="0"/>
                <w:numId w:val="24"/>
              </w:numPr>
              <w:spacing w:before="100" w:beforeAutospacing="1" w:after="100" w:afterAutospacing="1"/>
              <w:rPr>
                <w:rFonts w:ascii="Arial" w:hAnsi="Arial" w:cs="Arial"/>
              </w:rPr>
            </w:pPr>
            <w:r w:rsidRPr="005F5482">
              <w:rPr>
                <w:rFonts w:ascii="Arial" w:hAnsi="Arial" w:cs="Arial"/>
              </w:rPr>
              <w:t>reopened, or</w:t>
            </w:r>
          </w:p>
          <w:p w14:paraId="06214C3F" w14:textId="77777777" w:rsidR="005F5482" w:rsidRPr="005F5482" w:rsidRDefault="005F5482" w:rsidP="005F5482">
            <w:pPr>
              <w:numPr>
                <w:ilvl w:val="0"/>
                <w:numId w:val="24"/>
              </w:numPr>
              <w:spacing w:before="100" w:beforeAutospacing="1" w:after="100" w:afterAutospacing="1"/>
              <w:rPr>
                <w:rFonts w:ascii="Arial" w:hAnsi="Arial" w:cs="Arial"/>
              </w:rPr>
            </w:pPr>
            <w:r w:rsidRPr="005F5482">
              <w:rPr>
                <w:rFonts w:ascii="Arial" w:hAnsi="Arial" w:cs="Arial"/>
              </w:rPr>
              <w:t>increased evaluation</w:t>
            </w:r>
          </w:p>
        </w:tc>
        <w:tc>
          <w:tcPr>
            <w:tcW w:w="3825" w:type="dxa"/>
            <w:vAlign w:val="center"/>
            <w:hideMark/>
          </w:tcPr>
          <w:p w14:paraId="4676B31A" w14:textId="77777777" w:rsidR="005F5482" w:rsidRPr="005F5482" w:rsidRDefault="005F5482" w:rsidP="00AB1B0F">
            <w:pPr>
              <w:rPr>
                <w:rFonts w:ascii="Arial" w:eastAsiaTheme="minorHAnsi" w:hAnsi="Arial" w:cs="Arial"/>
              </w:rPr>
            </w:pPr>
            <w:r w:rsidRPr="005F5482">
              <w:rPr>
                <w:rFonts w:ascii="Arial" w:hAnsi="Arial" w:cs="Arial"/>
                <w:i/>
                <w:iCs/>
              </w:rPr>
              <w:t>020 - BDD-Supplemental</w:t>
            </w:r>
          </w:p>
        </w:tc>
      </w:tr>
    </w:tbl>
    <w:p w14:paraId="6CCA083E" w14:textId="77777777" w:rsidR="005F5482" w:rsidRPr="005F5482" w:rsidRDefault="005F5482" w:rsidP="005F5482">
      <w:pPr>
        <w:rPr>
          <w:rFonts w:ascii="Arial" w:eastAsiaTheme="minorHAnsi" w:hAnsi="Arial" w:cs="Arial"/>
        </w:rPr>
      </w:pPr>
    </w:p>
    <w:p w14:paraId="1DAB3188" w14:textId="77777777" w:rsidR="005F5482" w:rsidRPr="005F5482" w:rsidRDefault="005F5482" w:rsidP="005F5482">
      <w:pPr>
        <w:rPr>
          <w:rFonts w:ascii="Arial" w:hAnsi="Arial" w:cs="Arial"/>
        </w:rPr>
      </w:pPr>
      <w:r w:rsidRPr="005F5482">
        <w:rPr>
          <w:rFonts w:ascii="Arial" w:hAnsi="Arial" w:cs="Arial"/>
        </w:rPr>
        <w:t>If a claim is already pending and another claim is submitted electronically, then the system will establish one of the below EP 400s.</w:t>
      </w:r>
    </w:p>
    <w:p w14:paraId="4B97DD63" w14:textId="77777777" w:rsidR="005F5482" w:rsidRPr="005F5482" w:rsidRDefault="005F5482" w:rsidP="005F5482">
      <w:pPr>
        <w:numPr>
          <w:ilvl w:val="0"/>
          <w:numId w:val="25"/>
        </w:numPr>
        <w:spacing w:before="100" w:beforeAutospacing="1" w:after="100" w:afterAutospacing="1"/>
        <w:rPr>
          <w:rFonts w:ascii="Arial" w:hAnsi="Arial" w:cs="Arial"/>
        </w:rPr>
      </w:pPr>
      <w:r w:rsidRPr="005F5482">
        <w:rPr>
          <w:rFonts w:ascii="Arial" w:hAnsi="Arial" w:cs="Arial"/>
          <w:i/>
          <w:iCs/>
        </w:rPr>
        <w:t>400 - eBenefits 526EZ-Pre-Discharge (400)</w:t>
      </w:r>
      <w:r w:rsidRPr="005F5482">
        <w:rPr>
          <w:rFonts w:ascii="Arial" w:hAnsi="Arial" w:cs="Arial"/>
        </w:rPr>
        <w:t>, and</w:t>
      </w:r>
    </w:p>
    <w:p w14:paraId="1C14F489" w14:textId="77777777" w:rsidR="005F5482" w:rsidRPr="005F5482" w:rsidRDefault="005F5482" w:rsidP="005F5482">
      <w:pPr>
        <w:pStyle w:val="ListParagraph"/>
        <w:numPr>
          <w:ilvl w:val="0"/>
          <w:numId w:val="25"/>
        </w:numPr>
        <w:contextualSpacing w:val="0"/>
        <w:rPr>
          <w:rFonts w:ascii="Arial" w:hAnsi="Arial" w:cs="Arial"/>
        </w:rPr>
      </w:pPr>
      <w:r w:rsidRPr="005F5482">
        <w:rPr>
          <w:rFonts w:ascii="Arial" w:hAnsi="Arial" w:cs="Arial"/>
          <w:i/>
          <w:iCs/>
        </w:rPr>
        <w:t>400 - D2D-Pre-Discharge (400).</w:t>
      </w:r>
    </w:p>
    <w:p w14:paraId="6AF5EFE1" w14:textId="77777777" w:rsidR="005F5482" w:rsidRPr="005F5482" w:rsidRDefault="005F5482" w:rsidP="005F5482">
      <w:pPr>
        <w:rPr>
          <w:rFonts w:ascii="Arial" w:eastAsiaTheme="minorHAnsi" w:hAnsi="Arial" w:cs="Arial"/>
        </w:rPr>
      </w:pPr>
    </w:p>
    <w:p w14:paraId="780068D8" w14:textId="55757CD4" w:rsidR="005F5482" w:rsidRPr="005F5482" w:rsidRDefault="005F5482" w:rsidP="005F5482">
      <w:pPr>
        <w:rPr>
          <w:rFonts w:ascii="Arial" w:eastAsiaTheme="minorHAnsi" w:hAnsi="Arial" w:cs="Arial"/>
        </w:rPr>
      </w:pPr>
      <w:r w:rsidRPr="005F5482">
        <w:rPr>
          <w:rFonts w:ascii="Arial" w:eastAsiaTheme="minorHAnsi" w:hAnsi="Arial" w:cs="Arial"/>
        </w:rPr>
        <w:t xml:space="preserve">There is a list of </w:t>
      </w:r>
      <w:hyperlink r:id="rId27" w:history="1">
        <w:r w:rsidRPr="005F5482">
          <w:rPr>
            <w:rStyle w:val="Hyperlink"/>
            <w:rFonts w:ascii="Arial" w:hAnsi="Arial" w:cs="Arial"/>
          </w:rPr>
          <w:t>BDD EPs and Claim Labels/Tableau Claim Label Codes</w:t>
        </w:r>
      </w:hyperlink>
      <w:r w:rsidRPr="005F5482">
        <w:rPr>
          <w:rFonts w:ascii="Arial" w:hAnsi="Arial" w:cs="Arial"/>
        </w:rPr>
        <w:t xml:space="preserve"> on the </w:t>
      </w:r>
      <w:hyperlink r:id="rId28" w:history="1">
        <w:r w:rsidRPr="005F5482">
          <w:rPr>
            <w:rStyle w:val="Hyperlink"/>
            <w:rFonts w:ascii="Arial" w:hAnsi="Arial" w:cs="Arial"/>
          </w:rPr>
          <w:t>Pre-Discharge Intranet site</w:t>
        </w:r>
      </w:hyperlink>
      <w:r w:rsidRPr="005F5482">
        <w:rPr>
          <w:rFonts w:ascii="Arial" w:hAnsi="Arial" w:cs="Arial"/>
        </w:rPr>
        <w:t xml:space="preserve"> which </w:t>
      </w:r>
      <w:r w:rsidRPr="005F5482">
        <w:rPr>
          <w:rFonts w:ascii="Arial" w:eastAsiaTheme="minorHAnsi" w:hAnsi="Arial" w:cs="Arial"/>
        </w:rPr>
        <w:t>includes D2D, SEP, and eBenefits claim labels and the corresponding Tableau claim label code found in Tableau generated reports.  While some of the attached claim labels may have been discontinued,</w:t>
      </w:r>
      <w:r>
        <w:rPr>
          <w:rFonts w:ascii="Arial" w:eastAsiaTheme="minorHAnsi" w:hAnsi="Arial" w:cs="Arial"/>
        </w:rPr>
        <w:t xml:space="preserve"> this</w:t>
      </w:r>
      <w:r w:rsidRPr="005F5482">
        <w:rPr>
          <w:rFonts w:ascii="Arial" w:eastAsiaTheme="minorHAnsi" w:hAnsi="Arial" w:cs="Arial"/>
        </w:rPr>
        <w:t xml:space="preserve"> list </w:t>
      </w:r>
      <w:r>
        <w:rPr>
          <w:rFonts w:ascii="Arial" w:eastAsiaTheme="minorHAnsi" w:hAnsi="Arial" w:cs="Arial"/>
        </w:rPr>
        <w:t xml:space="preserve">can be used </w:t>
      </w:r>
      <w:r w:rsidRPr="005F5482">
        <w:rPr>
          <w:rFonts w:ascii="Arial" w:eastAsiaTheme="minorHAnsi" w:hAnsi="Arial" w:cs="Arial"/>
        </w:rPr>
        <w:t xml:space="preserve">as a reference to identify all BDD claims routed to your RO including any outliers when running Tableau reports.  </w:t>
      </w:r>
    </w:p>
    <w:p w14:paraId="42C32C11" w14:textId="77777777" w:rsidR="005F5482" w:rsidRPr="005F5482" w:rsidRDefault="005F5482" w:rsidP="005F5482">
      <w:pPr>
        <w:rPr>
          <w:rFonts w:ascii="Arial" w:eastAsiaTheme="minorHAnsi" w:hAnsi="Arial" w:cs="Arial"/>
        </w:rPr>
      </w:pPr>
    </w:p>
    <w:p w14:paraId="547E5CEB" w14:textId="77777777" w:rsidR="005F5482" w:rsidRPr="005F5482" w:rsidRDefault="005F5482" w:rsidP="005F5482">
      <w:pPr>
        <w:rPr>
          <w:rFonts w:ascii="Arial" w:hAnsi="Arial" w:cs="Arial"/>
          <w:bCs/>
          <w:color w:val="201F1E"/>
          <w:szCs w:val="28"/>
        </w:rPr>
      </w:pPr>
      <w:r w:rsidRPr="005F5482">
        <w:rPr>
          <w:rFonts w:ascii="Arial" w:hAnsi="Arial" w:cs="Arial"/>
          <w:bCs/>
          <w:color w:val="201F1E"/>
        </w:rPr>
        <w:lastRenderedPageBreak/>
        <w:t>As a reminder, all BDD-Excluded claims mu</w:t>
      </w:r>
      <w:r w:rsidRPr="005F5482">
        <w:rPr>
          <w:rFonts w:ascii="Arial" w:hAnsi="Arial" w:cs="Arial"/>
          <w:bCs/>
          <w:color w:val="201F1E"/>
          <w:szCs w:val="28"/>
        </w:rPr>
        <w:t xml:space="preserve">st be established with an EP 010, 110, or 020 as appropriate to the claim type (original &lt;8 issues, original 8+ issues, new, increase, or reopen) per </w:t>
      </w:r>
      <w:hyperlink r:id="rId29" w:anchor="2a" w:history="1">
        <w:r w:rsidRPr="005F5482">
          <w:rPr>
            <w:rStyle w:val="Hyperlink"/>
            <w:rFonts w:ascii="Arial" w:hAnsi="Arial" w:cs="Arial"/>
            <w:bCs/>
            <w:szCs w:val="28"/>
          </w:rPr>
          <w:t>M21-1, III.i.2.A.2.h</w:t>
        </w:r>
      </w:hyperlink>
      <w:r w:rsidRPr="005F5482">
        <w:rPr>
          <w:rFonts w:ascii="Arial" w:hAnsi="Arial" w:cs="Arial"/>
          <w:bCs/>
          <w:color w:val="201F1E"/>
          <w:szCs w:val="28"/>
        </w:rPr>
        <w:t xml:space="preserve">.  Then, attach an appropriate non-BDD claim label.  For example, an original BDD-Excluded claim with eight or more issues would be established as a diary EP 010 with an </w:t>
      </w:r>
      <w:r w:rsidRPr="005F5482">
        <w:rPr>
          <w:rFonts w:ascii="Arial" w:hAnsi="Arial" w:cs="Arial"/>
          <w:bCs/>
          <w:i/>
          <w:color w:val="201F1E"/>
          <w:szCs w:val="28"/>
        </w:rPr>
        <w:t>Initial Compensation 8+ Issues</w:t>
      </w:r>
      <w:r w:rsidRPr="005F5482">
        <w:rPr>
          <w:rFonts w:ascii="Arial" w:hAnsi="Arial" w:cs="Arial"/>
          <w:bCs/>
          <w:color w:val="201F1E"/>
          <w:szCs w:val="28"/>
        </w:rPr>
        <w:t xml:space="preserve"> claim label.</w:t>
      </w:r>
    </w:p>
    <w:p w14:paraId="0EBF8DEC" w14:textId="77777777" w:rsidR="005F5482" w:rsidRPr="005F5482" w:rsidRDefault="005F5482" w:rsidP="005F5482">
      <w:pPr>
        <w:rPr>
          <w:rFonts w:ascii="Arial" w:hAnsi="Arial" w:cs="Arial"/>
          <w:bCs/>
          <w:color w:val="201F1E"/>
          <w:szCs w:val="28"/>
        </w:rPr>
      </w:pPr>
    </w:p>
    <w:p w14:paraId="78BD7152" w14:textId="6369B3A8" w:rsidR="00A0458C" w:rsidRPr="005F5482" w:rsidRDefault="002A757B">
      <w:pPr>
        <w:pStyle w:val="Heading20"/>
      </w:pPr>
      <w:bookmarkStart w:id="67" w:name="_Toc529446373"/>
      <w:bookmarkStart w:id="68" w:name="_Toc534285426"/>
      <w:r w:rsidRPr="005F5482">
        <w:t>Current BDD Program Timeliness</w:t>
      </w:r>
      <w:bookmarkEnd w:id="67"/>
      <w:bookmarkEnd w:id="68"/>
      <w:r w:rsidR="00C000E1" w:rsidRPr="005F5482">
        <w:t xml:space="preserve"> </w:t>
      </w:r>
    </w:p>
    <w:p w14:paraId="78BD7153" w14:textId="5E2340AE"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w:t>
      </w:r>
      <w:r w:rsidR="001A44F6" w:rsidRPr="005F5482">
        <w:rPr>
          <w:rFonts w:ascii="Arial" w:hAnsi="Arial" w:cs="Arial"/>
          <w:color w:val="auto"/>
        </w:rPr>
        <w:t>March 5</w:t>
      </w:r>
      <w:r w:rsidRPr="005F5482">
        <w:rPr>
          <w:rFonts w:ascii="Arial" w:hAnsi="Arial" w:cs="Arial"/>
          <w:color w:val="auto"/>
        </w:rPr>
        <w:t>, 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69" w:name="_Toc529446375"/>
      <w:bookmarkStart w:id="70"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B6130C">
        <w:trPr>
          <w:trHeight w:val="260"/>
          <w:jc w:val="center"/>
        </w:trPr>
        <w:tc>
          <w:tcPr>
            <w:tcW w:w="3960" w:type="dxa"/>
            <w:shd w:val="clear" w:color="auto" w:fill="auto"/>
            <w:vAlign w:val="center"/>
            <w:hideMark/>
          </w:tcPr>
          <w:p w14:paraId="3103E962" w14:textId="196AD5DB" w:rsidR="0094497E" w:rsidRPr="00873C05" w:rsidRDefault="0094497E" w:rsidP="00396FFD">
            <w:pPr>
              <w:jc w:val="center"/>
              <w:rPr>
                <w:rFonts w:ascii="Arial" w:hAnsi="Arial" w:cs="Arial"/>
                <w:b/>
                <w:color w:val="auto"/>
                <w:sz w:val="28"/>
              </w:rPr>
            </w:pPr>
            <w:r>
              <w:rPr>
                <w:rFonts w:ascii="Arial" w:hAnsi="Arial" w:cs="Arial"/>
                <w:color w:val="auto"/>
                <w:sz w:val="28"/>
              </w:rPr>
              <w:br w:type="page"/>
            </w:r>
            <w:r w:rsidR="002B7303" w:rsidRPr="00873C05">
              <w:rPr>
                <w:rFonts w:ascii="Arial" w:hAnsi="Arial" w:cs="Arial"/>
                <w:b/>
                <w:color w:val="auto"/>
                <w:sz w:val="28"/>
              </w:rPr>
              <w:t>March</w:t>
            </w:r>
            <w:r w:rsidR="00873C05" w:rsidRPr="00873C05">
              <w:rPr>
                <w:rFonts w:ascii="Arial" w:hAnsi="Arial" w:cs="Arial"/>
                <w:b/>
                <w:color w:val="auto"/>
                <w:sz w:val="28"/>
              </w:rPr>
              <w:t xml:space="preserve"> 5, </w:t>
            </w:r>
            <w:r w:rsidRPr="00873C05">
              <w:rPr>
                <w:rFonts w:ascii="Arial" w:hAnsi="Arial" w:cs="Arial"/>
                <w:b/>
                <w:color w:val="auto"/>
                <w:sz w:val="28"/>
              </w:rPr>
              <w:t>2020</w:t>
            </w:r>
          </w:p>
        </w:tc>
        <w:tc>
          <w:tcPr>
            <w:tcW w:w="3150" w:type="dxa"/>
          </w:tcPr>
          <w:p w14:paraId="536231FD" w14:textId="167517F3" w:rsidR="0094497E" w:rsidRDefault="0094497E" w:rsidP="00396FFD">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72E4ECED" w:rsidR="0094497E" w:rsidRDefault="0094497E" w:rsidP="00396FFD">
            <w:pPr>
              <w:jc w:val="center"/>
              <w:rPr>
                <w:rFonts w:ascii="Arial" w:hAnsi="Arial" w:cs="Arial"/>
                <w:b/>
                <w:bCs/>
                <w:color w:val="auto"/>
                <w:sz w:val="28"/>
              </w:rPr>
            </w:pPr>
            <w:r>
              <w:rPr>
                <w:rFonts w:ascii="Arial" w:hAnsi="Arial" w:cs="Arial"/>
                <w:b/>
                <w:bCs/>
                <w:color w:val="auto"/>
                <w:sz w:val="28"/>
              </w:rPr>
              <w:t>Data</w:t>
            </w:r>
          </w:p>
        </w:tc>
      </w:tr>
      <w:tr w:rsidR="00873C05" w14:paraId="14BE48F9" w14:textId="77777777" w:rsidTr="003D17D3">
        <w:trPr>
          <w:trHeight w:val="308"/>
          <w:jc w:val="center"/>
        </w:trPr>
        <w:tc>
          <w:tcPr>
            <w:tcW w:w="3960" w:type="dxa"/>
            <w:shd w:val="clear" w:color="auto" w:fill="auto"/>
            <w:vAlign w:val="center"/>
            <w:hideMark/>
          </w:tcPr>
          <w:p w14:paraId="20A3F444" w14:textId="77777777" w:rsidR="00873C05" w:rsidRDefault="00873C05" w:rsidP="00873C05">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CDEA720" w14:textId="612C9FC9" w:rsidR="00873C05" w:rsidRDefault="00873C05" w:rsidP="00873C05">
            <w:pPr>
              <w:jc w:val="center"/>
              <w:rPr>
                <w:rFonts w:ascii="Arial" w:eastAsiaTheme="minorHAnsi" w:hAnsi="Arial" w:cs="Arial"/>
                <w:b/>
                <w:color w:val="auto"/>
              </w:rPr>
            </w:pPr>
            <w:r>
              <w:rPr>
                <w:rFonts w:ascii="Arial" w:eastAsiaTheme="minorHAnsi" w:hAnsi="Arial" w:cs="Arial"/>
                <w:b/>
                <w:color w:val="auto"/>
              </w:rPr>
              <w:t>14,788</w:t>
            </w:r>
          </w:p>
        </w:tc>
      </w:tr>
      <w:tr w:rsidR="00873C05" w14:paraId="090771A7" w14:textId="77777777" w:rsidTr="003D17D3">
        <w:trPr>
          <w:trHeight w:val="308"/>
          <w:jc w:val="center"/>
        </w:trPr>
        <w:tc>
          <w:tcPr>
            <w:tcW w:w="3960" w:type="dxa"/>
            <w:shd w:val="clear" w:color="auto" w:fill="auto"/>
            <w:vAlign w:val="center"/>
            <w:hideMark/>
          </w:tcPr>
          <w:p w14:paraId="630243D5" w14:textId="77777777" w:rsidR="00873C05" w:rsidRDefault="00873C05" w:rsidP="00873C05">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68F1383D" w14:textId="07FAD32A" w:rsidR="00873C05" w:rsidRDefault="00873C05" w:rsidP="00873C05">
            <w:pPr>
              <w:jc w:val="center"/>
              <w:rPr>
                <w:rFonts w:ascii="Arial" w:eastAsiaTheme="minorHAnsi" w:hAnsi="Arial" w:cs="Arial"/>
                <w:b/>
                <w:color w:val="auto"/>
              </w:rPr>
            </w:pPr>
            <w:r>
              <w:rPr>
                <w:rFonts w:ascii="Arial" w:eastAsiaTheme="minorHAnsi" w:hAnsi="Arial" w:cs="Arial"/>
                <w:b/>
                <w:color w:val="auto"/>
              </w:rPr>
              <w:t>13,064</w:t>
            </w:r>
          </w:p>
        </w:tc>
      </w:tr>
      <w:tr w:rsidR="00873C05" w14:paraId="61818492" w14:textId="77777777" w:rsidTr="003D17D3">
        <w:trPr>
          <w:trHeight w:val="308"/>
          <w:jc w:val="center"/>
        </w:trPr>
        <w:tc>
          <w:tcPr>
            <w:tcW w:w="3960" w:type="dxa"/>
            <w:shd w:val="clear" w:color="auto" w:fill="auto"/>
            <w:vAlign w:val="center"/>
            <w:hideMark/>
          </w:tcPr>
          <w:p w14:paraId="7D9FBFF2" w14:textId="77777777" w:rsidR="00873C05" w:rsidRDefault="00873C05" w:rsidP="00873C05">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7493B487" w14:textId="3C83B060" w:rsidR="00873C05" w:rsidRDefault="00873C05" w:rsidP="00873C05">
            <w:pPr>
              <w:jc w:val="center"/>
              <w:rPr>
                <w:rFonts w:ascii="Arial" w:eastAsiaTheme="minorHAnsi" w:hAnsi="Arial" w:cs="Arial"/>
                <w:b/>
                <w:color w:val="auto"/>
              </w:rPr>
            </w:pPr>
            <w:r>
              <w:rPr>
                <w:rFonts w:ascii="Arial" w:eastAsiaTheme="minorHAnsi" w:hAnsi="Arial" w:cs="Arial"/>
                <w:b/>
                <w:color w:val="auto"/>
              </w:rPr>
              <w:t>3,064</w:t>
            </w:r>
          </w:p>
        </w:tc>
      </w:tr>
      <w:tr w:rsidR="00873C05" w14:paraId="0F32718A" w14:textId="77777777" w:rsidTr="003D17D3">
        <w:trPr>
          <w:trHeight w:val="308"/>
          <w:jc w:val="center"/>
        </w:trPr>
        <w:tc>
          <w:tcPr>
            <w:tcW w:w="3960" w:type="dxa"/>
            <w:shd w:val="clear" w:color="auto" w:fill="auto"/>
            <w:vAlign w:val="center"/>
            <w:hideMark/>
          </w:tcPr>
          <w:p w14:paraId="40C7B3AC"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844B722" w14:textId="23121C9B" w:rsidR="00873C05" w:rsidRDefault="00873C05" w:rsidP="00873C05">
            <w:pPr>
              <w:jc w:val="center"/>
              <w:rPr>
                <w:rFonts w:ascii="Arial" w:eastAsiaTheme="minorHAnsi" w:hAnsi="Arial" w:cs="Arial"/>
                <w:b/>
                <w:color w:val="auto"/>
              </w:rPr>
            </w:pPr>
            <w:r>
              <w:rPr>
                <w:rFonts w:ascii="Arial" w:eastAsiaTheme="minorHAnsi" w:hAnsi="Arial" w:cs="Arial"/>
                <w:b/>
                <w:color w:val="auto"/>
              </w:rPr>
              <w:t>9,282</w:t>
            </w:r>
          </w:p>
        </w:tc>
      </w:tr>
      <w:tr w:rsidR="00873C05" w14:paraId="1224D152" w14:textId="77777777" w:rsidTr="00F23D75">
        <w:trPr>
          <w:trHeight w:val="308"/>
          <w:jc w:val="center"/>
        </w:trPr>
        <w:tc>
          <w:tcPr>
            <w:tcW w:w="3960" w:type="dxa"/>
            <w:shd w:val="clear" w:color="auto" w:fill="auto"/>
            <w:vAlign w:val="center"/>
            <w:hideMark/>
          </w:tcPr>
          <w:p w14:paraId="1D3A7AF9"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873C05" w:rsidRDefault="00873C05" w:rsidP="00873C0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08E035F6" w:rsidR="00873C05" w:rsidRDefault="00873C05" w:rsidP="00873C05">
            <w:pPr>
              <w:jc w:val="center"/>
              <w:rPr>
                <w:rFonts w:ascii="Arial" w:eastAsiaTheme="minorHAnsi" w:hAnsi="Arial" w:cs="Arial"/>
                <w:b/>
                <w:color w:val="auto"/>
              </w:rPr>
            </w:pPr>
            <w:r>
              <w:rPr>
                <w:rFonts w:ascii="Arial" w:eastAsiaTheme="minorHAnsi" w:hAnsi="Arial" w:cs="Arial"/>
                <w:b/>
                <w:color w:val="auto"/>
              </w:rPr>
              <w:t>63%</w:t>
            </w:r>
          </w:p>
        </w:tc>
      </w:tr>
      <w:tr w:rsidR="00873C05" w14:paraId="49A00AFD" w14:textId="77777777" w:rsidTr="00B6130C">
        <w:trPr>
          <w:trHeight w:val="308"/>
          <w:jc w:val="center"/>
        </w:trPr>
        <w:tc>
          <w:tcPr>
            <w:tcW w:w="3960" w:type="dxa"/>
            <w:shd w:val="clear" w:color="auto" w:fill="auto"/>
            <w:vAlign w:val="center"/>
            <w:hideMark/>
          </w:tcPr>
          <w:p w14:paraId="297EF61B" w14:textId="77777777" w:rsidR="00873C05" w:rsidRDefault="00873C05" w:rsidP="00873C05">
            <w:pPr>
              <w:rPr>
                <w:rFonts w:ascii="Arial" w:hAnsi="Arial" w:cs="Arial"/>
                <w:b/>
                <w:color w:val="auto"/>
              </w:rPr>
            </w:pPr>
            <w:r>
              <w:rPr>
                <w:rFonts w:ascii="Arial" w:hAnsi="Arial" w:cs="Arial"/>
                <w:b/>
                <w:color w:val="auto"/>
              </w:rPr>
              <w:t>Avg. Days to Complete FYTD</w:t>
            </w:r>
          </w:p>
        </w:tc>
        <w:tc>
          <w:tcPr>
            <w:tcW w:w="3150" w:type="dxa"/>
          </w:tcPr>
          <w:p w14:paraId="4638D748" w14:textId="65E2628A" w:rsidR="00873C05" w:rsidRDefault="00873C05" w:rsidP="00873C05">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1C82D511" w:rsidR="00873C05" w:rsidRDefault="00873C05" w:rsidP="00873C05">
            <w:pPr>
              <w:jc w:val="center"/>
              <w:rPr>
                <w:rFonts w:ascii="Arial" w:eastAsiaTheme="minorHAnsi" w:hAnsi="Arial" w:cs="Arial"/>
                <w:b/>
                <w:color w:val="auto"/>
              </w:rPr>
            </w:pPr>
            <w:r>
              <w:rPr>
                <w:rFonts w:ascii="Arial" w:eastAsiaTheme="minorHAnsi" w:hAnsi="Arial" w:cs="Arial"/>
                <w:b/>
                <w:color w:val="auto"/>
              </w:rPr>
              <w:t>43.3</w:t>
            </w:r>
          </w:p>
        </w:tc>
      </w:tr>
    </w:tbl>
    <w:p w14:paraId="1BD26EF8" w14:textId="329AF505" w:rsidR="00A748F4" w:rsidRDefault="00A748F4" w:rsidP="00A748F4">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w:t>
      </w:r>
      <w:r w:rsidR="002B7303">
        <w:rPr>
          <w:rFonts w:ascii="Arial" w:hAnsi="Arial" w:cs="Arial"/>
          <w:color w:val="auto"/>
        </w:rPr>
        <w:t xml:space="preserve">March </w:t>
      </w:r>
      <w:r w:rsidR="00873C05">
        <w:rPr>
          <w:rFonts w:ascii="Arial" w:hAnsi="Arial" w:cs="Arial"/>
          <w:color w:val="auto"/>
        </w:rPr>
        <w:t>6</w:t>
      </w:r>
      <w:r w:rsidR="001A44F6">
        <w:rPr>
          <w:rFonts w:ascii="Arial" w:hAnsi="Arial" w:cs="Arial"/>
          <w:color w:val="auto"/>
        </w:rPr>
        <w:t xml:space="preserve">, </w:t>
      </w:r>
      <w:r>
        <w:rPr>
          <w:rFonts w:ascii="Arial" w:hAnsi="Arial" w:cs="Arial"/>
          <w:color w:val="auto"/>
        </w:rPr>
        <w:t>2020</w:t>
      </w:r>
    </w:p>
    <w:p w14:paraId="72F7D883" w14:textId="77777777" w:rsidR="00A748F4" w:rsidRDefault="00A748F4" w:rsidP="00A748F4">
      <w:pPr>
        <w:pStyle w:val="Heading10"/>
        <w:rPr>
          <w:sz w:val="24"/>
        </w:rPr>
      </w:pPr>
    </w:p>
    <w:bookmarkEnd w:id="69"/>
    <w:bookmarkEnd w:id="70"/>
    <w:p w14:paraId="78BD716E" w14:textId="77777777" w:rsidR="00A0458C" w:rsidRDefault="002A757B">
      <w:pPr>
        <w:pStyle w:val="Heading10"/>
      </w:pPr>
      <w:r>
        <w:rPr>
          <w:sz w:val="32"/>
        </w:rPr>
        <w:t xml:space="preserve">Next Teleconferences </w:t>
      </w:r>
    </w:p>
    <w:p w14:paraId="78BD716F" w14:textId="4E2968E1"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2B7303">
        <w:rPr>
          <w:rFonts w:ascii="Arial" w:hAnsi="Arial" w:cs="Arial"/>
          <w:color w:val="000000" w:themeColor="text1"/>
        </w:rPr>
        <w:t>April 14</w:t>
      </w:r>
      <w:r>
        <w:rPr>
          <w:rFonts w:ascii="Arial" w:hAnsi="Arial" w:cs="Arial"/>
          <w:color w:val="000000" w:themeColor="text1"/>
        </w:rPr>
        <w:t xml:space="preserve">, 2020 at 2PM ET.  Please submit IDES questions and proposed topics for discussion to the </w:t>
      </w:r>
      <w:hyperlink r:id="rId30"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1" w:history="1">
        <w:r>
          <w:rPr>
            <w:rStyle w:val="Hyperlink"/>
            <w:rFonts w:ascii="Arial" w:hAnsi="Arial" w:cs="Arial"/>
          </w:rPr>
          <w:t>Pre-Discharge BDD Mailbox</w:t>
        </w:r>
      </w:hyperlink>
      <w:r>
        <w:rPr>
          <w:rFonts w:ascii="Arial" w:hAnsi="Arial" w:cs="Arial"/>
          <w:color w:val="000000" w:themeColor="text1"/>
        </w:rPr>
        <w:t xml:space="preserve"> no 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w:t>
      </w:r>
      <w:r w:rsidR="002B7303">
        <w:rPr>
          <w:rFonts w:ascii="Arial" w:hAnsi="Arial" w:cs="Arial"/>
          <w:color w:val="000000" w:themeColor="text1"/>
        </w:rPr>
        <w:t>April 1 (no fooling)</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344EF963"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2B7303">
        <w:rPr>
          <w:rFonts w:ascii="Arial" w:hAnsi="Arial" w:cs="Arial"/>
          <w:color w:val="000000" w:themeColor="text1"/>
        </w:rPr>
        <w:t>June 4</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32"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33" w:history="1">
        <w:r w:rsidR="002B7303">
          <w:rPr>
            <w:rStyle w:val="Hyperlink"/>
            <w:rFonts w:ascii="Arial" w:hAnsi="Arial" w:cs="Arial"/>
          </w:rPr>
          <w:t>Pre-Discharge BDD Mailbox</w:t>
        </w:r>
      </w:hyperlink>
      <w:r w:rsidR="002B7303">
        <w:rPr>
          <w:rFonts w:ascii="Arial" w:hAnsi="Arial" w:cs="Arial"/>
          <w:color w:val="000000" w:themeColor="text1"/>
        </w:rPr>
        <w:t xml:space="preserve"> no later than close of business (COB), Friday May 22, 2020.</w:t>
      </w:r>
    </w:p>
    <w:p w14:paraId="6389DD91" w14:textId="4CDF9D46" w:rsidR="003C46E4" w:rsidRDefault="003C46E4">
      <w:pPr>
        <w:rPr>
          <w:rFonts w:ascii="Arial" w:hAnsi="Arial" w:cs="Arial"/>
          <w:color w:val="000000" w:themeColor="text1"/>
        </w:rPr>
      </w:pPr>
    </w:p>
    <w:p w14:paraId="49373B2D" w14:textId="4965E2B3" w:rsidR="00972D5A" w:rsidRDefault="00972D5A" w:rsidP="00972D5A">
      <w:pPr>
        <w:pStyle w:val="Heading10"/>
        <w:rPr>
          <w:sz w:val="32"/>
        </w:rPr>
      </w:pPr>
      <w:r>
        <w:rPr>
          <w:sz w:val="32"/>
        </w:rPr>
        <w:t>Open Floor</w:t>
      </w:r>
    </w:p>
    <w:p w14:paraId="14DF1351" w14:textId="77777777" w:rsidR="0028092B" w:rsidRDefault="0028092B" w:rsidP="00C35C20">
      <w:pPr>
        <w:rPr>
          <w:rFonts w:ascii="Arial" w:hAnsi="Arial" w:cs="Arial"/>
          <w:b/>
          <w:color w:val="auto"/>
          <w:sz w:val="28"/>
          <w:u w:val="single"/>
        </w:rPr>
      </w:pPr>
    </w:p>
    <w:p w14:paraId="6628A170" w14:textId="77777777" w:rsidR="0028092B" w:rsidRDefault="0028092B" w:rsidP="00C35C20">
      <w:pPr>
        <w:rPr>
          <w:rFonts w:ascii="Arial" w:hAnsi="Arial" w:cs="Arial"/>
          <w:b/>
          <w:color w:val="auto"/>
          <w:sz w:val="28"/>
          <w:u w:val="single"/>
        </w:rPr>
      </w:pPr>
    </w:p>
    <w:p w14:paraId="6C888EF1" w14:textId="108EEA93" w:rsidR="00163056" w:rsidRDefault="00163056">
      <w:pPr>
        <w:rPr>
          <w:rFonts w:ascii="Arial" w:hAnsi="Arial" w:cs="Arial"/>
          <w:b/>
          <w:color w:val="auto"/>
          <w:sz w:val="28"/>
        </w:rPr>
      </w:pPr>
      <w:r>
        <w:rPr>
          <w:rFonts w:ascii="Arial" w:hAnsi="Arial" w:cs="Arial"/>
          <w:b/>
          <w:color w:val="auto"/>
          <w:sz w:val="28"/>
        </w:rPr>
        <w:br w:type="page"/>
      </w:r>
    </w:p>
    <w:p w14:paraId="4D1FB958" w14:textId="43D9DF87" w:rsidR="00C35C20" w:rsidRDefault="00C35C20" w:rsidP="00C35C20">
      <w:pPr>
        <w:rPr>
          <w:rFonts w:ascii="Arial" w:hAnsi="Arial" w:cs="Arial"/>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 xml:space="preserve">Call Notes from the </w:t>
      </w:r>
      <w:r w:rsidR="00060BB4">
        <w:rPr>
          <w:rFonts w:ascii="Arial" w:hAnsi="Arial" w:cs="Arial"/>
          <w:b/>
          <w:color w:val="auto"/>
          <w:sz w:val="28"/>
        </w:rPr>
        <w:t xml:space="preserve">February </w:t>
      </w:r>
      <w:r w:rsidRPr="00005C07">
        <w:rPr>
          <w:rFonts w:ascii="Arial" w:hAnsi="Arial" w:cs="Arial"/>
          <w:b/>
          <w:color w:val="auto"/>
          <w:sz w:val="28"/>
        </w:rPr>
        <w:t>2020 Comp Service BDD/IDES Conference Call</w:t>
      </w:r>
    </w:p>
    <w:p w14:paraId="551653A3" w14:textId="77777777" w:rsidR="00C35C20" w:rsidRDefault="00C35C20" w:rsidP="00C35C20">
      <w:pPr>
        <w:rPr>
          <w:rFonts w:ascii="Arial" w:hAnsi="Arial" w:cs="Arial"/>
          <w:color w:val="auto"/>
          <w:sz w:val="28"/>
        </w:rPr>
      </w:pPr>
    </w:p>
    <w:p w14:paraId="3892AE02" w14:textId="71285B88" w:rsidR="00C35C20" w:rsidRDefault="00C35C20" w:rsidP="00060BB4">
      <w:pPr>
        <w:rPr>
          <w:rFonts w:ascii="Arial" w:hAnsi="Arial" w:cs="Arial"/>
          <w:color w:val="auto"/>
        </w:rPr>
      </w:pPr>
      <w:r w:rsidRPr="00125FB8">
        <w:rPr>
          <w:rFonts w:ascii="Arial" w:hAnsi="Arial" w:cs="Arial"/>
          <w:color w:val="auto"/>
        </w:rPr>
        <w:t xml:space="preserve">The following </w:t>
      </w:r>
      <w:r>
        <w:rPr>
          <w:rFonts w:ascii="Arial" w:hAnsi="Arial" w:cs="Arial"/>
          <w:color w:val="auto"/>
        </w:rPr>
        <w:t>n</w:t>
      </w:r>
      <w:r w:rsidRPr="00125FB8">
        <w:rPr>
          <w:rFonts w:ascii="Arial" w:hAnsi="Arial" w:cs="Arial"/>
          <w:color w:val="auto"/>
        </w:rPr>
        <w:t xml:space="preserve">otes </w:t>
      </w:r>
      <w:r>
        <w:rPr>
          <w:rFonts w:ascii="Arial" w:hAnsi="Arial" w:cs="Arial"/>
          <w:color w:val="auto"/>
        </w:rPr>
        <w:t>provide a</w:t>
      </w:r>
      <w:r w:rsidRPr="00125FB8">
        <w:rPr>
          <w:rFonts w:ascii="Arial" w:hAnsi="Arial" w:cs="Arial"/>
          <w:color w:val="auto"/>
        </w:rPr>
        <w:t xml:space="preserve"> summary of questions and discussion from the </w:t>
      </w:r>
      <w:r w:rsidR="00060BB4">
        <w:rPr>
          <w:rFonts w:ascii="Arial" w:hAnsi="Arial" w:cs="Arial"/>
          <w:color w:val="auto"/>
        </w:rPr>
        <w:t xml:space="preserve">February </w:t>
      </w:r>
      <w:r>
        <w:rPr>
          <w:rFonts w:ascii="Arial" w:hAnsi="Arial" w:cs="Arial"/>
          <w:color w:val="auto"/>
        </w:rPr>
        <w:t>BDD/IDES Conference Call.  For</w:t>
      </w:r>
      <w:r w:rsidRPr="00125FB8">
        <w:rPr>
          <w:rFonts w:ascii="Arial" w:hAnsi="Arial" w:cs="Arial"/>
          <w:color w:val="auto"/>
        </w:rPr>
        <w:t xml:space="preserve"> a complete description of the topics discussed on the call please review the </w:t>
      </w:r>
      <w:hyperlink r:id="rId34" w:history="1">
        <w:r w:rsidR="00060BB4" w:rsidRPr="00E10907">
          <w:rPr>
            <w:rStyle w:val="Hyperlink"/>
            <w:rFonts w:ascii="Arial" w:hAnsi="Arial" w:cs="Arial"/>
          </w:rPr>
          <w:t>February Read Ahead</w:t>
        </w:r>
      </w:hyperlink>
      <w:r w:rsidR="00060BB4">
        <w:rPr>
          <w:rFonts w:ascii="Arial" w:hAnsi="Arial" w:cs="Arial"/>
          <w:color w:val="auto"/>
        </w:rPr>
        <w:t>.</w:t>
      </w:r>
    </w:p>
    <w:p w14:paraId="09BAFEA0" w14:textId="65C6F40C" w:rsidR="00163056" w:rsidRPr="00BA693B" w:rsidRDefault="00163056" w:rsidP="00060BB4">
      <w:pPr>
        <w:rPr>
          <w:szCs w:val="20"/>
        </w:rPr>
      </w:pPr>
    </w:p>
    <w:p w14:paraId="55182ED3" w14:textId="3DC11048" w:rsidR="00163056" w:rsidRPr="005A72F3" w:rsidRDefault="00163056" w:rsidP="00366E32">
      <w:pPr>
        <w:rPr>
          <w:rFonts w:ascii="Arial" w:hAnsi="Arial" w:cs="Arial"/>
          <w:b/>
          <w:bCs/>
          <w:sz w:val="28"/>
          <w:szCs w:val="22"/>
          <w:u w:val="single"/>
        </w:rPr>
      </w:pPr>
      <w:r w:rsidRPr="005A72F3">
        <w:rPr>
          <w:rFonts w:ascii="Arial" w:hAnsi="Arial" w:cs="Arial"/>
          <w:b/>
          <w:bCs/>
          <w:sz w:val="28"/>
          <w:szCs w:val="22"/>
          <w:u w:val="single"/>
        </w:rPr>
        <w:t xml:space="preserve">MDEPO Briefing </w:t>
      </w:r>
    </w:p>
    <w:p w14:paraId="1087E3C2" w14:textId="63D1F2D3" w:rsidR="00163056" w:rsidRDefault="00163056" w:rsidP="00366E32">
      <w:pPr>
        <w:rPr>
          <w:rFonts w:ascii="Arial" w:hAnsi="Arial" w:cs="Arial"/>
          <w:szCs w:val="20"/>
        </w:rPr>
      </w:pPr>
      <w:r w:rsidRPr="00BA693B">
        <w:rPr>
          <w:rFonts w:ascii="Arial" w:hAnsi="Arial" w:cs="Arial"/>
          <w:szCs w:val="20"/>
        </w:rPr>
        <w:t>The Medical Disability Exam Program Office (MDEPO) provided a briefing on the use of EMS, the Exam Portal, ExamTrac and the District 6 Contract.  During the MDEPO briefing, there was some discussion of Gulf War Examinations in Pre-Discharge Cases.  A summary and clarification</w:t>
      </w:r>
      <w:r w:rsidR="00BA693B" w:rsidRPr="00BA693B">
        <w:rPr>
          <w:rFonts w:ascii="Arial" w:hAnsi="Arial" w:cs="Arial"/>
          <w:szCs w:val="20"/>
        </w:rPr>
        <w:t xml:space="preserve"> </w:t>
      </w:r>
      <w:r w:rsidR="00BA693B">
        <w:rPr>
          <w:rFonts w:ascii="Arial" w:hAnsi="Arial" w:cs="Arial"/>
          <w:szCs w:val="20"/>
        </w:rPr>
        <w:t>of the Gulf War discussion</w:t>
      </w:r>
      <w:r w:rsidR="00BA693B" w:rsidRPr="00BA693B">
        <w:rPr>
          <w:rFonts w:ascii="Arial" w:hAnsi="Arial" w:cs="Arial"/>
          <w:szCs w:val="20"/>
        </w:rPr>
        <w:t xml:space="preserve"> </w:t>
      </w:r>
      <w:r w:rsidR="00B932EE">
        <w:rPr>
          <w:rFonts w:ascii="Arial" w:hAnsi="Arial" w:cs="Arial"/>
          <w:szCs w:val="20"/>
        </w:rPr>
        <w:t xml:space="preserve">is </w:t>
      </w:r>
      <w:r w:rsidR="00BA693B" w:rsidRPr="00BA693B">
        <w:rPr>
          <w:rFonts w:ascii="Arial" w:hAnsi="Arial" w:cs="Arial"/>
          <w:szCs w:val="20"/>
        </w:rPr>
        <w:t xml:space="preserve">included </w:t>
      </w:r>
      <w:r w:rsidR="00B932EE">
        <w:rPr>
          <w:rFonts w:ascii="Arial" w:hAnsi="Arial" w:cs="Arial"/>
          <w:szCs w:val="20"/>
        </w:rPr>
        <w:t xml:space="preserve">in this Read Ahead. </w:t>
      </w:r>
    </w:p>
    <w:p w14:paraId="30F6CB62" w14:textId="06E530B1" w:rsidR="00BA693B" w:rsidRDefault="00BA693B" w:rsidP="00366E32">
      <w:pPr>
        <w:rPr>
          <w:rFonts w:ascii="Arial" w:hAnsi="Arial" w:cs="Arial"/>
          <w:szCs w:val="20"/>
        </w:rPr>
      </w:pPr>
    </w:p>
    <w:p w14:paraId="60BB58E4" w14:textId="77777777" w:rsidR="00542386" w:rsidRPr="005A72F3" w:rsidRDefault="00542386" w:rsidP="00366E32">
      <w:pPr>
        <w:rPr>
          <w:rFonts w:ascii="Arial" w:hAnsi="Arial" w:cs="Arial"/>
          <w:b/>
          <w:bCs/>
          <w:color w:val="auto"/>
          <w:sz w:val="28"/>
          <w:szCs w:val="28"/>
          <w:u w:val="single"/>
        </w:rPr>
      </w:pPr>
      <w:r w:rsidRPr="005A72F3">
        <w:rPr>
          <w:rFonts w:ascii="Arial" w:hAnsi="Arial" w:cs="Arial"/>
          <w:b/>
          <w:bCs/>
          <w:sz w:val="28"/>
          <w:szCs w:val="28"/>
          <w:u w:val="single"/>
        </w:rPr>
        <w:t>STRs Requirements for BDD Claims/Exams</w:t>
      </w:r>
    </w:p>
    <w:p w14:paraId="62F6C5DE" w14:textId="77777777" w:rsidR="00542386" w:rsidRDefault="00542386" w:rsidP="00366E32">
      <w:pPr>
        <w:rPr>
          <w:rFonts w:ascii="Arial" w:hAnsi="Arial" w:cs="Arial"/>
          <w:u w:val="single"/>
        </w:rPr>
      </w:pPr>
      <w:r>
        <w:rPr>
          <w:rFonts w:ascii="Arial" w:hAnsi="Arial" w:cs="Arial"/>
        </w:rPr>
        <w:t xml:space="preserve">During the February Conference Call, there was some indication that, except when a medical opinion is needed, BDD examinations can be requested </w:t>
      </w:r>
      <w:r>
        <w:rPr>
          <w:rFonts w:ascii="Arial" w:hAnsi="Arial" w:cs="Arial"/>
          <w:i/>
          <w:iCs/>
        </w:rPr>
        <w:t>before</w:t>
      </w:r>
      <w:r>
        <w:rPr>
          <w:rFonts w:ascii="Arial" w:hAnsi="Arial" w:cs="Arial"/>
        </w:rPr>
        <w:t xml:space="preserve"> the STRs were in the eFolder.  </w:t>
      </w:r>
      <w:r>
        <w:rPr>
          <w:rFonts w:ascii="Arial" w:hAnsi="Arial" w:cs="Arial"/>
          <w:b/>
          <w:bCs/>
          <w:u w:val="single"/>
        </w:rPr>
        <w:t>Please Note:</w:t>
      </w:r>
      <w:r>
        <w:rPr>
          <w:rFonts w:ascii="Arial" w:hAnsi="Arial" w:cs="Arial"/>
        </w:rPr>
        <w:t xml:space="preserve"> </w:t>
      </w:r>
      <w:r>
        <w:rPr>
          <w:rFonts w:ascii="Arial" w:hAnsi="Arial" w:cs="Arial"/>
          <w:u w:val="single"/>
        </w:rPr>
        <w:t xml:space="preserve">STRs for the current period of service must be provided for a claim to meet BDD criteria, and these STRs must be available in the eFolder in </w:t>
      </w:r>
      <w:r>
        <w:rPr>
          <w:rFonts w:ascii="Arial" w:hAnsi="Arial" w:cs="Arial"/>
          <w:i/>
          <w:iCs/>
          <w:u w:val="single"/>
        </w:rPr>
        <w:t xml:space="preserve">before </w:t>
      </w:r>
      <w:r>
        <w:rPr>
          <w:rFonts w:ascii="Arial" w:hAnsi="Arial" w:cs="Arial"/>
          <w:u w:val="single"/>
        </w:rPr>
        <w:t xml:space="preserve">examinations can be requested in all BDD cases. </w:t>
      </w:r>
    </w:p>
    <w:p w14:paraId="2D91161B" w14:textId="77777777" w:rsidR="00262DF3" w:rsidRPr="00BA693B" w:rsidRDefault="00262DF3" w:rsidP="00060BB4">
      <w:pPr>
        <w:rPr>
          <w:rFonts w:ascii="Arial" w:hAnsi="Arial" w:cs="Arial"/>
          <w:szCs w:val="20"/>
        </w:rPr>
      </w:pPr>
    </w:p>
    <w:sectPr w:rsidR="00262DF3" w:rsidRPr="00BA693B">
      <w:footerReference w:type="default" r:id="rId35"/>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4411" w14:textId="77777777" w:rsidR="00545B49" w:rsidRDefault="00545B49">
      <w:r>
        <w:separator/>
      </w:r>
    </w:p>
  </w:endnote>
  <w:endnote w:type="continuationSeparator" w:id="0">
    <w:p w14:paraId="29D2BEF4" w14:textId="77777777" w:rsidR="00545B49" w:rsidRDefault="00545B49">
      <w:r>
        <w:continuationSeparator/>
      </w:r>
    </w:p>
  </w:endnote>
  <w:endnote w:type="continuationNotice" w:id="1">
    <w:p w14:paraId="7EA06677" w14:textId="77777777" w:rsidR="00545B49" w:rsidRDefault="0054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56628015"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060BB4">
      <w:rPr>
        <w:rFonts w:ascii="Arial" w:hAnsi="Arial" w:cs="Arial"/>
        <w:sz w:val="22"/>
      </w:rPr>
      <w:t>March 10</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68BB" w14:textId="77777777" w:rsidR="00545B49" w:rsidRDefault="00545B49">
      <w:r>
        <w:separator/>
      </w:r>
    </w:p>
  </w:footnote>
  <w:footnote w:type="continuationSeparator" w:id="0">
    <w:p w14:paraId="0DF19B9E" w14:textId="77777777" w:rsidR="00545B49" w:rsidRDefault="00545B49">
      <w:r>
        <w:continuationSeparator/>
      </w:r>
    </w:p>
  </w:footnote>
  <w:footnote w:type="continuationNotice" w:id="1">
    <w:p w14:paraId="538224A9" w14:textId="77777777" w:rsidR="00545B49" w:rsidRDefault="00545B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2023C66"/>
    <w:multiLevelType w:val="hybridMultilevel"/>
    <w:tmpl w:val="964E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0574"/>
    <w:multiLevelType w:val="multilevel"/>
    <w:tmpl w:val="C9C8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95440D6"/>
    <w:multiLevelType w:val="hybridMultilevel"/>
    <w:tmpl w:val="0B5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53F20"/>
    <w:multiLevelType w:val="hybridMultilevel"/>
    <w:tmpl w:val="BA980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C94CEF"/>
    <w:multiLevelType w:val="hybridMultilevel"/>
    <w:tmpl w:val="689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79687C"/>
    <w:multiLevelType w:val="multilevel"/>
    <w:tmpl w:val="43BE3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50EA9"/>
    <w:multiLevelType w:val="multilevel"/>
    <w:tmpl w:val="21F8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46120"/>
    <w:multiLevelType w:val="hybridMultilevel"/>
    <w:tmpl w:val="906C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75419"/>
    <w:multiLevelType w:val="hybridMultilevel"/>
    <w:tmpl w:val="FFCC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A09C4"/>
    <w:multiLevelType w:val="hybridMultilevel"/>
    <w:tmpl w:val="E910A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859EC"/>
    <w:multiLevelType w:val="multilevel"/>
    <w:tmpl w:val="E628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A3FEA"/>
    <w:multiLevelType w:val="hybridMultilevel"/>
    <w:tmpl w:val="85F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5"/>
  </w:num>
  <w:num w:numId="4">
    <w:abstractNumId w:val="6"/>
  </w:num>
  <w:num w:numId="5">
    <w:abstractNumId w:val="5"/>
  </w:num>
  <w:num w:numId="6">
    <w:abstractNumId w:val="27"/>
  </w:num>
  <w:num w:numId="7">
    <w:abstractNumId w:val="2"/>
  </w:num>
  <w:num w:numId="8">
    <w:abstractNumId w:val="28"/>
  </w:num>
  <w:num w:numId="9">
    <w:abstractNumId w:val="29"/>
  </w:num>
  <w:num w:numId="10">
    <w:abstractNumId w:val="11"/>
  </w:num>
  <w:num w:numId="11">
    <w:abstractNumId w:val="9"/>
  </w:num>
  <w:num w:numId="12">
    <w:abstractNumId w:val="21"/>
  </w:num>
  <w:num w:numId="13">
    <w:abstractNumId w:val="24"/>
  </w:num>
  <w:num w:numId="14">
    <w:abstractNumId w:val="19"/>
  </w:num>
  <w:num w:numId="15">
    <w:abstractNumId w:val="3"/>
  </w:num>
  <w:num w:numId="16">
    <w:abstractNumId w:val="8"/>
  </w:num>
  <w:num w:numId="17">
    <w:abstractNumId w:val="16"/>
  </w:num>
  <w:num w:numId="18">
    <w:abstractNumId w:val="10"/>
  </w:num>
  <w:num w:numId="19">
    <w:abstractNumId w:val="13"/>
  </w:num>
  <w:num w:numId="20">
    <w:abstractNumId w:val="1"/>
  </w:num>
  <w:num w:numId="21">
    <w:abstractNumId w:val="18"/>
  </w:num>
  <w:num w:numId="22">
    <w:abstractNumId w:val="23"/>
  </w:num>
  <w:num w:numId="23">
    <w:abstractNumId w:val="15"/>
  </w:num>
  <w:num w:numId="24">
    <w:abstractNumId w:val="14"/>
  </w:num>
  <w:num w:numId="25">
    <w:abstractNumId w:val="4"/>
  </w:num>
  <w:num w:numId="26">
    <w:abstractNumId w:val="20"/>
  </w:num>
  <w:num w:numId="27">
    <w:abstractNumId w:val="17"/>
  </w:num>
  <w:num w:numId="28">
    <w:abstractNumId w:val="26"/>
  </w:num>
  <w:num w:numId="29">
    <w:abstractNumId w:val="7"/>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42CF"/>
    <w:rsid w:val="00005BA5"/>
    <w:rsid w:val="00005C07"/>
    <w:rsid w:val="0001137B"/>
    <w:rsid w:val="00015441"/>
    <w:rsid w:val="00023311"/>
    <w:rsid w:val="00024F70"/>
    <w:rsid w:val="00033C9B"/>
    <w:rsid w:val="000425FE"/>
    <w:rsid w:val="000506DA"/>
    <w:rsid w:val="00050E2A"/>
    <w:rsid w:val="000529D1"/>
    <w:rsid w:val="00055ED1"/>
    <w:rsid w:val="00060BB4"/>
    <w:rsid w:val="00063DCE"/>
    <w:rsid w:val="00064B9C"/>
    <w:rsid w:val="00067565"/>
    <w:rsid w:val="00076D78"/>
    <w:rsid w:val="00080033"/>
    <w:rsid w:val="0008380C"/>
    <w:rsid w:val="0009278D"/>
    <w:rsid w:val="000929A4"/>
    <w:rsid w:val="0009368C"/>
    <w:rsid w:val="000945FD"/>
    <w:rsid w:val="000A7A1D"/>
    <w:rsid w:val="000C2869"/>
    <w:rsid w:val="000D03C2"/>
    <w:rsid w:val="000F6508"/>
    <w:rsid w:val="00114894"/>
    <w:rsid w:val="00120356"/>
    <w:rsid w:val="00135BCB"/>
    <w:rsid w:val="001407D2"/>
    <w:rsid w:val="00140FDD"/>
    <w:rsid w:val="001569C1"/>
    <w:rsid w:val="00163056"/>
    <w:rsid w:val="00165576"/>
    <w:rsid w:val="0017213F"/>
    <w:rsid w:val="00187BC0"/>
    <w:rsid w:val="001907DF"/>
    <w:rsid w:val="00196783"/>
    <w:rsid w:val="00196ACD"/>
    <w:rsid w:val="001A44F6"/>
    <w:rsid w:val="001A6283"/>
    <w:rsid w:val="001C0686"/>
    <w:rsid w:val="001C0C67"/>
    <w:rsid w:val="001D0F01"/>
    <w:rsid w:val="001D6E96"/>
    <w:rsid w:val="001E5ED3"/>
    <w:rsid w:val="002208A2"/>
    <w:rsid w:val="00223B73"/>
    <w:rsid w:val="002313B7"/>
    <w:rsid w:val="00232CFA"/>
    <w:rsid w:val="00234A19"/>
    <w:rsid w:val="00235886"/>
    <w:rsid w:val="00236F3C"/>
    <w:rsid w:val="002417C1"/>
    <w:rsid w:val="00252F5E"/>
    <w:rsid w:val="00257851"/>
    <w:rsid w:val="00257E19"/>
    <w:rsid w:val="00262DF3"/>
    <w:rsid w:val="002632BC"/>
    <w:rsid w:val="00275EF5"/>
    <w:rsid w:val="0028092B"/>
    <w:rsid w:val="00282F00"/>
    <w:rsid w:val="00285AA8"/>
    <w:rsid w:val="00287296"/>
    <w:rsid w:val="0029535F"/>
    <w:rsid w:val="002A5AF6"/>
    <w:rsid w:val="002A757B"/>
    <w:rsid w:val="002B7303"/>
    <w:rsid w:val="002C5A25"/>
    <w:rsid w:val="002D465F"/>
    <w:rsid w:val="002D5E36"/>
    <w:rsid w:val="002F2B17"/>
    <w:rsid w:val="00301972"/>
    <w:rsid w:val="00301D3A"/>
    <w:rsid w:val="00306163"/>
    <w:rsid w:val="003121A9"/>
    <w:rsid w:val="00313BB0"/>
    <w:rsid w:val="00313CEE"/>
    <w:rsid w:val="003158DA"/>
    <w:rsid w:val="003268BB"/>
    <w:rsid w:val="00352DED"/>
    <w:rsid w:val="0035383B"/>
    <w:rsid w:val="00362261"/>
    <w:rsid w:val="00366E32"/>
    <w:rsid w:val="00370335"/>
    <w:rsid w:val="00373BE7"/>
    <w:rsid w:val="00375A1D"/>
    <w:rsid w:val="00375D23"/>
    <w:rsid w:val="0038186A"/>
    <w:rsid w:val="003B202B"/>
    <w:rsid w:val="003B2C11"/>
    <w:rsid w:val="003C16EA"/>
    <w:rsid w:val="003C46E4"/>
    <w:rsid w:val="003D17D3"/>
    <w:rsid w:val="003F1AAE"/>
    <w:rsid w:val="004313B2"/>
    <w:rsid w:val="004321E8"/>
    <w:rsid w:val="00445615"/>
    <w:rsid w:val="004625A9"/>
    <w:rsid w:val="0046754E"/>
    <w:rsid w:val="00473041"/>
    <w:rsid w:val="00476DD2"/>
    <w:rsid w:val="00482FA0"/>
    <w:rsid w:val="004906E7"/>
    <w:rsid w:val="004A0932"/>
    <w:rsid w:val="004A6DD6"/>
    <w:rsid w:val="004A7319"/>
    <w:rsid w:val="004C3D01"/>
    <w:rsid w:val="004C5B8D"/>
    <w:rsid w:val="004E458A"/>
    <w:rsid w:val="004F0914"/>
    <w:rsid w:val="005125A1"/>
    <w:rsid w:val="005141C3"/>
    <w:rsid w:val="00516C00"/>
    <w:rsid w:val="0052282C"/>
    <w:rsid w:val="00540930"/>
    <w:rsid w:val="00542386"/>
    <w:rsid w:val="00545B49"/>
    <w:rsid w:val="00550C90"/>
    <w:rsid w:val="00556B46"/>
    <w:rsid w:val="0056118F"/>
    <w:rsid w:val="005631CA"/>
    <w:rsid w:val="005757B3"/>
    <w:rsid w:val="00582CDF"/>
    <w:rsid w:val="005833BF"/>
    <w:rsid w:val="005A4526"/>
    <w:rsid w:val="005A72F3"/>
    <w:rsid w:val="005B70B5"/>
    <w:rsid w:val="005C6BEE"/>
    <w:rsid w:val="005C70DA"/>
    <w:rsid w:val="005E0A56"/>
    <w:rsid w:val="005F0163"/>
    <w:rsid w:val="005F01E3"/>
    <w:rsid w:val="005F5482"/>
    <w:rsid w:val="005F6757"/>
    <w:rsid w:val="00617579"/>
    <w:rsid w:val="00623CB5"/>
    <w:rsid w:val="006272D5"/>
    <w:rsid w:val="006349D6"/>
    <w:rsid w:val="006432B7"/>
    <w:rsid w:val="00645C16"/>
    <w:rsid w:val="006706FE"/>
    <w:rsid w:val="00671BAB"/>
    <w:rsid w:val="00674E13"/>
    <w:rsid w:val="00680135"/>
    <w:rsid w:val="00680AEC"/>
    <w:rsid w:val="00682A5A"/>
    <w:rsid w:val="00682F12"/>
    <w:rsid w:val="00683168"/>
    <w:rsid w:val="00683933"/>
    <w:rsid w:val="006840C8"/>
    <w:rsid w:val="006859D4"/>
    <w:rsid w:val="006B46DD"/>
    <w:rsid w:val="006B4F0C"/>
    <w:rsid w:val="006C576F"/>
    <w:rsid w:val="006D243C"/>
    <w:rsid w:val="006D5257"/>
    <w:rsid w:val="006E11C7"/>
    <w:rsid w:val="0070285A"/>
    <w:rsid w:val="00713789"/>
    <w:rsid w:val="007232DD"/>
    <w:rsid w:val="007377B3"/>
    <w:rsid w:val="007413D6"/>
    <w:rsid w:val="00743C62"/>
    <w:rsid w:val="00743E7F"/>
    <w:rsid w:val="00746697"/>
    <w:rsid w:val="0076658D"/>
    <w:rsid w:val="007673C4"/>
    <w:rsid w:val="00775FC8"/>
    <w:rsid w:val="00781A72"/>
    <w:rsid w:val="00781A88"/>
    <w:rsid w:val="00791EAB"/>
    <w:rsid w:val="007A44AA"/>
    <w:rsid w:val="007C3879"/>
    <w:rsid w:val="007C69F5"/>
    <w:rsid w:val="007D2A63"/>
    <w:rsid w:val="007D4693"/>
    <w:rsid w:val="007E30C1"/>
    <w:rsid w:val="007E5AAC"/>
    <w:rsid w:val="007F102F"/>
    <w:rsid w:val="007F2DFA"/>
    <w:rsid w:val="007F5DBC"/>
    <w:rsid w:val="0083040B"/>
    <w:rsid w:val="008420BD"/>
    <w:rsid w:val="00851828"/>
    <w:rsid w:val="00856400"/>
    <w:rsid w:val="00865161"/>
    <w:rsid w:val="00871348"/>
    <w:rsid w:val="00873C05"/>
    <w:rsid w:val="00877E3E"/>
    <w:rsid w:val="008869B4"/>
    <w:rsid w:val="0088770D"/>
    <w:rsid w:val="008920A4"/>
    <w:rsid w:val="008A4141"/>
    <w:rsid w:val="008A4F4A"/>
    <w:rsid w:val="008B0805"/>
    <w:rsid w:val="008B0DE4"/>
    <w:rsid w:val="008B17A3"/>
    <w:rsid w:val="008B2C37"/>
    <w:rsid w:val="008C2732"/>
    <w:rsid w:val="008C4A90"/>
    <w:rsid w:val="008D35E1"/>
    <w:rsid w:val="008E42D9"/>
    <w:rsid w:val="00916D65"/>
    <w:rsid w:val="009347F3"/>
    <w:rsid w:val="0094497E"/>
    <w:rsid w:val="009459EC"/>
    <w:rsid w:val="00954AD1"/>
    <w:rsid w:val="009614EC"/>
    <w:rsid w:val="00972D5A"/>
    <w:rsid w:val="00977FB8"/>
    <w:rsid w:val="0099478E"/>
    <w:rsid w:val="009A174F"/>
    <w:rsid w:val="009A4065"/>
    <w:rsid w:val="009A70C3"/>
    <w:rsid w:val="009B254C"/>
    <w:rsid w:val="009C6B78"/>
    <w:rsid w:val="009D00F4"/>
    <w:rsid w:val="009E2649"/>
    <w:rsid w:val="009E334C"/>
    <w:rsid w:val="009E774F"/>
    <w:rsid w:val="009F2927"/>
    <w:rsid w:val="009F662F"/>
    <w:rsid w:val="00A0458C"/>
    <w:rsid w:val="00A24EA1"/>
    <w:rsid w:val="00A44E9E"/>
    <w:rsid w:val="00A61BAF"/>
    <w:rsid w:val="00A735B6"/>
    <w:rsid w:val="00A748F4"/>
    <w:rsid w:val="00A75A8D"/>
    <w:rsid w:val="00A86F05"/>
    <w:rsid w:val="00A90FEB"/>
    <w:rsid w:val="00AB0EDE"/>
    <w:rsid w:val="00AB24D2"/>
    <w:rsid w:val="00AB6E45"/>
    <w:rsid w:val="00AC2003"/>
    <w:rsid w:val="00AD63F1"/>
    <w:rsid w:val="00AE23D1"/>
    <w:rsid w:val="00B01001"/>
    <w:rsid w:val="00B06654"/>
    <w:rsid w:val="00B16D7F"/>
    <w:rsid w:val="00B25D53"/>
    <w:rsid w:val="00B4105C"/>
    <w:rsid w:val="00B51E15"/>
    <w:rsid w:val="00B5366E"/>
    <w:rsid w:val="00B6547A"/>
    <w:rsid w:val="00B74A07"/>
    <w:rsid w:val="00B80666"/>
    <w:rsid w:val="00B8240D"/>
    <w:rsid w:val="00B845BB"/>
    <w:rsid w:val="00B932EE"/>
    <w:rsid w:val="00BA63EC"/>
    <w:rsid w:val="00BA693B"/>
    <w:rsid w:val="00BA78C2"/>
    <w:rsid w:val="00BB73E5"/>
    <w:rsid w:val="00BB7405"/>
    <w:rsid w:val="00BC77EB"/>
    <w:rsid w:val="00BD1F7B"/>
    <w:rsid w:val="00BD2151"/>
    <w:rsid w:val="00BD3F89"/>
    <w:rsid w:val="00BD69C4"/>
    <w:rsid w:val="00BE164F"/>
    <w:rsid w:val="00BE37E2"/>
    <w:rsid w:val="00BF476E"/>
    <w:rsid w:val="00C000E1"/>
    <w:rsid w:val="00C22183"/>
    <w:rsid w:val="00C24020"/>
    <w:rsid w:val="00C35C20"/>
    <w:rsid w:val="00C36301"/>
    <w:rsid w:val="00C4632B"/>
    <w:rsid w:val="00C51F5A"/>
    <w:rsid w:val="00C6732A"/>
    <w:rsid w:val="00C73694"/>
    <w:rsid w:val="00C819A5"/>
    <w:rsid w:val="00C82FDD"/>
    <w:rsid w:val="00C87779"/>
    <w:rsid w:val="00CC03B4"/>
    <w:rsid w:val="00CD17D5"/>
    <w:rsid w:val="00CD4EAE"/>
    <w:rsid w:val="00CE14C9"/>
    <w:rsid w:val="00CF0573"/>
    <w:rsid w:val="00CF0D63"/>
    <w:rsid w:val="00CF2190"/>
    <w:rsid w:val="00D22C53"/>
    <w:rsid w:val="00D36130"/>
    <w:rsid w:val="00D37D77"/>
    <w:rsid w:val="00D66002"/>
    <w:rsid w:val="00DA3627"/>
    <w:rsid w:val="00DC33FC"/>
    <w:rsid w:val="00DC6B96"/>
    <w:rsid w:val="00DE09E1"/>
    <w:rsid w:val="00DE23E6"/>
    <w:rsid w:val="00DE5A0C"/>
    <w:rsid w:val="00E1083A"/>
    <w:rsid w:val="00E10907"/>
    <w:rsid w:val="00E11047"/>
    <w:rsid w:val="00E21B06"/>
    <w:rsid w:val="00E21F68"/>
    <w:rsid w:val="00E25C1B"/>
    <w:rsid w:val="00E271B2"/>
    <w:rsid w:val="00E32FF4"/>
    <w:rsid w:val="00E331AB"/>
    <w:rsid w:val="00E50295"/>
    <w:rsid w:val="00E51F7C"/>
    <w:rsid w:val="00E5355F"/>
    <w:rsid w:val="00E549B3"/>
    <w:rsid w:val="00E57132"/>
    <w:rsid w:val="00E71726"/>
    <w:rsid w:val="00E75E61"/>
    <w:rsid w:val="00E803BF"/>
    <w:rsid w:val="00E8469F"/>
    <w:rsid w:val="00E847D4"/>
    <w:rsid w:val="00E85F08"/>
    <w:rsid w:val="00EA73B8"/>
    <w:rsid w:val="00EB0C6E"/>
    <w:rsid w:val="00EB31DB"/>
    <w:rsid w:val="00EB544F"/>
    <w:rsid w:val="00ED5EB3"/>
    <w:rsid w:val="00ED6CB1"/>
    <w:rsid w:val="00EE22AD"/>
    <w:rsid w:val="00EE2B58"/>
    <w:rsid w:val="00EF2734"/>
    <w:rsid w:val="00F23D75"/>
    <w:rsid w:val="00F265BB"/>
    <w:rsid w:val="00F26E60"/>
    <w:rsid w:val="00F30EA2"/>
    <w:rsid w:val="00F50205"/>
    <w:rsid w:val="00F5414F"/>
    <w:rsid w:val="00F56C09"/>
    <w:rsid w:val="00F60127"/>
    <w:rsid w:val="00F74859"/>
    <w:rsid w:val="00FA1267"/>
    <w:rsid w:val="00FA71F0"/>
    <w:rsid w:val="00FB4BF0"/>
    <w:rsid w:val="00FC5E31"/>
    <w:rsid w:val="00FD49B0"/>
    <w:rsid w:val="00FD753F"/>
    <w:rsid w:val="00FE0D82"/>
    <w:rsid w:val="00FE70B6"/>
    <w:rsid w:val="00FE7684"/>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03"/>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591742717">
                                                                          <w:marLeft w:val="0"/>
                                                                          <w:marRight w:val="0"/>
                                                                          <w:marTop w:val="0"/>
                                                                          <w:marBottom w:val="0"/>
                                                                          <w:divBdr>
                                                                            <w:top w:val="none" w:sz="0" w:space="0" w:color="auto"/>
                                                                            <w:left w:val="none" w:sz="0" w:space="0" w:color="auto"/>
                                                                            <w:bottom w:val="none" w:sz="0" w:space="0" w:color="auto"/>
                                                                            <w:right w:val="none" w:sz="0" w:space="0" w:color="auto"/>
                                                                          </w:divBdr>
                                                                        </w:div>
                                                                        <w:div w:id="138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657264992">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45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255988593">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94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articleViewContext=article_view_browse_tree&amp;isFeatured=undefined&amp;topic=undefined" TargetMode="External"/><Relationship Id="rId18"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6"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906/M21-1,-Part-IV,-Subpart-ii,-Chapter-1,-Section-D---Claims-for-Service-Connection-(SC)-for-Post-Traumatic-Stress-Disorder-(PTSD)" TargetMode="External"/><Relationship Id="rId34" Type="http://schemas.openxmlformats.org/officeDocument/2006/relationships/hyperlink" Target="https://vaww.infoshare.va.gov/sites/212Procedures/212D/VDPO%20Monthly%20IDES%20Call/2020/Feb%202020/Feb2020BDDIDESCallReadAhead.docx" TargetMode="Externa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hyperlink" Target="https://vaww.vrm.km.va.gov/system/templates/selfservice/va_kanew/help/agent/locale/en-US/portal/554400000001034/content/554400000015809/M21-1-Part-III-Subpart-iv-Chapter-3-Section-A-Examination-Requests-Overview?query=ACE" TargetMode="External"/><Relationship Id="rId25"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33" Type="http://schemas.openxmlformats.org/officeDocument/2006/relationships/hyperlink" Target="mailto:VAVBAWAS/CO/PREDISCHARGE%20%3cPredischarge.VBACO@va.gov%3e" TargetMode="External"/><Relationship Id="rId2" Type="http://schemas.openxmlformats.org/officeDocument/2006/relationships/customXml" Target="../customXml/item2.xml"/><Relationship Id="rId16" Type="http://schemas.openxmlformats.org/officeDocument/2006/relationships/hyperlink" Target="https://www.ecfr.gov/cgi-bin/retrieveECFR?gp=1&amp;SID=f229d024585f9c6198819439ad4a0419&amp;ty=HTML&amp;h=L&amp;r=SECTION&amp;n=se38.1.3_1317" TargetMode="External"/><Relationship Id="rId20"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articleViewContext=article_view_browse_tree&amp;isFeatured=undefined&amp;topic=undefined" TargetMode="External"/><Relationship Id="rId29"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32" Type="http://schemas.openxmlformats.org/officeDocument/2006/relationships/hyperlink" Target="mailto:VAVBAWAS/CO/IDES%20%3cIDES.VBACO@VA.GOV%3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gi-bin/retrieveECFR?gp=1&amp;SID=f229d024585f9c6198819439ad4a0419&amp;ty=HTML&amp;h=L&amp;r=SECTION&amp;n=se38.1.3_1317" TargetMode="External"/><Relationship Id="rId2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8" Type="http://schemas.openxmlformats.org/officeDocument/2006/relationships/hyperlink" Target="https://vbaw.vba.va.gov/vbadod/predischarge.as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articleViewContext=article_view_browse_tree&amp;isFeatured=undefined&amp;topic=undefined" TargetMode="External"/><Relationship Id="rId31" Type="http://schemas.openxmlformats.org/officeDocument/2006/relationships/hyperlink" Target="mailto:VAVBAWAS/CO/PREDISCHARGE%20%3cPredischarge.VBACO@va.gov%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2"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7" Type="http://schemas.openxmlformats.org/officeDocument/2006/relationships/hyperlink" Target="https://vbaw.vba.va.gov/VBADOD/docs/predischarge/BDDEPClaimLabels.xlsx" TargetMode="External"/><Relationship Id="rId30" Type="http://schemas.openxmlformats.org/officeDocument/2006/relationships/hyperlink" Target="mailto:VAVBAWAS/CO/IDES%20%3cIDES.VBACO@VA.GOV%3e"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A39EC-D8F0-47F9-8B4C-79A8A9F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TotalTime>
  <Pages>7</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March 2020 BDD and IDES Call Read Ahead</vt:lpstr>
    </vt:vector>
  </TitlesOfParts>
  <Company>Veterans Benefits Administration</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2020 BDD and IDES Call Read Ahead</dc:title>
  <dc:subject>VSR, AQRS, Pre-Discharge MSC, RVSR</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2020-03-10T11:51:00Z</dcterms:created>
  <dcterms:modified xsi:type="dcterms:W3CDTF">2020-03-11T12:46:00Z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