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7F74390" w14:textId="77777777" w:rsidR="006E7875" w:rsidRPr="00B06081" w:rsidRDefault="009B04C9" w:rsidP="004711E0">
      <w:pPr>
        <w:spacing w:line="276" w:lineRule="auto"/>
        <w:rPr>
          <w:rFonts w:ascii="Arial" w:hAnsi="Arial" w:cs="Arial"/>
          <w:szCs w:val="24"/>
        </w:rPr>
      </w:pPr>
      <w:r w:rsidRPr="00B06081">
        <w:rPr>
          <w:rFonts w:ascii="Arial" w:hAnsi="Arial" w:cs="Arial"/>
          <w:noProof/>
          <w:szCs w:val="24"/>
        </w:rPr>
        <mc:AlternateContent>
          <mc:Choice Requires="wps">
            <w:drawing>
              <wp:anchor distT="0" distB="0" distL="114300" distR="114300" simplePos="0" relativeHeight="251658241" behindDoc="0" locked="0" layoutInCell="1" allowOverlap="1" wp14:anchorId="64760CF9" wp14:editId="1FDC9FC6">
                <wp:simplePos x="0" y="0"/>
                <wp:positionH relativeFrom="margin">
                  <wp:align>right</wp:align>
                </wp:positionH>
                <wp:positionV relativeFrom="paragraph">
                  <wp:posOffset>19050</wp:posOffset>
                </wp:positionV>
                <wp:extent cx="4781550" cy="1266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781550" cy="126682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AB79DBB" w14:textId="77777777" w:rsidR="00D019B3" w:rsidRDefault="00D019B3"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D019B3" w:rsidRPr="006F3DA0" w:rsidRDefault="00D019B3"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D019B3" w:rsidRDefault="00D019B3" w:rsidP="009B04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60CF9" id="Rectangle 3" o:spid="_x0000_s1026" style="position:absolute;margin-left:325.3pt;margin-top:1.5pt;width:376.5pt;height:99.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" fillcolor="white [3201]" strokecolor="#4f81bd [3204]" strokeweight="2pt">
                <v:textbox>
                  <w:txbxContent>
                    <w:p w14:paraId="3AB79DBB" w14:textId="77777777" w:rsidR="00D019B3" w:rsidRDefault="00D019B3"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D019B3" w:rsidRPr="006F3DA0" w:rsidRDefault="00D019B3"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D019B3" w:rsidRDefault="00D019B3" w:rsidP="009B04C9">
                      <w:pPr>
                        <w:jc w:val="center"/>
                      </w:pPr>
                    </w:p>
                  </w:txbxContent>
                </v:textbox>
                <w10:wrap anchorx="margin"/>
              </v:rect>
            </w:pict>
          </mc:Fallback>
        </mc:AlternateContent>
      </w:r>
      <w:r w:rsidRPr="00B06081">
        <w:rPr>
          <w:rFonts w:ascii="Arial" w:hAnsi="Arial" w:cs="Arial"/>
          <w:noProof/>
          <w:szCs w:val="24"/>
        </w:rPr>
        <w:drawing>
          <wp:anchor distT="0" distB="0" distL="114300" distR="114300" simplePos="0" relativeHeight="251658240" behindDoc="1" locked="0" layoutInCell="1" allowOverlap="1" wp14:anchorId="6DEA374F" wp14:editId="4D58BD5F">
            <wp:simplePos x="0" y="0"/>
            <wp:positionH relativeFrom="column">
              <wp:posOffset>-85725</wp:posOffset>
            </wp:positionH>
            <wp:positionV relativeFrom="paragraph">
              <wp:posOffset>38100</wp:posOffset>
            </wp:positionV>
            <wp:extent cx="1209675" cy="1292860"/>
            <wp:effectExtent l="38100" t="38100" r="85725" b="78740"/>
            <wp:wrapTight wrapText="bothSides">
              <wp:wrapPolygon edited="0">
                <wp:start x="-680" y="-637"/>
                <wp:lineTo x="-680" y="22597"/>
                <wp:lineTo x="22791" y="22597"/>
                <wp:lineTo x="22791" y="-637"/>
                <wp:lineTo x="-680" y="-6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92860"/>
                    </a:xfrm>
                    <a:prstGeom prst="rect">
                      <a:avLst/>
                    </a:prstGeom>
                    <a:noFill/>
                    <a:ln w="28575">
                      <a:solidFill>
                        <a:srgbClr val="090EE9"/>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14:paraId="03E7A6E2" w14:textId="77777777" w:rsidR="0008633D" w:rsidRPr="00B06081" w:rsidRDefault="0008633D" w:rsidP="004711E0">
      <w:pPr>
        <w:spacing w:line="276" w:lineRule="auto"/>
        <w:rPr>
          <w:rFonts w:ascii="Arial" w:hAnsi="Arial" w:cs="Arial"/>
          <w:szCs w:val="24"/>
        </w:rPr>
      </w:pPr>
    </w:p>
    <w:p w14:paraId="68F9EF16" w14:textId="77777777" w:rsidR="006E7875" w:rsidRPr="00B06081" w:rsidRDefault="006E7875" w:rsidP="004711E0">
      <w:pPr>
        <w:spacing w:line="276" w:lineRule="auto"/>
        <w:rPr>
          <w:rFonts w:ascii="Arial" w:hAnsi="Arial" w:cs="Arial"/>
          <w:szCs w:val="24"/>
        </w:rPr>
      </w:pPr>
    </w:p>
    <w:p w14:paraId="575607AA" w14:textId="77777777" w:rsidR="006E7875" w:rsidRPr="00B06081" w:rsidRDefault="009B04C9" w:rsidP="004711E0">
      <w:pPr>
        <w:spacing w:line="276" w:lineRule="auto"/>
        <w:rPr>
          <w:rFonts w:ascii="Arial" w:hAnsi="Arial" w:cs="Arial"/>
          <w:szCs w:val="24"/>
        </w:rPr>
      </w:pPr>
      <w:r w:rsidRPr="00B06081">
        <w:rPr>
          <w:rFonts w:ascii="Arial" w:hAnsi="Arial" w:cs="Arial"/>
          <w:noProof/>
          <w:szCs w:val="24"/>
        </w:rPr>
        <mc:AlternateContent>
          <mc:Choice Requires="wps">
            <w:drawing>
              <wp:anchor distT="0" distB="0" distL="114300" distR="114300" simplePos="0" relativeHeight="251658243" behindDoc="0" locked="0" layoutInCell="1" allowOverlap="1" wp14:anchorId="6065C019" wp14:editId="3A877013">
                <wp:simplePos x="0" y="0"/>
                <wp:positionH relativeFrom="margin">
                  <wp:posOffset>-104776</wp:posOffset>
                </wp:positionH>
                <wp:positionV relativeFrom="paragraph">
                  <wp:posOffset>328930</wp:posOffset>
                </wp:positionV>
                <wp:extent cx="6029325" cy="3905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90525"/>
                        </a:xfrm>
                        <a:prstGeom prst="rect">
                          <a:avLst/>
                        </a:prstGeom>
                        <a:solidFill>
                          <a:srgbClr val="0226BE"/>
                        </a:solidFill>
                        <a:ln>
                          <a:headEnd/>
                          <a:tailEnd/>
                        </a:ln>
                      </wps:spPr>
                      <wps:style>
                        <a:lnRef idx="2">
                          <a:schemeClr val="accent1"/>
                        </a:lnRef>
                        <a:fillRef idx="1">
                          <a:schemeClr val="lt1"/>
                        </a:fillRef>
                        <a:effectRef idx="0">
                          <a:schemeClr val="accent1"/>
                        </a:effectRef>
                        <a:fontRef idx="minor">
                          <a:schemeClr val="dk1"/>
                        </a:fontRef>
                      </wps:style>
                      <wps:txbx>
                        <w:txbxContent>
                          <w:p w14:paraId="1F505233" w14:textId="22A1A4A7" w:rsidR="00D019B3" w:rsidRPr="009B04C9" w:rsidRDefault="00530337"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January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5C019" id="_x0000_t202" coordsize="21600,21600" o:spt="202" path="m,l,21600r21600,l21600,xe">
                <v:stroke joinstyle="miter"/>
                <v:path gradientshapeok="t" o:connecttype="rect"/>
              </v:shapetype>
              <v:shape id="Text Box 2" o:spid="_x0000_s1027" type="#_x0000_t202" style="position:absolute;margin-left:-8.25pt;margin-top:25.9pt;width:474.75pt;height:30.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" fillcolor="#0226be" strokecolor="#4f81bd [3204]" strokeweight="2pt">
                <v:textbox>
                  <w:txbxContent>
                    <w:p w14:paraId="1F505233" w14:textId="22A1A4A7" w:rsidR="00D019B3" w:rsidRPr="009B04C9" w:rsidRDefault="00530337"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January 2020</w:t>
                      </w:r>
                    </w:p>
                  </w:txbxContent>
                </v:textbox>
                <w10:wrap anchorx="margin"/>
              </v:shape>
            </w:pict>
          </mc:Fallback>
        </mc:AlternateContent>
      </w:r>
    </w:p>
    <w:p w14:paraId="1A70FB72" w14:textId="77777777" w:rsidR="006E7875" w:rsidRPr="00B06081" w:rsidRDefault="006E7875" w:rsidP="004711E0">
      <w:pPr>
        <w:spacing w:line="276" w:lineRule="auto"/>
        <w:rPr>
          <w:rFonts w:ascii="Arial" w:hAnsi="Arial" w:cs="Arial"/>
          <w:szCs w:val="24"/>
        </w:rPr>
      </w:pPr>
    </w:p>
    <w:bookmarkStart w:id="1" w:name="_Toc32556592" w:displacedByCustomXml="next"/>
    <w:sdt>
      <w:sdtPr>
        <w:rPr>
          <w:rFonts w:ascii="Arial" w:eastAsia="Calibri" w:hAnsi="Arial" w:cs="Arial"/>
          <w:bCs/>
          <w:caps w:val="0"/>
          <w:noProof/>
          <w:color w:val="auto"/>
          <w:spacing w:val="0"/>
          <w:sz w:val="24"/>
          <w:szCs w:val="24"/>
        </w:rPr>
        <w:id w:val="1553883758"/>
        <w:docPartObj>
          <w:docPartGallery w:val="Table of Contents"/>
          <w:docPartUnique/>
        </w:docPartObj>
      </w:sdtPr>
      <w:sdtEndPr>
        <w:rPr>
          <w:rFonts w:eastAsiaTheme="majorEastAsia"/>
          <w:bCs w:val="0"/>
        </w:rPr>
      </w:sdtEndPr>
      <w:sdtContent>
        <w:p w14:paraId="7B6B1376" w14:textId="77777777" w:rsidR="00933CD4" w:rsidRPr="00B06081" w:rsidRDefault="00933CD4" w:rsidP="007B1400">
          <w:pPr>
            <w:pStyle w:val="Heading1"/>
            <w:pBdr>
              <w:bottom w:val="thinThickSmallGap" w:sz="12" w:space="0" w:color="943634" w:themeColor="accent2" w:themeShade="BF"/>
            </w:pBdr>
            <w:rPr>
              <w:rFonts w:ascii="Arial" w:hAnsi="Arial" w:cs="Arial"/>
              <w:sz w:val="24"/>
              <w:szCs w:val="24"/>
            </w:rPr>
          </w:pPr>
          <w:r w:rsidRPr="00B06081">
            <w:rPr>
              <w:rFonts w:ascii="Arial" w:hAnsi="Arial" w:cs="Arial"/>
              <w:sz w:val="24"/>
              <w:szCs w:val="24"/>
            </w:rPr>
            <w:t>Table of Contents</w:t>
          </w:r>
          <w:bookmarkEnd w:id="1"/>
        </w:p>
        <w:p w14:paraId="79081FFB" w14:textId="7BBFEBA5" w:rsidR="00CA4415" w:rsidRDefault="00933CD4">
          <w:pPr>
            <w:pStyle w:val="TOC1"/>
            <w:rPr>
              <w:rFonts w:asciiTheme="minorHAnsi" w:eastAsiaTheme="minorEastAsia" w:hAnsiTheme="minorHAnsi" w:cstheme="minorBidi"/>
              <w:sz w:val="22"/>
            </w:rPr>
          </w:pPr>
          <w:r w:rsidRPr="00B06081">
            <w:rPr>
              <w:szCs w:val="24"/>
            </w:rPr>
            <w:fldChar w:fldCharType="begin"/>
          </w:r>
          <w:r w:rsidRPr="00B06081">
            <w:rPr>
              <w:szCs w:val="24"/>
            </w:rPr>
            <w:instrText xml:space="preserve"> TOC \o "1-3" \h \z \u </w:instrText>
          </w:r>
          <w:r w:rsidRPr="00B06081">
            <w:rPr>
              <w:szCs w:val="24"/>
            </w:rPr>
            <w:fldChar w:fldCharType="separate"/>
          </w:r>
          <w:hyperlink w:anchor="_Toc32556592" w:history="1">
            <w:r w:rsidR="00CA4415" w:rsidRPr="00CD66FC">
              <w:rPr>
                <w:rStyle w:val="Hyperlink"/>
              </w:rPr>
              <w:t>Table of Contents</w:t>
            </w:r>
            <w:r w:rsidR="00CA4415">
              <w:rPr>
                <w:webHidden/>
              </w:rPr>
              <w:tab/>
            </w:r>
            <w:r w:rsidR="00CA4415">
              <w:rPr>
                <w:webHidden/>
              </w:rPr>
              <w:fldChar w:fldCharType="begin"/>
            </w:r>
            <w:r w:rsidR="00CA4415">
              <w:rPr>
                <w:webHidden/>
              </w:rPr>
              <w:instrText xml:space="preserve"> PAGEREF _Toc32556592 \h </w:instrText>
            </w:r>
            <w:r w:rsidR="00CA4415">
              <w:rPr>
                <w:webHidden/>
              </w:rPr>
            </w:r>
            <w:r w:rsidR="00CA4415">
              <w:rPr>
                <w:webHidden/>
              </w:rPr>
              <w:fldChar w:fldCharType="separate"/>
            </w:r>
            <w:r w:rsidR="00CA4415">
              <w:rPr>
                <w:webHidden/>
              </w:rPr>
              <w:t>1</w:t>
            </w:r>
            <w:r w:rsidR="00CA4415">
              <w:rPr>
                <w:webHidden/>
              </w:rPr>
              <w:fldChar w:fldCharType="end"/>
            </w:r>
          </w:hyperlink>
        </w:p>
        <w:p w14:paraId="47BFD226" w14:textId="3E0E4B3A" w:rsidR="00CA4415" w:rsidRDefault="00C53D58">
          <w:pPr>
            <w:pStyle w:val="TOC1"/>
            <w:rPr>
              <w:rFonts w:asciiTheme="minorHAnsi" w:eastAsiaTheme="minorEastAsia" w:hAnsiTheme="minorHAnsi" w:cstheme="minorBidi"/>
              <w:sz w:val="22"/>
            </w:rPr>
          </w:pPr>
          <w:hyperlink w:anchor="_Toc32556593" w:history="1">
            <w:r w:rsidR="00CA4415" w:rsidRPr="00CD66FC">
              <w:rPr>
                <w:rStyle w:val="Hyperlink"/>
                <w:b/>
              </w:rPr>
              <w:t>Pension Management Center Related Inquiries</w:t>
            </w:r>
            <w:r w:rsidR="00CA4415">
              <w:rPr>
                <w:webHidden/>
              </w:rPr>
              <w:tab/>
            </w:r>
            <w:r w:rsidR="00CA4415">
              <w:rPr>
                <w:webHidden/>
              </w:rPr>
              <w:fldChar w:fldCharType="begin"/>
            </w:r>
            <w:r w:rsidR="00CA4415">
              <w:rPr>
                <w:webHidden/>
              </w:rPr>
              <w:instrText xml:space="preserve"> PAGEREF _Toc32556593 \h </w:instrText>
            </w:r>
            <w:r w:rsidR="00CA4415">
              <w:rPr>
                <w:webHidden/>
              </w:rPr>
            </w:r>
            <w:r w:rsidR="00CA4415">
              <w:rPr>
                <w:webHidden/>
              </w:rPr>
              <w:fldChar w:fldCharType="separate"/>
            </w:r>
            <w:r w:rsidR="00CA4415">
              <w:rPr>
                <w:webHidden/>
              </w:rPr>
              <w:t>1</w:t>
            </w:r>
            <w:r w:rsidR="00CA4415">
              <w:rPr>
                <w:webHidden/>
              </w:rPr>
              <w:fldChar w:fldCharType="end"/>
            </w:r>
          </w:hyperlink>
        </w:p>
        <w:p w14:paraId="24EDE049" w14:textId="66E9C405" w:rsidR="00CA4415" w:rsidRDefault="00C53D58">
          <w:pPr>
            <w:pStyle w:val="TOC1"/>
            <w:rPr>
              <w:rFonts w:asciiTheme="minorHAnsi" w:eastAsiaTheme="minorEastAsia" w:hAnsiTheme="minorHAnsi" w:cstheme="minorBidi"/>
              <w:sz w:val="22"/>
            </w:rPr>
          </w:pPr>
          <w:hyperlink w:anchor="_Toc32556594" w:history="1">
            <w:r w:rsidR="00CA4415" w:rsidRPr="00CD66FC">
              <w:rPr>
                <w:rStyle w:val="Hyperlink"/>
              </w:rPr>
              <w:t>Medical Expenses Submitted Along With, But Not On, A Prescribed Form</w:t>
            </w:r>
            <w:r w:rsidR="00CA4415">
              <w:rPr>
                <w:webHidden/>
              </w:rPr>
              <w:tab/>
            </w:r>
            <w:r w:rsidR="00CA4415">
              <w:rPr>
                <w:webHidden/>
              </w:rPr>
              <w:fldChar w:fldCharType="begin"/>
            </w:r>
            <w:r w:rsidR="00CA4415">
              <w:rPr>
                <w:webHidden/>
              </w:rPr>
              <w:instrText xml:space="preserve"> PAGEREF _Toc32556594 \h </w:instrText>
            </w:r>
            <w:r w:rsidR="00CA4415">
              <w:rPr>
                <w:webHidden/>
              </w:rPr>
            </w:r>
            <w:r w:rsidR="00CA4415">
              <w:rPr>
                <w:webHidden/>
              </w:rPr>
              <w:fldChar w:fldCharType="separate"/>
            </w:r>
            <w:r w:rsidR="00CA4415">
              <w:rPr>
                <w:webHidden/>
              </w:rPr>
              <w:t>1</w:t>
            </w:r>
            <w:r w:rsidR="00CA4415">
              <w:rPr>
                <w:webHidden/>
              </w:rPr>
              <w:fldChar w:fldCharType="end"/>
            </w:r>
          </w:hyperlink>
        </w:p>
        <w:p w14:paraId="54C21A3F" w14:textId="451263E8" w:rsidR="00CA4415" w:rsidRDefault="00C53D58">
          <w:pPr>
            <w:pStyle w:val="TOC1"/>
            <w:rPr>
              <w:rFonts w:asciiTheme="minorHAnsi" w:eastAsiaTheme="minorEastAsia" w:hAnsiTheme="minorHAnsi" w:cstheme="minorBidi"/>
              <w:sz w:val="22"/>
            </w:rPr>
          </w:pPr>
          <w:hyperlink w:anchor="_Toc32556595" w:history="1">
            <w:r w:rsidR="00CA4415" w:rsidRPr="00CD66FC">
              <w:rPr>
                <w:rStyle w:val="Hyperlink"/>
              </w:rPr>
              <w:t>SBP Update</w:t>
            </w:r>
            <w:r w:rsidR="00CA4415">
              <w:rPr>
                <w:webHidden/>
              </w:rPr>
              <w:tab/>
            </w:r>
            <w:r w:rsidR="00CA4415">
              <w:rPr>
                <w:webHidden/>
              </w:rPr>
              <w:fldChar w:fldCharType="begin"/>
            </w:r>
            <w:r w:rsidR="00CA4415">
              <w:rPr>
                <w:webHidden/>
              </w:rPr>
              <w:instrText xml:space="preserve"> PAGEREF _Toc32556595 \h </w:instrText>
            </w:r>
            <w:r w:rsidR="00CA4415">
              <w:rPr>
                <w:webHidden/>
              </w:rPr>
            </w:r>
            <w:r w:rsidR="00CA4415">
              <w:rPr>
                <w:webHidden/>
              </w:rPr>
              <w:fldChar w:fldCharType="separate"/>
            </w:r>
            <w:r w:rsidR="00CA4415">
              <w:rPr>
                <w:webHidden/>
              </w:rPr>
              <w:t>3</w:t>
            </w:r>
            <w:r w:rsidR="00CA4415">
              <w:rPr>
                <w:webHidden/>
              </w:rPr>
              <w:fldChar w:fldCharType="end"/>
            </w:r>
          </w:hyperlink>
        </w:p>
        <w:p w14:paraId="3575D8E6" w14:textId="44D378CE" w:rsidR="00CA4415" w:rsidRDefault="00C53D58">
          <w:pPr>
            <w:pStyle w:val="TOC1"/>
            <w:rPr>
              <w:rFonts w:asciiTheme="minorHAnsi" w:eastAsiaTheme="minorEastAsia" w:hAnsiTheme="minorHAnsi" w:cstheme="minorBidi"/>
              <w:sz w:val="22"/>
            </w:rPr>
          </w:pPr>
          <w:hyperlink w:anchor="_Toc32556596" w:history="1">
            <w:r w:rsidR="00CA4415" w:rsidRPr="00CD66FC">
              <w:rPr>
                <w:rStyle w:val="Hyperlink"/>
              </w:rPr>
              <w:t>Clarification Requested: October and November Field Inquiry Response Highlights – Due Process</w:t>
            </w:r>
            <w:r w:rsidR="00CA4415">
              <w:rPr>
                <w:webHidden/>
              </w:rPr>
              <w:tab/>
            </w:r>
            <w:r w:rsidR="00CA4415">
              <w:rPr>
                <w:webHidden/>
              </w:rPr>
              <w:fldChar w:fldCharType="begin"/>
            </w:r>
            <w:r w:rsidR="00CA4415">
              <w:rPr>
                <w:webHidden/>
              </w:rPr>
              <w:instrText xml:space="preserve"> PAGEREF _Toc32556596 \h </w:instrText>
            </w:r>
            <w:r w:rsidR="00CA4415">
              <w:rPr>
                <w:webHidden/>
              </w:rPr>
            </w:r>
            <w:r w:rsidR="00CA4415">
              <w:rPr>
                <w:webHidden/>
              </w:rPr>
              <w:fldChar w:fldCharType="separate"/>
            </w:r>
            <w:r w:rsidR="00CA4415">
              <w:rPr>
                <w:webHidden/>
              </w:rPr>
              <w:t>4</w:t>
            </w:r>
            <w:r w:rsidR="00CA4415">
              <w:rPr>
                <w:webHidden/>
              </w:rPr>
              <w:fldChar w:fldCharType="end"/>
            </w:r>
          </w:hyperlink>
        </w:p>
        <w:p w14:paraId="050ECC9F" w14:textId="5F1BE40C" w:rsidR="00CA4415" w:rsidRDefault="00C53D58">
          <w:pPr>
            <w:pStyle w:val="TOC1"/>
            <w:rPr>
              <w:rFonts w:asciiTheme="minorHAnsi" w:eastAsiaTheme="minorEastAsia" w:hAnsiTheme="minorHAnsi" w:cstheme="minorBidi"/>
              <w:sz w:val="22"/>
            </w:rPr>
          </w:pPr>
          <w:hyperlink w:anchor="_Toc32556597" w:history="1">
            <w:r w:rsidR="00CA4415" w:rsidRPr="00CD66FC">
              <w:rPr>
                <w:rStyle w:val="Hyperlink"/>
              </w:rPr>
              <w:t>In-Home Attendant Expenses</w:t>
            </w:r>
            <w:r w:rsidR="00CA4415">
              <w:rPr>
                <w:webHidden/>
              </w:rPr>
              <w:tab/>
            </w:r>
            <w:r w:rsidR="00CA4415">
              <w:rPr>
                <w:webHidden/>
              </w:rPr>
              <w:fldChar w:fldCharType="begin"/>
            </w:r>
            <w:r w:rsidR="00CA4415">
              <w:rPr>
                <w:webHidden/>
              </w:rPr>
              <w:instrText xml:space="preserve"> PAGEREF _Toc32556597 \h </w:instrText>
            </w:r>
            <w:r w:rsidR="00CA4415">
              <w:rPr>
                <w:webHidden/>
              </w:rPr>
            </w:r>
            <w:r w:rsidR="00CA4415">
              <w:rPr>
                <w:webHidden/>
              </w:rPr>
              <w:fldChar w:fldCharType="separate"/>
            </w:r>
            <w:r w:rsidR="00CA4415">
              <w:rPr>
                <w:webHidden/>
              </w:rPr>
              <w:t>6</w:t>
            </w:r>
            <w:r w:rsidR="00CA4415">
              <w:rPr>
                <w:webHidden/>
              </w:rPr>
              <w:fldChar w:fldCharType="end"/>
            </w:r>
          </w:hyperlink>
        </w:p>
        <w:p w14:paraId="23CC93CE" w14:textId="239CEDA2" w:rsidR="00CA4415" w:rsidRDefault="00C53D58">
          <w:pPr>
            <w:pStyle w:val="TOC1"/>
            <w:rPr>
              <w:rFonts w:asciiTheme="minorHAnsi" w:eastAsiaTheme="minorEastAsia" w:hAnsiTheme="minorHAnsi" w:cstheme="minorBidi"/>
              <w:sz w:val="22"/>
            </w:rPr>
          </w:pPr>
          <w:hyperlink w:anchor="_Toc32556598" w:history="1">
            <w:r w:rsidR="00CA4415" w:rsidRPr="00CD66FC">
              <w:rPr>
                <w:rStyle w:val="Hyperlink"/>
                <w:b/>
              </w:rPr>
              <w:t>Fiduciary HUB Related Inquiries</w:t>
            </w:r>
            <w:r w:rsidR="00CA4415">
              <w:rPr>
                <w:webHidden/>
              </w:rPr>
              <w:tab/>
            </w:r>
            <w:r w:rsidR="00CA4415">
              <w:rPr>
                <w:webHidden/>
              </w:rPr>
              <w:fldChar w:fldCharType="begin"/>
            </w:r>
            <w:r w:rsidR="00CA4415">
              <w:rPr>
                <w:webHidden/>
              </w:rPr>
              <w:instrText xml:space="preserve"> PAGEREF _Toc32556598 \h </w:instrText>
            </w:r>
            <w:r w:rsidR="00CA4415">
              <w:rPr>
                <w:webHidden/>
              </w:rPr>
            </w:r>
            <w:r w:rsidR="00CA4415">
              <w:rPr>
                <w:webHidden/>
              </w:rPr>
              <w:fldChar w:fldCharType="separate"/>
            </w:r>
            <w:r w:rsidR="00CA4415">
              <w:rPr>
                <w:webHidden/>
              </w:rPr>
              <w:t>7</w:t>
            </w:r>
            <w:r w:rsidR="00CA4415">
              <w:rPr>
                <w:webHidden/>
              </w:rPr>
              <w:fldChar w:fldCharType="end"/>
            </w:r>
          </w:hyperlink>
        </w:p>
        <w:p w14:paraId="7A4F0778" w14:textId="7AEC1D15" w:rsidR="00CA4415" w:rsidRDefault="00C53D58">
          <w:pPr>
            <w:pStyle w:val="TOC1"/>
            <w:rPr>
              <w:rFonts w:asciiTheme="minorHAnsi" w:eastAsiaTheme="minorEastAsia" w:hAnsiTheme="minorHAnsi" w:cstheme="minorBidi"/>
              <w:sz w:val="22"/>
            </w:rPr>
          </w:pPr>
          <w:hyperlink w:anchor="_Toc32556599" w:history="1">
            <w:r w:rsidR="00CA4415" w:rsidRPr="00CD66FC">
              <w:rPr>
                <w:rStyle w:val="Hyperlink"/>
              </w:rPr>
              <w:t>Clarification Requested - Competency Conflicting Evidence</w:t>
            </w:r>
            <w:r w:rsidR="00CA4415">
              <w:rPr>
                <w:webHidden/>
              </w:rPr>
              <w:tab/>
            </w:r>
            <w:r w:rsidR="00CA4415">
              <w:rPr>
                <w:webHidden/>
              </w:rPr>
              <w:fldChar w:fldCharType="begin"/>
            </w:r>
            <w:r w:rsidR="00CA4415">
              <w:rPr>
                <w:webHidden/>
              </w:rPr>
              <w:instrText xml:space="preserve"> PAGEREF _Toc32556599 \h </w:instrText>
            </w:r>
            <w:r w:rsidR="00CA4415">
              <w:rPr>
                <w:webHidden/>
              </w:rPr>
            </w:r>
            <w:r w:rsidR="00CA4415">
              <w:rPr>
                <w:webHidden/>
              </w:rPr>
              <w:fldChar w:fldCharType="separate"/>
            </w:r>
            <w:r w:rsidR="00CA4415">
              <w:rPr>
                <w:webHidden/>
              </w:rPr>
              <w:t>7</w:t>
            </w:r>
            <w:r w:rsidR="00CA4415">
              <w:rPr>
                <w:webHidden/>
              </w:rPr>
              <w:fldChar w:fldCharType="end"/>
            </w:r>
          </w:hyperlink>
        </w:p>
        <w:p w14:paraId="44DE8B4B" w14:textId="037405B9" w:rsidR="00CA4415" w:rsidRDefault="00C53D58">
          <w:pPr>
            <w:pStyle w:val="TOC1"/>
            <w:rPr>
              <w:rFonts w:asciiTheme="minorHAnsi" w:eastAsiaTheme="minorEastAsia" w:hAnsiTheme="minorHAnsi" w:cstheme="minorBidi"/>
              <w:sz w:val="22"/>
            </w:rPr>
          </w:pPr>
          <w:hyperlink w:anchor="_Toc32556600" w:history="1">
            <w:r w:rsidR="00CA4415" w:rsidRPr="00CD66FC">
              <w:rPr>
                <w:rStyle w:val="Hyperlink"/>
              </w:rPr>
              <w:t>Fiduciary Program Manual Updates - Surety Bond Question</w:t>
            </w:r>
            <w:r w:rsidR="00CA4415">
              <w:rPr>
                <w:webHidden/>
              </w:rPr>
              <w:tab/>
            </w:r>
            <w:r w:rsidR="00CA4415">
              <w:rPr>
                <w:webHidden/>
              </w:rPr>
              <w:fldChar w:fldCharType="begin"/>
            </w:r>
            <w:r w:rsidR="00CA4415">
              <w:rPr>
                <w:webHidden/>
              </w:rPr>
              <w:instrText xml:space="preserve"> PAGEREF _Toc32556600 \h </w:instrText>
            </w:r>
            <w:r w:rsidR="00CA4415">
              <w:rPr>
                <w:webHidden/>
              </w:rPr>
            </w:r>
            <w:r w:rsidR="00CA4415">
              <w:rPr>
                <w:webHidden/>
              </w:rPr>
              <w:fldChar w:fldCharType="separate"/>
            </w:r>
            <w:r w:rsidR="00CA4415">
              <w:rPr>
                <w:webHidden/>
              </w:rPr>
              <w:t>8</w:t>
            </w:r>
            <w:r w:rsidR="00CA4415">
              <w:rPr>
                <w:webHidden/>
              </w:rPr>
              <w:fldChar w:fldCharType="end"/>
            </w:r>
          </w:hyperlink>
        </w:p>
        <w:p w14:paraId="28928A19" w14:textId="5E9794F2" w:rsidR="00CA4415" w:rsidRDefault="00C53D58">
          <w:pPr>
            <w:pStyle w:val="TOC1"/>
            <w:rPr>
              <w:rFonts w:asciiTheme="minorHAnsi" w:eastAsiaTheme="minorEastAsia" w:hAnsiTheme="minorHAnsi" w:cstheme="minorBidi"/>
              <w:sz w:val="22"/>
            </w:rPr>
          </w:pPr>
          <w:hyperlink w:anchor="_Toc32556601" w:history="1">
            <w:r w:rsidR="00CA4415" w:rsidRPr="00CD66FC">
              <w:rPr>
                <w:rStyle w:val="Hyperlink"/>
              </w:rPr>
              <w:t>Fiduciary Program Manual Updates - Misuse</w:t>
            </w:r>
            <w:r w:rsidR="00CA4415">
              <w:rPr>
                <w:webHidden/>
              </w:rPr>
              <w:tab/>
            </w:r>
            <w:r w:rsidR="00CA4415">
              <w:rPr>
                <w:webHidden/>
              </w:rPr>
              <w:fldChar w:fldCharType="begin"/>
            </w:r>
            <w:r w:rsidR="00CA4415">
              <w:rPr>
                <w:webHidden/>
              </w:rPr>
              <w:instrText xml:space="preserve"> PAGEREF _Toc32556601 \h </w:instrText>
            </w:r>
            <w:r w:rsidR="00CA4415">
              <w:rPr>
                <w:webHidden/>
              </w:rPr>
            </w:r>
            <w:r w:rsidR="00CA4415">
              <w:rPr>
                <w:webHidden/>
              </w:rPr>
              <w:fldChar w:fldCharType="separate"/>
            </w:r>
            <w:r w:rsidR="00CA4415">
              <w:rPr>
                <w:webHidden/>
              </w:rPr>
              <w:t>9</w:t>
            </w:r>
            <w:r w:rsidR="00CA4415">
              <w:rPr>
                <w:webHidden/>
              </w:rPr>
              <w:fldChar w:fldCharType="end"/>
            </w:r>
          </w:hyperlink>
        </w:p>
        <w:p w14:paraId="18C8B05C" w14:textId="12A7CB84" w:rsidR="00CA4415" w:rsidRDefault="00C53D58">
          <w:pPr>
            <w:pStyle w:val="TOC1"/>
            <w:rPr>
              <w:rFonts w:asciiTheme="minorHAnsi" w:eastAsiaTheme="minorEastAsia" w:hAnsiTheme="minorHAnsi" w:cstheme="minorBidi"/>
              <w:sz w:val="22"/>
            </w:rPr>
          </w:pPr>
          <w:hyperlink w:anchor="_Toc32556602" w:history="1">
            <w:r w:rsidR="00CA4415" w:rsidRPr="00CD66FC">
              <w:rPr>
                <w:rStyle w:val="Hyperlink"/>
              </w:rPr>
              <w:t>VA Form 21-0845</w:t>
            </w:r>
            <w:r w:rsidR="00CA4415">
              <w:rPr>
                <w:webHidden/>
              </w:rPr>
              <w:tab/>
            </w:r>
            <w:r w:rsidR="00CA4415">
              <w:rPr>
                <w:webHidden/>
              </w:rPr>
              <w:fldChar w:fldCharType="begin"/>
            </w:r>
            <w:r w:rsidR="00CA4415">
              <w:rPr>
                <w:webHidden/>
              </w:rPr>
              <w:instrText xml:space="preserve"> PAGEREF _Toc32556602 \h </w:instrText>
            </w:r>
            <w:r w:rsidR="00CA4415">
              <w:rPr>
                <w:webHidden/>
              </w:rPr>
            </w:r>
            <w:r w:rsidR="00CA4415">
              <w:rPr>
                <w:webHidden/>
              </w:rPr>
              <w:fldChar w:fldCharType="separate"/>
            </w:r>
            <w:r w:rsidR="00CA4415">
              <w:rPr>
                <w:webHidden/>
              </w:rPr>
              <w:t>10</w:t>
            </w:r>
            <w:r w:rsidR="00CA4415">
              <w:rPr>
                <w:webHidden/>
              </w:rPr>
              <w:fldChar w:fldCharType="end"/>
            </w:r>
          </w:hyperlink>
        </w:p>
        <w:p w14:paraId="662273A4" w14:textId="6B43E387" w:rsidR="00CA4415" w:rsidRDefault="00C53D58">
          <w:pPr>
            <w:pStyle w:val="TOC1"/>
            <w:rPr>
              <w:rFonts w:asciiTheme="minorHAnsi" w:eastAsiaTheme="minorEastAsia" w:hAnsiTheme="minorHAnsi" w:cstheme="minorBidi"/>
              <w:sz w:val="22"/>
            </w:rPr>
          </w:pPr>
          <w:hyperlink w:anchor="_Toc32556603" w:history="1">
            <w:r w:rsidR="00CA4415" w:rsidRPr="00CD66FC">
              <w:rPr>
                <w:rStyle w:val="Hyperlink"/>
                <w:b/>
              </w:rPr>
              <w:t>P&amp;F Service Information</w:t>
            </w:r>
            <w:r w:rsidR="00CA4415">
              <w:rPr>
                <w:webHidden/>
              </w:rPr>
              <w:tab/>
            </w:r>
            <w:r w:rsidR="00CA4415">
              <w:rPr>
                <w:webHidden/>
              </w:rPr>
              <w:fldChar w:fldCharType="begin"/>
            </w:r>
            <w:r w:rsidR="00CA4415">
              <w:rPr>
                <w:webHidden/>
              </w:rPr>
              <w:instrText xml:space="preserve"> PAGEREF _Toc32556603 \h </w:instrText>
            </w:r>
            <w:r w:rsidR="00CA4415">
              <w:rPr>
                <w:webHidden/>
              </w:rPr>
            </w:r>
            <w:r w:rsidR="00CA4415">
              <w:rPr>
                <w:webHidden/>
              </w:rPr>
              <w:fldChar w:fldCharType="separate"/>
            </w:r>
            <w:r w:rsidR="00CA4415">
              <w:rPr>
                <w:webHidden/>
              </w:rPr>
              <w:t>11</w:t>
            </w:r>
            <w:r w:rsidR="00CA4415">
              <w:rPr>
                <w:webHidden/>
              </w:rPr>
              <w:fldChar w:fldCharType="end"/>
            </w:r>
          </w:hyperlink>
        </w:p>
        <w:p w14:paraId="52BB3996" w14:textId="4C5D1B9F" w:rsidR="00CA4415" w:rsidRDefault="00C53D58">
          <w:pPr>
            <w:pStyle w:val="TOC1"/>
            <w:rPr>
              <w:rFonts w:asciiTheme="minorHAnsi" w:eastAsiaTheme="minorEastAsia" w:hAnsiTheme="minorHAnsi" w:cstheme="minorBidi"/>
              <w:sz w:val="22"/>
            </w:rPr>
          </w:pPr>
          <w:hyperlink w:anchor="_Toc32556604" w:history="1">
            <w:r w:rsidR="00CA4415" w:rsidRPr="00CD66FC">
              <w:rPr>
                <w:rStyle w:val="Hyperlink"/>
              </w:rPr>
              <w:t>P&amp;F Service Contact Information</w:t>
            </w:r>
            <w:r w:rsidR="00CA4415">
              <w:rPr>
                <w:webHidden/>
              </w:rPr>
              <w:tab/>
            </w:r>
            <w:r w:rsidR="00CA4415">
              <w:rPr>
                <w:webHidden/>
              </w:rPr>
              <w:fldChar w:fldCharType="begin"/>
            </w:r>
            <w:r w:rsidR="00CA4415">
              <w:rPr>
                <w:webHidden/>
              </w:rPr>
              <w:instrText xml:space="preserve"> PAGEREF _Toc32556604 \h </w:instrText>
            </w:r>
            <w:r w:rsidR="00CA4415">
              <w:rPr>
                <w:webHidden/>
              </w:rPr>
            </w:r>
            <w:r w:rsidR="00CA4415">
              <w:rPr>
                <w:webHidden/>
              </w:rPr>
              <w:fldChar w:fldCharType="separate"/>
            </w:r>
            <w:r w:rsidR="00CA4415">
              <w:rPr>
                <w:webHidden/>
              </w:rPr>
              <w:t>11</w:t>
            </w:r>
            <w:r w:rsidR="00CA4415">
              <w:rPr>
                <w:webHidden/>
              </w:rPr>
              <w:fldChar w:fldCharType="end"/>
            </w:r>
          </w:hyperlink>
        </w:p>
        <w:p w14:paraId="739D159E" w14:textId="40F2546A" w:rsidR="00CA4415" w:rsidRDefault="00C53D58">
          <w:pPr>
            <w:pStyle w:val="TOC1"/>
            <w:rPr>
              <w:rFonts w:asciiTheme="minorHAnsi" w:eastAsiaTheme="minorEastAsia" w:hAnsiTheme="minorHAnsi" w:cstheme="minorBidi"/>
              <w:sz w:val="22"/>
            </w:rPr>
          </w:pPr>
          <w:hyperlink w:anchor="_Toc32556605" w:history="1">
            <w:r w:rsidR="00CA4415" w:rsidRPr="00CD66FC">
              <w:rPr>
                <w:rStyle w:val="Hyperlink"/>
              </w:rPr>
              <w:t>Disclaimer</w:t>
            </w:r>
            <w:r w:rsidR="00CA4415">
              <w:rPr>
                <w:webHidden/>
              </w:rPr>
              <w:tab/>
            </w:r>
            <w:r w:rsidR="00CA4415">
              <w:rPr>
                <w:webHidden/>
              </w:rPr>
              <w:fldChar w:fldCharType="begin"/>
            </w:r>
            <w:r w:rsidR="00CA4415">
              <w:rPr>
                <w:webHidden/>
              </w:rPr>
              <w:instrText xml:space="preserve"> PAGEREF _Toc32556605 \h </w:instrText>
            </w:r>
            <w:r w:rsidR="00CA4415">
              <w:rPr>
                <w:webHidden/>
              </w:rPr>
            </w:r>
            <w:r w:rsidR="00CA4415">
              <w:rPr>
                <w:webHidden/>
              </w:rPr>
              <w:fldChar w:fldCharType="separate"/>
            </w:r>
            <w:r w:rsidR="00CA4415">
              <w:rPr>
                <w:webHidden/>
              </w:rPr>
              <w:t>11</w:t>
            </w:r>
            <w:r w:rsidR="00CA4415">
              <w:rPr>
                <w:webHidden/>
              </w:rPr>
              <w:fldChar w:fldCharType="end"/>
            </w:r>
          </w:hyperlink>
        </w:p>
        <w:p w14:paraId="22097C67" w14:textId="6247D6CB" w:rsidR="00933CD4" w:rsidRPr="00B06081" w:rsidRDefault="00933CD4" w:rsidP="00165958">
          <w:pPr>
            <w:pStyle w:val="TOC1"/>
            <w:rPr>
              <w:szCs w:val="24"/>
            </w:rPr>
            <w:sectPr w:rsidR="00933CD4" w:rsidRPr="00B06081" w:rsidSect="00192F69">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B06081">
            <w:rPr>
              <w:bCs/>
              <w:szCs w:val="24"/>
            </w:rPr>
            <w:fldChar w:fldCharType="end"/>
          </w:r>
        </w:p>
      </w:sdtContent>
    </w:sdt>
    <w:bookmarkStart w:id="2" w:name="_Toc358792455" w:displacedByCustomXml="prev"/>
    <w:bookmarkStart w:id="3" w:name="_Toc358794014" w:displacedByCustomXml="prev"/>
    <w:bookmarkStart w:id="4" w:name="_Toc358797197" w:displacedByCustomXml="prev"/>
    <w:bookmarkStart w:id="5" w:name="_Toc358798235" w:displacedByCustomXml="prev"/>
    <w:bookmarkStart w:id="6" w:name="_Toc358798484" w:displacedByCustomXml="prev"/>
    <w:p w14:paraId="60F64692" w14:textId="77777777" w:rsidR="00AA74F6" w:rsidRPr="00900D56" w:rsidRDefault="00AA74F6" w:rsidP="00AA74F6">
      <w:pPr>
        <w:pStyle w:val="Heading1"/>
        <w:rPr>
          <w:rFonts w:ascii="Arial" w:hAnsi="Arial" w:cs="Arial"/>
          <w:b/>
          <w:color w:val="auto"/>
          <w:sz w:val="36"/>
        </w:rPr>
      </w:pPr>
      <w:bookmarkStart w:id="7" w:name="_Toc11231410"/>
      <w:bookmarkStart w:id="8" w:name="_Toc32556593"/>
      <w:bookmarkEnd w:id="6"/>
      <w:bookmarkEnd w:id="5"/>
      <w:bookmarkEnd w:id="4"/>
      <w:bookmarkEnd w:id="3"/>
      <w:bookmarkEnd w:id="2"/>
      <w:r w:rsidRPr="00900D56">
        <w:rPr>
          <w:rFonts w:ascii="Arial" w:hAnsi="Arial" w:cs="Arial"/>
          <w:b/>
          <w:color w:val="auto"/>
          <w:sz w:val="36"/>
        </w:rPr>
        <w:t>Pension Management Center Related Inquiries</w:t>
      </w:r>
      <w:bookmarkEnd w:id="7"/>
      <w:bookmarkEnd w:id="8"/>
    </w:p>
    <w:p w14:paraId="7F1CE1DB" w14:textId="213E495E" w:rsidR="00B06081" w:rsidRPr="00824543" w:rsidRDefault="00D5170B" w:rsidP="00824543">
      <w:pPr>
        <w:pStyle w:val="Heading1"/>
        <w:rPr>
          <w:rFonts w:ascii="Arial" w:hAnsi="Arial" w:cs="Arial"/>
        </w:rPr>
      </w:pPr>
      <w:bookmarkStart w:id="9" w:name="_Toc32556594"/>
      <w:r w:rsidRPr="00D5170B">
        <w:rPr>
          <w:rFonts w:ascii="Arial" w:hAnsi="Arial" w:cs="Arial"/>
        </w:rPr>
        <w:t>Medical Expenses Submitted Along With, But Not On, A Prescribed Form</w:t>
      </w:r>
      <w:bookmarkEnd w:id="9"/>
    </w:p>
    <w:p w14:paraId="12119AC1" w14:textId="77777777" w:rsidR="00B06081" w:rsidRPr="003334F9" w:rsidRDefault="00B06081" w:rsidP="00975DE1">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00830568" w:rsidRPr="003334F9">
        <w:rPr>
          <w:rFonts w:ascii="Arial" w:hAnsi="Arial" w:cs="Arial"/>
        </w:rPr>
        <w:t>PMC Claims Processors</w:t>
      </w:r>
    </w:p>
    <w:p w14:paraId="486A8BE5" w14:textId="715DF273" w:rsidR="00161EB9" w:rsidRDefault="00161EB9" w:rsidP="00975DE1">
      <w:pPr>
        <w:spacing w:after="0" w:line="240" w:lineRule="auto"/>
        <w:rPr>
          <w:rFonts w:ascii="Arial" w:hAnsi="Arial" w:cs="Arial"/>
        </w:rPr>
      </w:pPr>
    </w:p>
    <w:p w14:paraId="3C2B1E56" w14:textId="48E5A29A" w:rsidR="00D5170B" w:rsidRDefault="00D5170B" w:rsidP="00975DE1">
      <w:pPr>
        <w:spacing w:after="0" w:line="240" w:lineRule="auto"/>
        <w:rPr>
          <w:rFonts w:ascii="Arial" w:hAnsi="Arial" w:cs="Arial"/>
        </w:rPr>
      </w:pPr>
      <w:r w:rsidRPr="00D5170B">
        <w:rPr>
          <w:rFonts w:ascii="Arial" w:hAnsi="Arial" w:cs="Arial"/>
        </w:rPr>
        <w:t xml:space="preserve">If a claimant submits a VA Form 21-0779, Request for Nursing Home Information in Connection with Claim for Aid and Attendance, Care Expense Statement (assisted living </w:t>
      </w:r>
      <w:r w:rsidRPr="00D5170B">
        <w:rPr>
          <w:rFonts w:ascii="Arial" w:hAnsi="Arial" w:cs="Arial"/>
        </w:rPr>
        <w:lastRenderedPageBreak/>
        <w:t xml:space="preserve">facility), or Attendant Affidavit in conjunction with a  prescribed form for a running or non-running award, but does not report the expense(s) on a completed prescribed form that was simultaneously submitted (VA Form 21P-527EZ, Application for Pension, VA Form 21P-534EZ, Application for DIC, Survivors Pension, and/or Accrued Benefits, or VA Form 21P-8416, Medical Expense Report), can the expense(s) be allowed as a deduction?  There are several references that seem to conflict with one another.    </w:t>
      </w:r>
    </w:p>
    <w:p w14:paraId="2C9BC863" w14:textId="77777777" w:rsidR="00D5170B" w:rsidRPr="003334F9" w:rsidRDefault="00D5170B" w:rsidP="00975DE1">
      <w:pPr>
        <w:spacing w:after="0" w:line="240" w:lineRule="auto"/>
        <w:rPr>
          <w:rFonts w:ascii="Arial" w:hAnsi="Arial" w:cs="Arial"/>
        </w:rPr>
      </w:pPr>
    </w:p>
    <w:p w14:paraId="1DA884C4" w14:textId="2D9BC24B" w:rsidR="00D5170B" w:rsidRPr="00D5170B" w:rsidRDefault="003C7AC3" w:rsidP="00D5170B">
      <w:pPr>
        <w:spacing w:after="0" w:line="240" w:lineRule="auto"/>
        <w:rPr>
          <w:rFonts w:ascii="Arial" w:hAnsi="Arial" w:cs="Arial"/>
          <w:szCs w:val="24"/>
        </w:rPr>
      </w:pPr>
      <w:r w:rsidRPr="003334F9">
        <w:rPr>
          <w:rFonts w:ascii="Arial" w:hAnsi="Arial" w:cs="Arial"/>
          <w:b/>
        </w:rPr>
        <w:t>Question</w:t>
      </w:r>
      <w:r w:rsidR="00D5170B">
        <w:rPr>
          <w:rFonts w:ascii="Arial" w:hAnsi="Arial" w:cs="Arial"/>
          <w:b/>
        </w:rPr>
        <w:t xml:space="preserve"> 1</w:t>
      </w:r>
      <w:r w:rsidRPr="00D5170B">
        <w:rPr>
          <w:rFonts w:ascii="Arial" w:hAnsi="Arial" w:cs="Arial"/>
        </w:rPr>
        <w:t>:</w:t>
      </w:r>
      <w:r w:rsidR="00830568" w:rsidRPr="003334F9">
        <w:rPr>
          <w:rFonts w:ascii="Arial" w:hAnsi="Arial" w:cs="Arial"/>
          <w:b/>
        </w:rPr>
        <w:t xml:space="preserve">  </w:t>
      </w:r>
      <w:r w:rsidR="00D5170B" w:rsidRPr="00D5170B">
        <w:rPr>
          <w:rFonts w:ascii="Arial" w:hAnsi="Arial" w:cs="Arial"/>
          <w:szCs w:val="24"/>
        </w:rPr>
        <w:t xml:space="preserve">Can medical expenses be received orally or do they need to be on a fully complete standard form? </w:t>
      </w:r>
    </w:p>
    <w:p w14:paraId="64FA0B53"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67914ADD" w14:textId="77777777" w:rsidR="00D5170B" w:rsidRPr="00D5170B" w:rsidRDefault="00D5170B" w:rsidP="00D5170B">
      <w:pPr>
        <w:spacing w:after="0" w:line="240" w:lineRule="auto"/>
        <w:rPr>
          <w:rFonts w:ascii="Arial" w:hAnsi="Arial" w:cs="Arial"/>
          <w:szCs w:val="24"/>
        </w:rPr>
      </w:pPr>
      <w:r w:rsidRPr="00D5170B">
        <w:rPr>
          <w:rFonts w:ascii="Arial" w:hAnsi="Arial" w:cs="Arial"/>
          <w:b/>
          <w:szCs w:val="24"/>
        </w:rPr>
        <w:t>Response 1</w:t>
      </w:r>
      <w:r w:rsidRPr="00D5170B">
        <w:rPr>
          <w:rFonts w:ascii="Arial" w:hAnsi="Arial" w:cs="Arial"/>
          <w:szCs w:val="24"/>
        </w:rPr>
        <w:t>:  A claim for medical expenses that will result in an increased benefit must be initiated on a proper standard form.  However, once a claim is properly received, development can be completed by telephone.  (M21-1 V.111.1.G.4.a and b)</w:t>
      </w:r>
    </w:p>
    <w:p w14:paraId="4BF1E6B6"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1A2CB993"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Medical expense adjustments that will result in decreased benefit payment may be made on the basis of information submitted orally, by e-mail or fax, or by other electronic means under the provisions of 38 CFR 3.217.  </w:t>
      </w:r>
    </w:p>
    <w:p w14:paraId="40D7EDA1"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36C4204A" w14:textId="77777777" w:rsidR="00D5170B" w:rsidRPr="00D5170B" w:rsidRDefault="00D5170B" w:rsidP="00D5170B">
      <w:pPr>
        <w:spacing w:after="0" w:line="240" w:lineRule="auto"/>
        <w:rPr>
          <w:rFonts w:ascii="Arial" w:hAnsi="Arial" w:cs="Arial"/>
          <w:szCs w:val="24"/>
        </w:rPr>
      </w:pPr>
      <w:r w:rsidRPr="00D5170B">
        <w:rPr>
          <w:rFonts w:ascii="Arial" w:hAnsi="Arial" w:cs="Arial"/>
          <w:b/>
          <w:szCs w:val="24"/>
        </w:rPr>
        <w:t>Question 2</w:t>
      </w:r>
      <w:r w:rsidRPr="00D5170B">
        <w:rPr>
          <w:rFonts w:ascii="Arial" w:hAnsi="Arial" w:cs="Arial"/>
          <w:szCs w:val="24"/>
        </w:rPr>
        <w:t xml:space="preserve">:  Can PMCs consider medical expenses submitted along with, but not on, a completed and signed prescribed form?  </w:t>
      </w:r>
    </w:p>
    <w:p w14:paraId="1D1798D1"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2D4E4CEA" w14:textId="77777777" w:rsidR="00D5170B" w:rsidRPr="00D5170B" w:rsidRDefault="00D5170B" w:rsidP="00D5170B">
      <w:pPr>
        <w:spacing w:after="0" w:line="240" w:lineRule="auto"/>
        <w:rPr>
          <w:rFonts w:ascii="Arial" w:hAnsi="Arial" w:cs="Arial"/>
          <w:szCs w:val="24"/>
        </w:rPr>
      </w:pPr>
      <w:r w:rsidRPr="00D5170B">
        <w:rPr>
          <w:rFonts w:ascii="Arial" w:hAnsi="Arial" w:cs="Arial"/>
          <w:b/>
          <w:szCs w:val="24"/>
        </w:rPr>
        <w:t>Response 2</w:t>
      </w:r>
      <w:r w:rsidRPr="00D5170B">
        <w:rPr>
          <w:rFonts w:ascii="Arial" w:hAnsi="Arial" w:cs="Arial"/>
          <w:szCs w:val="24"/>
        </w:rPr>
        <w:t>:  A claim for a medical expense deduction that will result in increased benefit payments must be supported by a</w:t>
      </w:r>
    </w:p>
    <w:p w14:paraId="2FE96F52"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29606D1D" w14:textId="583B183F" w:rsidR="00D5170B" w:rsidRPr="00D5170B" w:rsidRDefault="00904270" w:rsidP="004E1DA6">
      <w:pPr>
        <w:pStyle w:val="ListParagraph"/>
        <w:numPr>
          <w:ilvl w:val="0"/>
          <w:numId w:val="4"/>
        </w:numPr>
        <w:spacing w:after="0" w:line="240" w:lineRule="auto"/>
        <w:rPr>
          <w:rFonts w:ascii="Arial" w:hAnsi="Arial" w:cs="Arial"/>
          <w:szCs w:val="24"/>
        </w:rPr>
      </w:pPr>
      <w:r>
        <w:rPr>
          <w:rFonts w:ascii="Arial" w:hAnsi="Arial" w:cs="Arial"/>
          <w:szCs w:val="24"/>
        </w:rPr>
        <w:t>substantially complete</w:t>
      </w:r>
      <w:r w:rsidR="00D5170B" w:rsidRPr="00D5170B">
        <w:rPr>
          <w:rFonts w:ascii="Arial" w:hAnsi="Arial" w:cs="Arial"/>
          <w:szCs w:val="24"/>
        </w:rPr>
        <w:t xml:space="preserve"> VA Form 21P-8416, Medical Expense Report, or</w:t>
      </w:r>
    </w:p>
    <w:p w14:paraId="7346C095" w14:textId="61085902" w:rsidR="00D5170B" w:rsidRPr="00904270" w:rsidRDefault="00904270" w:rsidP="00904270">
      <w:pPr>
        <w:pStyle w:val="ListParagraph"/>
        <w:numPr>
          <w:ilvl w:val="0"/>
          <w:numId w:val="4"/>
        </w:numPr>
        <w:spacing w:after="0" w:line="240" w:lineRule="auto"/>
        <w:rPr>
          <w:rFonts w:ascii="Arial" w:hAnsi="Arial" w:cs="Arial"/>
          <w:szCs w:val="24"/>
        </w:rPr>
      </w:pPr>
      <w:r>
        <w:rPr>
          <w:rFonts w:ascii="Arial" w:hAnsi="Arial" w:cs="Arial"/>
          <w:szCs w:val="24"/>
        </w:rPr>
        <w:t xml:space="preserve">substantially complete </w:t>
      </w:r>
      <w:r w:rsidR="00D5170B" w:rsidRPr="00D5170B">
        <w:rPr>
          <w:rFonts w:ascii="Arial" w:hAnsi="Arial" w:cs="Arial"/>
          <w:szCs w:val="24"/>
        </w:rPr>
        <w:t>standard form listed in M21-1, Part III, Subpart ii, 2.B that requests information consistent with what is requested on VA Form 21P-8416. Examples include VA Form 21P-527EZ, Application for Pension and VA Form 21P-534EZ, Application for DIC, Survivors Pension, and/or Accrued Benefits.  (M21-1 V.</w:t>
      </w:r>
      <w:r w:rsidR="00B24248">
        <w:rPr>
          <w:rFonts w:ascii="Arial" w:hAnsi="Arial" w:cs="Arial"/>
          <w:szCs w:val="24"/>
        </w:rPr>
        <w:t>III</w:t>
      </w:r>
      <w:r w:rsidR="00D5170B" w:rsidRPr="00D5170B">
        <w:rPr>
          <w:rFonts w:ascii="Arial" w:hAnsi="Arial" w:cs="Arial"/>
          <w:szCs w:val="24"/>
        </w:rPr>
        <w:t>.1.G.4.b</w:t>
      </w:r>
      <w:r w:rsidR="00B24248">
        <w:rPr>
          <w:rFonts w:ascii="Arial" w:hAnsi="Arial" w:cs="Arial"/>
          <w:szCs w:val="24"/>
        </w:rPr>
        <w:t xml:space="preserve"> and</w:t>
      </w:r>
      <w:r>
        <w:rPr>
          <w:rFonts w:ascii="Arial" w:hAnsi="Arial" w:cs="Arial"/>
          <w:szCs w:val="24"/>
        </w:rPr>
        <w:t xml:space="preserve"> </w:t>
      </w:r>
      <w:r w:rsidRPr="00904270">
        <w:rPr>
          <w:rFonts w:ascii="Arial" w:hAnsi="Arial" w:cs="Arial"/>
          <w:szCs w:val="24"/>
        </w:rPr>
        <w:t>M21-1 I</w:t>
      </w:r>
      <w:r>
        <w:rPr>
          <w:rFonts w:ascii="Arial" w:hAnsi="Arial" w:cs="Arial"/>
          <w:szCs w:val="24"/>
        </w:rPr>
        <w:t>.</w:t>
      </w:r>
      <w:r w:rsidRPr="00904270">
        <w:rPr>
          <w:rFonts w:ascii="Arial" w:hAnsi="Arial" w:cs="Arial"/>
          <w:szCs w:val="24"/>
        </w:rPr>
        <w:t>1.B.1.b</w:t>
      </w:r>
      <w:r w:rsidR="00D5170B" w:rsidRPr="00904270">
        <w:rPr>
          <w:rFonts w:ascii="Arial" w:hAnsi="Arial" w:cs="Arial"/>
          <w:szCs w:val="24"/>
        </w:rPr>
        <w:t>)</w:t>
      </w:r>
    </w:p>
    <w:p w14:paraId="7C57062B"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31948B25"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However, additional expenses can be attached to the standard form if more space is needed.</w:t>
      </w:r>
    </w:p>
    <w:p w14:paraId="2AAAD718"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770A8696"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Medical expense adjustments that will result in decreased benefit payment may be made on the basis of information submitted orally, by e-mail or fax, or by other electronic means under the provisions of 38 CFR 3.217.  If a form is submitted, it must be signed by the beneficiary or their fiduciary.  If submitted orally, the information must be documented in the beneficiary's VA records with the specific information or statement provided using a VA Forms 21-0820, Report of General Information.  The documented information should contain the date such information or statement was provided, the identity of the provider, the steps taken to verify the identity of the provider as being either the beneficiary or his or her fiduciary, and that he or she informed the provider that the information would be used for the purpose of calculating benefit amounts.  (M21-1 III.iii.1.B.1.d, e, and f)</w:t>
      </w:r>
    </w:p>
    <w:p w14:paraId="69DA24A5"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70BCCD64" w14:textId="77777777" w:rsidR="00D5170B" w:rsidRPr="00D5170B" w:rsidRDefault="00D5170B" w:rsidP="00D5170B">
      <w:pPr>
        <w:spacing w:after="0" w:line="240" w:lineRule="auto"/>
        <w:rPr>
          <w:rFonts w:ascii="Arial" w:hAnsi="Arial" w:cs="Arial"/>
          <w:szCs w:val="24"/>
        </w:rPr>
      </w:pPr>
      <w:r w:rsidRPr="00D5170B">
        <w:rPr>
          <w:rFonts w:ascii="Arial" w:hAnsi="Arial" w:cs="Arial"/>
          <w:b/>
          <w:szCs w:val="24"/>
        </w:rPr>
        <w:lastRenderedPageBreak/>
        <w:t>Question 3</w:t>
      </w:r>
      <w:r w:rsidRPr="00D5170B">
        <w:rPr>
          <w:rFonts w:ascii="Arial" w:hAnsi="Arial" w:cs="Arial"/>
          <w:szCs w:val="24"/>
        </w:rPr>
        <w:t>:  Does the form or additional information submitted with the claim which includes medical expenses that qualify for deduction, but not submitted on a prescribed form, need to be signed by the claimant in order to allow the expenses?</w:t>
      </w:r>
    </w:p>
    <w:p w14:paraId="16207469"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18E3DD22" w14:textId="0FF7251E" w:rsidR="00D5170B" w:rsidRPr="00D5170B" w:rsidRDefault="00D5170B" w:rsidP="00904270">
      <w:pPr>
        <w:spacing w:after="0" w:line="240" w:lineRule="auto"/>
        <w:rPr>
          <w:rFonts w:ascii="Arial" w:hAnsi="Arial" w:cs="Arial"/>
          <w:szCs w:val="24"/>
        </w:rPr>
      </w:pPr>
      <w:r w:rsidRPr="00D5170B">
        <w:rPr>
          <w:rFonts w:ascii="Arial" w:hAnsi="Arial" w:cs="Arial"/>
          <w:b/>
          <w:szCs w:val="24"/>
        </w:rPr>
        <w:t>Response 3</w:t>
      </w:r>
      <w:r w:rsidRPr="00D5170B">
        <w:rPr>
          <w:rFonts w:ascii="Arial" w:hAnsi="Arial" w:cs="Arial"/>
          <w:szCs w:val="24"/>
        </w:rPr>
        <w:t xml:space="preserve">:  </w:t>
      </w:r>
      <w:r w:rsidR="00B24248">
        <w:rPr>
          <w:rFonts w:ascii="Arial" w:hAnsi="Arial" w:cs="Arial"/>
          <w:szCs w:val="24"/>
        </w:rPr>
        <w:t>Yes, p</w:t>
      </w:r>
      <w:r w:rsidR="00904270">
        <w:rPr>
          <w:rFonts w:ascii="Arial" w:hAnsi="Arial" w:cs="Arial"/>
          <w:szCs w:val="24"/>
        </w:rPr>
        <w:t xml:space="preserve">lease see Response 2 above. </w:t>
      </w:r>
      <w:r w:rsidR="00B24248">
        <w:rPr>
          <w:rFonts w:ascii="Arial" w:hAnsi="Arial" w:cs="Arial"/>
          <w:szCs w:val="24"/>
        </w:rPr>
        <w:t xml:space="preserve">An acceptable signature is a requirement of a substantially complete signed form. (M21-1 </w:t>
      </w:r>
      <w:r w:rsidR="00B24248" w:rsidRPr="00B24248">
        <w:rPr>
          <w:rFonts w:ascii="Arial" w:hAnsi="Arial" w:cs="Arial"/>
          <w:szCs w:val="24"/>
        </w:rPr>
        <w:t>III.ii.1.C.2</w:t>
      </w:r>
      <w:r w:rsidR="00B24248">
        <w:rPr>
          <w:rFonts w:ascii="Arial" w:hAnsi="Arial" w:cs="Arial"/>
          <w:szCs w:val="24"/>
        </w:rPr>
        <w:t xml:space="preserve"> and </w:t>
      </w:r>
      <w:r w:rsidR="00B24248" w:rsidRPr="00904270">
        <w:rPr>
          <w:rFonts w:ascii="Arial" w:hAnsi="Arial" w:cs="Arial"/>
          <w:szCs w:val="24"/>
        </w:rPr>
        <w:t>M21-1 I</w:t>
      </w:r>
      <w:r w:rsidR="00B24248">
        <w:rPr>
          <w:rFonts w:ascii="Arial" w:hAnsi="Arial" w:cs="Arial"/>
          <w:szCs w:val="24"/>
        </w:rPr>
        <w:t>.</w:t>
      </w:r>
      <w:r w:rsidR="00B24248" w:rsidRPr="00904270">
        <w:rPr>
          <w:rFonts w:ascii="Arial" w:hAnsi="Arial" w:cs="Arial"/>
          <w:szCs w:val="24"/>
        </w:rPr>
        <w:t>1.B.1.b</w:t>
      </w:r>
      <w:r w:rsidR="00B24248">
        <w:rPr>
          <w:rFonts w:ascii="Arial" w:hAnsi="Arial" w:cs="Arial"/>
          <w:szCs w:val="24"/>
        </w:rPr>
        <w:t xml:space="preserve">) </w:t>
      </w:r>
    </w:p>
    <w:p w14:paraId="78A72442" w14:textId="77777777" w:rsidR="00D5170B" w:rsidRPr="00D5170B" w:rsidRDefault="00D5170B" w:rsidP="00D5170B">
      <w:pPr>
        <w:spacing w:after="0" w:line="240" w:lineRule="auto"/>
        <w:rPr>
          <w:rFonts w:ascii="Arial" w:hAnsi="Arial" w:cs="Arial"/>
          <w:szCs w:val="24"/>
        </w:rPr>
      </w:pPr>
      <w:r w:rsidRPr="00D5170B">
        <w:rPr>
          <w:rFonts w:ascii="Arial" w:hAnsi="Arial" w:cs="Arial"/>
          <w:b/>
          <w:szCs w:val="24"/>
        </w:rPr>
        <w:t>Question 4</w:t>
      </w:r>
      <w:r w:rsidRPr="00D5170B">
        <w:rPr>
          <w:rFonts w:ascii="Arial" w:hAnsi="Arial" w:cs="Arial"/>
          <w:szCs w:val="24"/>
        </w:rPr>
        <w:t>:  If PMCs cannot allow expenses because they were not submitted on a prescribed form, are they still considered claimed expenses?</w:t>
      </w:r>
    </w:p>
    <w:p w14:paraId="3F27000C"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5639A0CD" w14:textId="77777777" w:rsidR="00D5170B" w:rsidRPr="00D5170B" w:rsidRDefault="00D5170B" w:rsidP="00D5170B">
      <w:pPr>
        <w:spacing w:after="0" w:line="240" w:lineRule="auto"/>
        <w:rPr>
          <w:rFonts w:ascii="Arial" w:hAnsi="Arial" w:cs="Arial"/>
          <w:szCs w:val="24"/>
        </w:rPr>
      </w:pPr>
      <w:r w:rsidRPr="00D5170B">
        <w:rPr>
          <w:rFonts w:ascii="Arial" w:hAnsi="Arial" w:cs="Arial"/>
          <w:b/>
          <w:szCs w:val="24"/>
        </w:rPr>
        <w:t>Response 4</w:t>
      </w:r>
      <w:r w:rsidRPr="00D5170B">
        <w:rPr>
          <w:rFonts w:ascii="Arial" w:hAnsi="Arial" w:cs="Arial"/>
          <w:szCs w:val="24"/>
        </w:rPr>
        <w:t>:  For claims not filed on the prescribed form when required, adjudicators should treat them as a request for application and forward the claimant the proper form(s) to complete as instructed in M21-1 III.ii.2.C.</w:t>
      </w:r>
    </w:p>
    <w:p w14:paraId="7BDACD82"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140AE9CB"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Expenses submitted in addition to a standard form as an extension of the standard form can be accepted.</w:t>
      </w:r>
    </w:p>
    <w:p w14:paraId="01B7C413"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01E9D0A4" w14:textId="77777777" w:rsidR="00D5170B" w:rsidRPr="00D5170B" w:rsidRDefault="00D5170B" w:rsidP="00D5170B">
      <w:pPr>
        <w:spacing w:after="0" w:line="240" w:lineRule="auto"/>
        <w:rPr>
          <w:rFonts w:ascii="Arial" w:hAnsi="Arial" w:cs="Arial"/>
          <w:szCs w:val="24"/>
        </w:rPr>
      </w:pPr>
      <w:r w:rsidRPr="00D5170B">
        <w:rPr>
          <w:rFonts w:ascii="Arial" w:hAnsi="Arial" w:cs="Arial"/>
          <w:b/>
          <w:szCs w:val="24"/>
        </w:rPr>
        <w:t>Question 5</w:t>
      </w:r>
      <w:r w:rsidRPr="00D5170B">
        <w:rPr>
          <w:rFonts w:ascii="Arial" w:hAnsi="Arial" w:cs="Arial"/>
          <w:szCs w:val="24"/>
        </w:rPr>
        <w:t>:  If the expenses indicated in the evidence submitted but not on a prescribed form are considered claimed expenses, is development necessary?</w:t>
      </w:r>
    </w:p>
    <w:p w14:paraId="01F5DEDA"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50730F4E" w14:textId="77777777" w:rsidR="00D5170B" w:rsidRPr="00D5170B" w:rsidRDefault="00D5170B" w:rsidP="00D5170B">
      <w:pPr>
        <w:spacing w:after="0" w:line="240" w:lineRule="auto"/>
        <w:rPr>
          <w:rFonts w:ascii="Arial" w:hAnsi="Arial" w:cs="Arial"/>
          <w:szCs w:val="24"/>
        </w:rPr>
      </w:pPr>
      <w:r w:rsidRPr="00D5170B">
        <w:rPr>
          <w:rFonts w:ascii="Arial" w:hAnsi="Arial" w:cs="Arial"/>
          <w:b/>
          <w:szCs w:val="24"/>
        </w:rPr>
        <w:t>Response 5</w:t>
      </w:r>
      <w:r w:rsidRPr="00D5170B">
        <w:rPr>
          <w:rFonts w:ascii="Arial" w:hAnsi="Arial" w:cs="Arial"/>
          <w:szCs w:val="24"/>
        </w:rPr>
        <w:t>:  Any accepted medical expenses that require development must be developed.</w:t>
      </w:r>
    </w:p>
    <w:p w14:paraId="691F0BCD"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6714A0BF" w14:textId="77777777" w:rsidR="00D5170B" w:rsidRPr="00D5170B" w:rsidRDefault="00D5170B" w:rsidP="00D5170B">
      <w:pPr>
        <w:spacing w:after="0" w:line="240" w:lineRule="auto"/>
        <w:rPr>
          <w:rFonts w:ascii="Arial" w:hAnsi="Arial" w:cs="Arial"/>
          <w:szCs w:val="24"/>
        </w:rPr>
      </w:pPr>
      <w:r w:rsidRPr="00D5170B">
        <w:rPr>
          <w:rFonts w:ascii="Arial" w:hAnsi="Arial" w:cs="Arial"/>
          <w:b/>
          <w:szCs w:val="24"/>
        </w:rPr>
        <w:t>Question 6</w:t>
      </w:r>
      <w:r w:rsidRPr="00D5170B">
        <w:rPr>
          <w:rFonts w:ascii="Arial" w:hAnsi="Arial" w:cs="Arial"/>
          <w:szCs w:val="24"/>
        </w:rPr>
        <w:t xml:space="preserve">:  If development is necessary because the expenses were not submitted on the proper prescribed form, would it be sufficient to include a 8416 (or other prescribed form depending on the action we are taking) in our final action letter and tell the claimant if they would like to submit medical expenses, to return the completed form?  </w:t>
      </w:r>
    </w:p>
    <w:p w14:paraId="1D67A118" w14:textId="77777777" w:rsidR="00D5170B" w:rsidRPr="00D5170B" w:rsidRDefault="00D5170B" w:rsidP="00D5170B">
      <w:pPr>
        <w:spacing w:after="0" w:line="240" w:lineRule="auto"/>
        <w:rPr>
          <w:rFonts w:ascii="Arial" w:hAnsi="Arial" w:cs="Arial"/>
          <w:szCs w:val="24"/>
        </w:rPr>
      </w:pPr>
      <w:r w:rsidRPr="00D5170B">
        <w:rPr>
          <w:rFonts w:ascii="Arial" w:hAnsi="Arial" w:cs="Arial"/>
          <w:szCs w:val="24"/>
        </w:rPr>
        <w:t xml:space="preserve"> </w:t>
      </w:r>
    </w:p>
    <w:p w14:paraId="6D8AE462" w14:textId="1757A699" w:rsidR="00D5170B" w:rsidRDefault="00D5170B" w:rsidP="00D5170B">
      <w:pPr>
        <w:spacing w:after="0" w:line="240" w:lineRule="auto"/>
        <w:rPr>
          <w:rFonts w:ascii="Arial" w:hAnsi="Arial" w:cs="Arial"/>
          <w:szCs w:val="24"/>
        </w:rPr>
      </w:pPr>
      <w:r w:rsidRPr="00D5170B">
        <w:rPr>
          <w:rFonts w:ascii="Arial" w:hAnsi="Arial" w:cs="Arial"/>
          <w:b/>
          <w:szCs w:val="24"/>
        </w:rPr>
        <w:t>Response 6</w:t>
      </w:r>
      <w:r w:rsidRPr="00D5170B">
        <w:rPr>
          <w:rFonts w:ascii="Arial" w:hAnsi="Arial" w:cs="Arial"/>
          <w:szCs w:val="24"/>
        </w:rPr>
        <w:t>:  Only develop a claim if the expenses were submitted properly per M21-1 V.</w:t>
      </w:r>
      <w:r w:rsidR="00B24248">
        <w:rPr>
          <w:rFonts w:ascii="Arial" w:hAnsi="Arial" w:cs="Arial"/>
          <w:szCs w:val="24"/>
        </w:rPr>
        <w:t>III</w:t>
      </w:r>
      <w:r w:rsidRPr="00D5170B">
        <w:rPr>
          <w:rFonts w:ascii="Arial" w:hAnsi="Arial" w:cs="Arial"/>
          <w:szCs w:val="24"/>
        </w:rPr>
        <w:t xml:space="preserve">.1.G.4.a and b.  For claims not filed on the prescribed form when required, adjudicators should treat them as a request for application and forward the claimant the proper form(s) to complete as instructed in M21-1 III.ii.2.C.  </w:t>
      </w:r>
    </w:p>
    <w:p w14:paraId="3C5FD6DD" w14:textId="77777777" w:rsidR="00C65B92" w:rsidRPr="00C65B92" w:rsidRDefault="00C65B92" w:rsidP="008D545A">
      <w:pPr>
        <w:spacing w:after="0" w:line="240" w:lineRule="auto"/>
        <w:rPr>
          <w:rFonts w:ascii="Arial" w:hAnsi="Arial" w:cs="Arial"/>
          <w:szCs w:val="24"/>
        </w:rPr>
      </w:pPr>
    </w:p>
    <w:p w14:paraId="43C2ADE2" w14:textId="60CF720E" w:rsidR="00161EB9" w:rsidRPr="003334F9" w:rsidRDefault="003C7AC3" w:rsidP="008D545A">
      <w:pPr>
        <w:spacing w:after="0" w:line="240" w:lineRule="auto"/>
        <w:rPr>
          <w:rFonts w:ascii="Arial" w:hAnsi="Arial" w:cs="Arial"/>
        </w:rPr>
      </w:pPr>
      <w:r w:rsidRPr="003334F9">
        <w:rPr>
          <w:rFonts w:ascii="Arial" w:hAnsi="Arial" w:cs="Arial"/>
          <w:b/>
        </w:rPr>
        <w:t>Result:</w:t>
      </w:r>
      <w:r w:rsidRPr="003334F9">
        <w:rPr>
          <w:rFonts w:ascii="Arial" w:hAnsi="Arial" w:cs="Arial"/>
        </w:rPr>
        <w:t xml:space="preserve"> </w:t>
      </w:r>
      <w:r w:rsidR="00830568" w:rsidRPr="003334F9">
        <w:rPr>
          <w:rFonts w:ascii="Arial" w:hAnsi="Arial" w:cs="Arial"/>
        </w:rPr>
        <w:t xml:space="preserve"> </w:t>
      </w:r>
      <w:r w:rsidR="00D5170B">
        <w:rPr>
          <w:rFonts w:ascii="Arial" w:hAnsi="Arial" w:cs="Arial"/>
        </w:rPr>
        <w:t>M21-1 updated on December 16, 2019</w:t>
      </w:r>
      <w:r w:rsidR="00B51D15" w:rsidRPr="003334F9">
        <w:rPr>
          <w:rFonts w:ascii="Arial" w:hAnsi="Arial" w:cs="Arial"/>
          <w:szCs w:val="24"/>
        </w:rPr>
        <w:t>.</w:t>
      </w:r>
    </w:p>
    <w:p w14:paraId="1E958986" w14:textId="17AE13CE" w:rsidR="008A465E" w:rsidRPr="003C7AC3" w:rsidRDefault="00E15582" w:rsidP="008A465E">
      <w:pPr>
        <w:pStyle w:val="Heading1"/>
        <w:rPr>
          <w:rFonts w:ascii="Arial" w:hAnsi="Arial" w:cs="Arial"/>
        </w:rPr>
      </w:pPr>
      <w:bookmarkStart w:id="10" w:name="_Toc32556595"/>
      <w:r>
        <w:rPr>
          <w:rFonts w:ascii="Arial" w:hAnsi="Arial" w:cs="Arial"/>
        </w:rPr>
        <w:t>SBP Update</w:t>
      </w:r>
      <w:bookmarkEnd w:id="10"/>
    </w:p>
    <w:p w14:paraId="69C9AC06" w14:textId="77777777" w:rsidR="008A465E" w:rsidRPr="00B06081" w:rsidRDefault="008A465E" w:rsidP="009F2C78">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171D09">
        <w:rPr>
          <w:rFonts w:ascii="Arial" w:hAnsi="Arial" w:cs="Arial"/>
          <w:szCs w:val="24"/>
        </w:rPr>
        <w:t xml:space="preserve"> </w:t>
      </w:r>
      <w:r w:rsidR="00171D09">
        <w:rPr>
          <w:rFonts w:ascii="Arial" w:hAnsi="Arial" w:cs="Arial"/>
        </w:rPr>
        <w:t>PMC Claims Processors</w:t>
      </w:r>
    </w:p>
    <w:p w14:paraId="78D953EB" w14:textId="77777777" w:rsidR="008A465E" w:rsidRDefault="008A465E" w:rsidP="009F2C78">
      <w:pPr>
        <w:spacing w:after="0" w:line="240" w:lineRule="auto"/>
        <w:rPr>
          <w:rFonts w:ascii="Arial" w:hAnsi="Arial" w:cs="Arial"/>
          <w:szCs w:val="24"/>
        </w:rPr>
      </w:pPr>
    </w:p>
    <w:p w14:paraId="5BE14C7A" w14:textId="5E167CF5" w:rsidR="00E15582" w:rsidRPr="00E15582" w:rsidRDefault="000B5D13" w:rsidP="00E15582">
      <w:pPr>
        <w:spacing w:after="0" w:line="240" w:lineRule="auto"/>
        <w:rPr>
          <w:rFonts w:ascii="Arial" w:hAnsi="Arial" w:cs="Arial"/>
          <w:szCs w:val="24"/>
        </w:rPr>
      </w:pPr>
      <w:r w:rsidRPr="003334F9">
        <w:rPr>
          <w:rFonts w:ascii="Arial" w:hAnsi="Arial" w:cs="Arial"/>
          <w:b/>
        </w:rPr>
        <w:t xml:space="preserve">Question:  </w:t>
      </w:r>
      <w:r w:rsidR="00E15582" w:rsidRPr="00E15582">
        <w:rPr>
          <w:rFonts w:ascii="Arial" w:hAnsi="Arial" w:cs="Arial"/>
          <w:szCs w:val="24"/>
        </w:rPr>
        <w:t>The PMC is wondering if the news regarding the “military widow’s tax,” included in the VA Daily News Brief email below, will eliminate the SBP offset.  If so, can we anticipate interim guidance and/or manual updates to reflect this change to aid in claims processing?  </w:t>
      </w:r>
    </w:p>
    <w:p w14:paraId="6D3FCD5E" w14:textId="77777777" w:rsidR="00E15582" w:rsidRPr="00E15582" w:rsidRDefault="00E15582" w:rsidP="00E15582">
      <w:pPr>
        <w:spacing w:after="0" w:line="240" w:lineRule="auto"/>
        <w:rPr>
          <w:rFonts w:ascii="Arial" w:hAnsi="Arial" w:cs="Arial"/>
          <w:szCs w:val="24"/>
        </w:rPr>
      </w:pPr>
    </w:p>
    <w:p w14:paraId="43B68250" w14:textId="77777777" w:rsidR="00E15582" w:rsidRPr="00E15582" w:rsidRDefault="00E15582" w:rsidP="00E15582">
      <w:pPr>
        <w:spacing w:after="0" w:line="240" w:lineRule="auto"/>
        <w:rPr>
          <w:rFonts w:ascii="Arial" w:hAnsi="Arial" w:cs="Arial"/>
          <w:szCs w:val="24"/>
        </w:rPr>
      </w:pPr>
      <w:r w:rsidRPr="00E15582">
        <w:rPr>
          <w:rFonts w:ascii="Arial" w:hAnsi="Arial" w:cs="Arial"/>
          <w:szCs w:val="24"/>
        </w:rPr>
        <w:t>Per the article (</w:t>
      </w:r>
      <w:hyperlink r:id="rId13" w:history="1">
        <w:r w:rsidRPr="00E15582">
          <w:rPr>
            <w:rStyle w:val="Hyperlink"/>
            <w:rFonts w:ascii="Arial" w:hAnsi="Arial" w:cs="Arial"/>
            <w:szCs w:val="24"/>
          </w:rPr>
          <w:t>https://www.timesdaily.com/news/military-widow-s-tax-repealed-with-passage-of-defense-bill/article_d34224f2-9d25-5b8f-904a-48eeda502ae6.html</w:t>
        </w:r>
      </w:hyperlink>
      <w:r w:rsidRPr="00E15582">
        <w:rPr>
          <w:rFonts w:ascii="Arial" w:hAnsi="Arial" w:cs="Arial"/>
          <w:szCs w:val="24"/>
        </w:rPr>
        <w:t xml:space="preserve">): </w:t>
      </w:r>
    </w:p>
    <w:p w14:paraId="4BB217F2" w14:textId="77777777" w:rsidR="00E15582" w:rsidRPr="00E15582" w:rsidRDefault="00E15582" w:rsidP="00E15582">
      <w:pPr>
        <w:spacing w:after="0" w:line="240" w:lineRule="auto"/>
        <w:rPr>
          <w:rFonts w:ascii="Arial" w:hAnsi="Arial" w:cs="Arial"/>
          <w:szCs w:val="24"/>
        </w:rPr>
      </w:pPr>
    </w:p>
    <w:p w14:paraId="0A4D7370" w14:textId="77777777" w:rsidR="00E15582" w:rsidRPr="00E15582" w:rsidRDefault="00E15582" w:rsidP="004E1DA6">
      <w:pPr>
        <w:numPr>
          <w:ilvl w:val="0"/>
          <w:numId w:val="6"/>
        </w:numPr>
        <w:spacing w:after="0" w:line="240" w:lineRule="auto"/>
        <w:rPr>
          <w:rFonts w:ascii="Arial" w:eastAsia="Times New Roman" w:hAnsi="Arial" w:cs="Arial"/>
          <w:szCs w:val="24"/>
          <w:lang w:val="en"/>
        </w:rPr>
      </w:pPr>
      <w:r w:rsidRPr="00E15582">
        <w:rPr>
          <w:rFonts w:ascii="Arial" w:eastAsia="Times New Roman" w:hAnsi="Arial" w:cs="Arial"/>
          <w:szCs w:val="24"/>
          <w:lang w:val="en"/>
        </w:rPr>
        <w:t>The so-called “military widow’s tax” was repealed last week with the passage of the National Defense Authorization Act (NDAA)</w:t>
      </w:r>
    </w:p>
    <w:p w14:paraId="58523EF7" w14:textId="77777777" w:rsidR="00E15582" w:rsidRPr="00E15582" w:rsidRDefault="00E15582" w:rsidP="004E1DA6">
      <w:pPr>
        <w:numPr>
          <w:ilvl w:val="0"/>
          <w:numId w:val="6"/>
        </w:numPr>
        <w:spacing w:after="0" w:line="240" w:lineRule="auto"/>
        <w:rPr>
          <w:rFonts w:ascii="Arial" w:eastAsia="Times New Roman" w:hAnsi="Arial" w:cs="Arial"/>
          <w:szCs w:val="24"/>
        </w:rPr>
      </w:pPr>
      <w:r w:rsidRPr="00E15582">
        <w:rPr>
          <w:rFonts w:ascii="Arial" w:eastAsia="Times New Roman" w:hAnsi="Arial" w:cs="Arial"/>
          <w:szCs w:val="24"/>
          <w:lang w:val="en"/>
        </w:rPr>
        <w:t xml:space="preserve">Previously, military widows and widowers who qualify for the DIC were required to take a dollar-for-dollar offset from the SBP, even though their retired spouses elected to pay into the program </w:t>
      </w:r>
    </w:p>
    <w:p w14:paraId="2682F836" w14:textId="0978EE09" w:rsidR="00E15582" w:rsidRPr="00E15582" w:rsidRDefault="00E15582" w:rsidP="00E15582">
      <w:pPr>
        <w:spacing w:after="0" w:line="240" w:lineRule="auto"/>
        <w:rPr>
          <w:rFonts w:ascii="Arial" w:hAnsi="Arial" w:cs="Arial"/>
          <w:szCs w:val="24"/>
        </w:rPr>
      </w:pPr>
    </w:p>
    <w:p w14:paraId="58559B3E" w14:textId="544B29C8" w:rsidR="00E15582" w:rsidRPr="00E15582" w:rsidRDefault="000B5D13" w:rsidP="00E15582">
      <w:pPr>
        <w:spacing w:after="0" w:line="240" w:lineRule="auto"/>
        <w:rPr>
          <w:rFonts w:ascii="Arial" w:hAnsi="Arial" w:cs="Arial"/>
        </w:rPr>
      </w:pPr>
      <w:bookmarkStart w:id="11" w:name="_Hlk32559274"/>
      <w:r w:rsidRPr="003334F9">
        <w:rPr>
          <w:rFonts w:ascii="Arial" w:hAnsi="Arial" w:cs="Arial"/>
          <w:b/>
        </w:rPr>
        <w:t xml:space="preserve">Response: </w:t>
      </w:r>
      <w:r w:rsidRPr="003334F9">
        <w:rPr>
          <w:rFonts w:ascii="Arial" w:hAnsi="Arial" w:cs="Arial"/>
        </w:rPr>
        <w:t xml:space="preserve"> </w:t>
      </w:r>
      <w:r w:rsidR="00E15582" w:rsidRPr="00E15582">
        <w:rPr>
          <w:rFonts w:ascii="Arial" w:hAnsi="Arial" w:cs="Arial"/>
        </w:rPr>
        <w:t>Pension and Fiduciary (P&amp;F) Service has consulted with the Defense Finance and Accounting Service (DFAS) and the Survivors Benefits (SBP) team. For now there will be no changes to the Pension Management Center requirements to request the withholding information from DFAS.  As the law is being interpreted by DFAS, the elimination of the offset will be phased in from 2021</w:t>
      </w:r>
      <w:r w:rsidR="00E15582">
        <w:rPr>
          <w:rFonts w:ascii="Arial" w:hAnsi="Arial" w:cs="Arial"/>
        </w:rPr>
        <w:t xml:space="preserve"> to </w:t>
      </w:r>
      <w:r w:rsidR="00E15582" w:rsidRPr="00E15582">
        <w:rPr>
          <w:rFonts w:ascii="Arial" w:hAnsi="Arial" w:cs="Arial"/>
        </w:rPr>
        <w:t xml:space="preserve">2023 and will result in the beneficiary </w:t>
      </w:r>
      <w:r w:rsidR="00E15582">
        <w:rPr>
          <w:rFonts w:ascii="Arial" w:hAnsi="Arial" w:cs="Arial"/>
        </w:rPr>
        <w:t>receiving</w:t>
      </w:r>
      <w:r w:rsidR="00E15582" w:rsidRPr="00E15582">
        <w:rPr>
          <w:rFonts w:ascii="Arial" w:hAnsi="Arial" w:cs="Arial"/>
        </w:rPr>
        <w:t xml:space="preserve"> an additional 1/3 of their SBP each year.  </w:t>
      </w:r>
      <w:r w:rsidR="003C4DD9">
        <w:rPr>
          <w:rFonts w:ascii="Arial" w:hAnsi="Arial" w:cs="Arial"/>
        </w:rPr>
        <w:t xml:space="preserve">There is no offset to benefits payable from 2023 forward.  </w:t>
      </w:r>
      <w:r w:rsidR="00E15582" w:rsidRPr="00E15582">
        <w:rPr>
          <w:rFonts w:ascii="Arial" w:hAnsi="Arial" w:cs="Arial"/>
        </w:rPr>
        <w:t xml:space="preserve">However, if Dependency and Indemnity Compensation </w:t>
      </w:r>
      <w:r w:rsidR="003C4DD9">
        <w:rPr>
          <w:rFonts w:ascii="Arial" w:hAnsi="Arial" w:cs="Arial"/>
        </w:rPr>
        <w:t xml:space="preserve">(DIC) </w:t>
      </w:r>
      <w:r w:rsidR="00E15582" w:rsidRPr="00E15582">
        <w:rPr>
          <w:rFonts w:ascii="Arial" w:hAnsi="Arial" w:cs="Arial"/>
        </w:rPr>
        <w:t xml:space="preserve">is granted prior to 2023, VA </w:t>
      </w:r>
      <w:r w:rsidR="003C4DD9">
        <w:rPr>
          <w:rFonts w:ascii="Arial" w:hAnsi="Arial" w:cs="Arial"/>
        </w:rPr>
        <w:t>must</w:t>
      </w:r>
      <w:r w:rsidR="003C4DD9" w:rsidRPr="00E15582">
        <w:rPr>
          <w:rFonts w:ascii="Arial" w:hAnsi="Arial" w:cs="Arial"/>
        </w:rPr>
        <w:t xml:space="preserve"> </w:t>
      </w:r>
      <w:r w:rsidR="00E15582" w:rsidRPr="00E15582">
        <w:rPr>
          <w:rFonts w:ascii="Arial" w:hAnsi="Arial" w:cs="Arial"/>
        </w:rPr>
        <w:t xml:space="preserve">still withhold </w:t>
      </w:r>
      <w:r w:rsidR="003C4DD9">
        <w:rPr>
          <w:rFonts w:ascii="Arial" w:hAnsi="Arial" w:cs="Arial"/>
        </w:rPr>
        <w:t xml:space="preserve">DIC benefits </w:t>
      </w:r>
      <w:r w:rsidR="00E15582" w:rsidRPr="00E15582">
        <w:rPr>
          <w:rFonts w:ascii="Arial" w:hAnsi="Arial" w:cs="Arial"/>
        </w:rPr>
        <w:t xml:space="preserve">to offset </w:t>
      </w:r>
      <w:r w:rsidR="003C4DD9">
        <w:rPr>
          <w:rFonts w:ascii="Arial" w:hAnsi="Arial" w:cs="Arial"/>
        </w:rPr>
        <w:t>any</w:t>
      </w:r>
      <w:r w:rsidR="003C4DD9" w:rsidRPr="00E15582">
        <w:rPr>
          <w:rFonts w:ascii="Arial" w:hAnsi="Arial" w:cs="Arial"/>
        </w:rPr>
        <w:t xml:space="preserve"> </w:t>
      </w:r>
      <w:r w:rsidR="003C4DD9">
        <w:rPr>
          <w:rFonts w:ascii="Arial" w:hAnsi="Arial" w:cs="Arial"/>
        </w:rPr>
        <w:t xml:space="preserve">resulting </w:t>
      </w:r>
      <w:r w:rsidR="00E15582" w:rsidRPr="00E15582">
        <w:rPr>
          <w:rFonts w:ascii="Arial" w:hAnsi="Arial" w:cs="Arial"/>
        </w:rPr>
        <w:t>SBP overpayment</w:t>
      </w:r>
      <w:r w:rsidR="003C4DD9">
        <w:rPr>
          <w:rFonts w:ascii="Arial" w:hAnsi="Arial" w:cs="Arial"/>
        </w:rPr>
        <w:t xml:space="preserve"> </w:t>
      </w:r>
      <w:r w:rsidR="00F505A5">
        <w:rPr>
          <w:rFonts w:ascii="Arial" w:hAnsi="Arial" w:cs="Arial"/>
        </w:rPr>
        <w:t>prior to 2023</w:t>
      </w:r>
      <w:r w:rsidR="00E15582" w:rsidRPr="00E15582">
        <w:rPr>
          <w:rFonts w:ascii="Arial" w:hAnsi="Arial" w:cs="Arial"/>
        </w:rPr>
        <w:t>.</w:t>
      </w:r>
    </w:p>
    <w:bookmarkEnd w:id="11"/>
    <w:p w14:paraId="67317023" w14:textId="77777777" w:rsidR="00E15582" w:rsidRPr="00E15582" w:rsidRDefault="00E15582" w:rsidP="00E15582">
      <w:pPr>
        <w:spacing w:after="0" w:line="240" w:lineRule="auto"/>
        <w:rPr>
          <w:rFonts w:ascii="Arial" w:hAnsi="Arial" w:cs="Arial"/>
        </w:rPr>
      </w:pPr>
    </w:p>
    <w:p w14:paraId="5B38B42B" w14:textId="6EA7EE04" w:rsidR="000B5D13" w:rsidRDefault="00E15582" w:rsidP="00E15582">
      <w:pPr>
        <w:spacing w:after="0" w:line="240" w:lineRule="auto"/>
        <w:rPr>
          <w:rFonts w:ascii="Arial" w:hAnsi="Arial" w:cs="Arial"/>
          <w:szCs w:val="24"/>
        </w:rPr>
      </w:pPr>
      <w:r w:rsidRPr="00E15582">
        <w:rPr>
          <w:rFonts w:ascii="Arial" w:hAnsi="Arial" w:cs="Arial"/>
        </w:rPr>
        <w:t>P&amp;F Service will continue to monitor this issue and provide additional information as it becomes available.</w:t>
      </w:r>
    </w:p>
    <w:p w14:paraId="0C0A4399" w14:textId="77777777" w:rsidR="00DA5B43" w:rsidRDefault="00DA5B43" w:rsidP="009F2C78">
      <w:pPr>
        <w:spacing w:after="0" w:line="240" w:lineRule="auto"/>
        <w:rPr>
          <w:rFonts w:ascii="Arial" w:hAnsi="Arial" w:cs="Arial"/>
          <w:szCs w:val="24"/>
        </w:rPr>
      </w:pPr>
    </w:p>
    <w:p w14:paraId="00D000AE" w14:textId="77777777" w:rsidR="003C7AC3" w:rsidRPr="00B06081" w:rsidRDefault="003C7AC3" w:rsidP="009F2C78">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sidR="00171D09">
        <w:rPr>
          <w:rFonts w:ascii="Arial" w:hAnsi="Arial" w:cs="Arial"/>
          <w:szCs w:val="24"/>
        </w:rPr>
        <w:t xml:space="preserve"> </w:t>
      </w:r>
      <w:r w:rsidR="000B5D13" w:rsidRPr="00AB6C8F">
        <w:rPr>
          <w:rFonts w:ascii="Arial" w:hAnsi="Arial" w:cs="Arial"/>
          <w:szCs w:val="24"/>
        </w:rPr>
        <w:t>Clarification provided.</w:t>
      </w:r>
    </w:p>
    <w:p w14:paraId="46B6BA40" w14:textId="25734F31" w:rsidR="008B6CC9" w:rsidRPr="00824543" w:rsidRDefault="00424784" w:rsidP="008B6CC9">
      <w:pPr>
        <w:pStyle w:val="Heading1"/>
        <w:rPr>
          <w:rFonts w:ascii="Arial" w:hAnsi="Arial" w:cs="Arial"/>
        </w:rPr>
      </w:pPr>
      <w:bookmarkStart w:id="12" w:name="_Toc32556596"/>
      <w:bookmarkStart w:id="13" w:name="_Toc11231425"/>
      <w:r w:rsidRPr="00424784">
        <w:rPr>
          <w:rFonts w:ascii="Arial" w:hAnsi="Arial" w:cs="Arial"/>
        </w:rPr>
        <w:t>Clarification Requested: October and November Field Inquiry Response Highlights</w:t>
      </w:r>
      <w:r>
        <w:rPr>
          <w:rFonts w:ascii="Arial" w:hAnsi="Arial" w:cs="Arial"/>
        </w:rPr>
        <w:t xml:space="preserve"> – Due Process</w:t>
      </w:r>
      <w:bookmarkEnd w:id="12"/>
    </w:p>
    <w:p w14:paraId="6B13F514" w14:textId="77777777" w:rsidR="008B6CC9" w:rsidRPr="003334F9" w:rsidRDefault="008B6CC9" w:rsidP="008B6CC9">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3334F9">
        <w:rPr>
          <w:rFonts w:ascii="Arial" w:hAnsi="Arial" w:cs="Arial"/>
        </w:rPr>
        <w:t>PMC Claims Processors</w:t>
      </w:r>
    </w:p>
    <w:p w14:paraId="77ADDEAC" w14:textId="77777777" w:rsidR="008B6CC9" w:rsidRPr="003334F9" w:rsidRDefault="008B6CC9" w:rsidP="00424784">
      <w:pPr>
        <w:spacing w:after="0" w:line="240" w:lineRule="auto"/>
        <w:rPr>
          <w:rFonts w:ascii="Arial" w:hAnsi="Arial" w:cs="Arial"/>
        </w:rPr>
      </w:pPr>
    </w:p>
    <w:p w14:paraId="0A42268D" w14:textId="77777777" w:rsidR="00424784" w:rsidRDefault="00424784" w:rsidP="00424784">
      <w:pPr>
        <w:spacing w:after="0" w:line="240" w:lineRule="auto"/>
        <w:rPr>
          <w:rFonts w:ascii="Arial" w:eastAsia="Times New Roman" w:hAnsi="Arial" w:cs="Arial"/>
          <w:szCs w:val="24"/>
        </w:rPr>
      </w:pPr>
      <w:r>
        <w:rPr>
          <w:rFonts w:ascii="Arial" w:hAnsi="Arial" w:cs="Arial"/>
          <w:szCs w:val="24"/>
        </w:rPr>
        <w:t xml:space="preserve">P&amp;F is revising the Due Process guidance that was issued in the October 2019 Inquiry Response document.  </w:t>
      </w:r>
    </w:p>
    <w:p w14:paraId="26CDA420" w14:textId="77777777" w:rsidR="00424784" w:rsidRDefault="00424784" w:rsidP="00424784">
      <w:pPr>
        <w:spacing w:after="0" w:line="240" w:lineRule="auto"/>
        <w:rPr>
          <w:rFonts w:ascii="Arial" w:eastAsiaTheme="minorHAnsi" w:hAnsi="Arial" w:cs="Arial"/>
          <w:szCs w:val="24"/>
        </w:rPr>
      </w:pPr>
    </w:p>
    <w:p w14:paraId="3A1E1C3E" w14:textId="77777777" w:rsidR="00424784" w:rsidRDefault="00424784" w:rsidP="00424784">
      <w:pPr>
        <w:spacing w:after="0" w:line="240" w:lineRule="auto"/>
        <w:rPr>
          <w:rFonts w:ascii="Arial" w:hAnsi="Arial" w:cs="Arial"/>
          <w:szCs w:val="24"/>
        </w:rPr>
      </w:pPr>
      <w:r w:rsidRPr="00424784">
        <w:rPr>
          <w:rFonts w:ascii="Arial" w:eastAsia="Calibri" w:hAnsi="Arial" w:cs="Arial"/>
          <w:b/>
          <w:szCs w:val="24"/>
        </w:rPr>
        <w:t xml:space="preserve">Amended P&amp;F Response:  </w:t>
      </w:r>
      <w:r w:rsidRPr="00424784">
        <w:rPr>
          <w:rFonts w:ascii="Arial" w:eastAsia="Calibri" w:hAnsi="Arial" w:cs="Arial"/>
          <w:szCs w:val="24"/>
        </w:rPr>
        <w:t>VA</w:t>
      </w:r>
      <w:r w:rsidRPr="00424784">
        <w:rPr>
          <w:rFonts w:ascii="Arial" w:eastAsia="Calibri" w:hAnsi="Arial" w:cs="Arial"/>
          <w:b/>
          <w:szCs w:val="24"/>
        </w:rPr>
        <w:t xml:space="preserve"> </w:t>
      </w:r>
      <w:r w:rsidRPr="00424784">
        <w:rPr>
          <w:rFonts w:ascii="Arial" w:eastAsia="Calibri" w:hAnsi="Arial" w:cs="Arial"/>
          <w:szCs w:val="24"/>
        </w:rPr>
        <w:t xml:space="preserve">Regulations do not require that notices of proposed adverse action necessarily </w:t>
      </w:r>
      <w:r w:rsidRPr="00424784">
        <w:rPr>
          <w:rFonts w:ascii="Arial" w:hAnsi="Arial" w:cs="Arial"/>
          <w:szCs w:val="24"/>
        </w:rPr>
        <w:t>list all income, medical expenses, and associated calculations.  Due process letters may contain this greater level of detail, but it is not required. “Detailed reasons for the proposed reduction” and “facts and reasons” as noted in M21-1 I.2.B will continue to be required to inform the beneficiary of why the action is being proposed. Changes to M21-1 I.2.B.2.b to clarify this issue were published on January 15, 2020.</w:t>
      </w:r>
      <w:r>
        <w:rPr>
          <w:rFonts w:ascii="Arial" w:hAnsi="Arial" w:cs="Arial"/>
          <w:szCs w:val="24"/>
        </w:rPr>
        <w:t xml:space="preserve">  </w:t>
      </w:r>
    </w:p>
    <w:p w14:paraId="302E4E57" w14:textId="77777777" w:rsidR="00424784" w:rsidRDefault="00424784" w:rsidP="00424784">
      <w:pPr>
        <w:spacing w:after="0" w:line="240" w:lineRule="auto"/>
        <w:rPr>
          <w:rFonts w:ascii="Arial" w:hAnsi="Arial" w:cs="Arial"/>
          <w:szCs w:val="24"/>
        </w:rPr>
      </w:pPr>
    </w:p>
    <w:p w14:paraId="7B8034F2" w14:textId="77777777" w:rsidR="00424784" w:rsidRDefault="00424784" w:rsidP="00424784">
      <w:pPr>
        <w:pStyle w:val="ListParagraph"/>
        <w:spacing w:after="0" w:line="240" w:lineRule="auto"/>
        <w:ind w:left="0"/>
        <w:rPr>
          <w:rFonts w:ascii="Arial" w:eastAsia="Times New Roman" w:hAnsi="Arial" w:cs="Arial"/>
          <w:szCs w:val="24"/>
          <w:u w:val="single"/>
        </w:rPr>
      </w:pPr>
      <w:r>
        <w:rPr>
          <w:rFonts w:ascii="Arial" w:eastAsia="Times New Roman" w:hAnsi="Arial" w:cs="Arial"/>
          <w:b/>
          <w:szCs w:val="24"/>
          <w:u w:val="single"/>
        </w:rPr>
        <w:t>Inquiry:</w:t>
      </w:r>
      <w:r>
        <w:rPr>
          <w:rFonts w:ascii="Arial" w:eastAsia="Times New Roman" w:hAnsi="Arial" w:cs="Arial"/>
          <w:szCs w:val="24"/>
          <w:u w:val="single"/>
        </w:rPr>
        <w:t xml:space="preserve">  Due process – October/November Field Inquiry Responses</w:t>
      </w:r>
    </w:p>
    <w:p w14:paraId="007C23DA" w14:textId="77777777" w:rsidR="00424784" w:rsidRDefault="00424784" w:rsidP="00424784">
      <w:pPr>
        <w:spacing w:after="0" w:line="240" w:lineRule="auto"/>
        <w:rPr>
          <w:rFonts w:ascii="Arial" w:eastAsia="Calibri" w:hAnsi="Arial" w:cs="Arial"/>
          <w:szCs w:val="24"/>
        </w:rPr>
      </w:pPr>
      <w:r>
        <w:rPr>
          <w:rFonts w:ascii="Arial" w:hAnsi="Arial" w:cs="Arial"/>
          <w:szCs w:val="24"/>
        </w:rPr>
        <w:t>While we understand the need to provide as best an explanation as possible in a due process letter, this guidance as to the specificity required (all income and medical expenses to be listed) is new to this office and has never been previously communicated as being a requirement. The PCGL shell letters for due process do not provide this level of detail. Therefore, we are asking the following questions:</w:t>
      </w:r>
    </w:p>
    <w:p w14:paraId="35780018" w14:textId="77777777" w:rsidR="00424784" w:rsidRDefault="00424784" w:rsidP="00424784">
      <w:pPr>
        <w:pStyle w:val="ListParagraph"/>
        <w:spacing w:after="0" w:line="240" w:lineRule="auto"/>
        <w:rPr>
          <w:rFonts w:ascii="Arial" w:eastAsia="Times New Roman" w:hAnsi="Arial" w:cs="Arial"/>
          <w:szCs w:val="24"/>
        </w:rPr>
      </w:pPr>
    </w:p>
    <w:p w14:paraId="57A85E67" w14:textId="77777777" w:rsidR="00424784" w:rsidRDefault="00424784" w:rsidP="00424784">
      <w:pPr>
        <w:pStyle w:val="ListParagraph"/>
        <w:numPr>
          <w:ilvl w:val="0"/>
          <w:numId w:val="7"/>
        </w:numPr>
        <w:spacing w:after="0" w:line="240" w:lineRule="auto"/>
        <w:rPr>
          <w:rFonts w:ascii="Arial" w:eastAsia="Times New Roman" w:hAnsi="Arial" w:cs="Arial"/>
          <w:szCs w:val="24"/>
        </w:rPr>
      </w:pPr>
      <w:r>
        <w:rPr>
          <w:rFonts w:ascii="Arial" w:eastAsia="Times New Roman" w:hAnsi="Arial" w:cs="Arial"/>
          <w:szCs w:val="24"/>
        </w:rPr>
        <w:lastRenderedPageBreak/>
        <w:t>Is it possible for PCGL to be updated so that this additional information can more easily be entered?</w:t>
      </w:r>
    </w:p>
    <w:p w14:paraId="5B38D8E3" w14:textId="77777777" w:rsidR="00424784" w:rsidRDefault="00424784" w:rsidP="00424784">
      <w:pPr>
        <w:pStyle w:val="ListParagraph"/>
        <w:spacing w:after="0" w:line="240" w:lineRule="auto"/>
        <w:rPr>
          <w:rFonts w:ascii="Arial" w:eastAsia="Times New Roman" w:hAnsi="Arial" w:cs="Arial"/>
          <w:b/>
          <w:szCs w:val="24"/>
          <w:highlight w:val="yellow"/>
        </w:rPr>
      </w:pPr>
    </w:p>
    <w:p w14:paraId="713A77DF" w14:textId="27B57C8D" w:rsidR="00424784" w:rsidRDefault="00424784" w:rsidP="00424784">
      <w:pPr>
        <w:pStyle w:val="ListParagraph"/>
        <w:spacing w:after="0" w:line="240" w:lineRule="auto"/>
        <w:rPr>
          <w:rFonts w:ascii="Arial" w:eastAsia="Times New Roman" w:hAnsi="Arial" w:cs="Arial"/>
          <w:szCs w:val="24"/>
        </w:rPr>
      </w:pPr>
      <w:r w:rsidRPr="00424784">
        <w:rPr>
          <w:rFonts w:ascii="Arial" w:eastAsia="Times New Roman" w:hAnsi="Arial" w:cs="Arial"/>
          <w:b/>
          <w:szCs w:val="24"/>
        </w:rPr>
        <w:t>P&amp;F Response:</w:t>
      </w:r>
      <w:r w:rsidRPr="00424784">
        <w:rPr>
          <w:rFonts w:ascii="Arial" w:eastAsia="Times New Roman" w:hAnsi="Arial" w:cs="Arial"/>
          <w:szCs w:val="24"/>
        </w:rPr>
        <w:t xml:space="preserve">  </w:t>
      </w:r>
      <w:r w:rsidR="00E009E8">
        <w:rPr>
          <w:rFonts w:ascii="Arial" w:eastAsia="Times New Roman" w:hAnsi="Arial" w:cs="Arial"/>
          <w:szCs w:val="24"/>
        </w:rPr>
        <w:t>Given the amended response noted above, t</w:t>
      </w:r>
      <w:r w:rsidRPr="00424784">
        <w:rPr>
          <w:rFonts w:ascii="Arial" w:eastAsia="Times New Roman" w:hAnsi="Arial" w:cs="Arial"/>
          <w:szCs w:val="24"/>
        </w:rPr>
        <w:t>here are no plans to update PCGL to include all income and medical expenses in notices of proposed adverse action.</w:t>
      </w:r>
      <w:r>
        <w:rPr>
          <w:rFonts w:ascii="Arial" w:eastAsia="Times New Roman" w:hAnsi="Arial" w:cs="Arial"/>
          <w:szCs w:val="24"/>
        </w:rPr>
        <w:t xml:space="preserve">  </w:t>
      </w:r>
    </w:p>
    <w:p w14:paraId="6B1599C6" w14:textId="77777777" w:rsidR="00424784" w:rsidRDefault="00424784" w:rsidP="00424784">
      <w:pPr>
        <w:pStyle w:val="ListParagraph"/>
        <w:spacing w:after="0" w:line="240" w:lineRule="auto"/>
        <w:rPr>
          <w:rFonts w:ascii="Arial" w:eastAsia="Times New Roman" w:hAnsi="Arial" w:cs="Arial"/>
          <w:szCs w:val="24"/>
        </w:rPr>
      </w:pPr>
    </w:p>
    <w:p w14:paraId="36B93332" w14:textId="77777777" w:rsidR="00424784" w:rsidRDefault="00424784" w:rsidP="00424784">
      <w:pPr>
        <w:pStyle w:val="ListParagraph"/>
        <w:numPr>
          <w:ilvl w:val="0"/>
          <w:numId w:val="7"/>
        </w:numPr>
        <w:spacing w:after="0" w:line="240" w:lineRule="auto"/>
        <w:rPr>
          <w:rFonts w:ascii="Arial" w:eastAsia="Times New Roman" w:hAnsi="Arial" w:cs="Arial"/>
          <w:szCs w:val="24"/>
        </w:rPr>
      </w:pPr>
      <w:r>
        <w:rPr>
          <w:rFonts w:ascii="Arial" w:eastAsia="Times New Roman" w:hAnsi="Arial" w:cs="Arial"/>
          <w:szCs w:val="24"/>
        </w:rPr>
        <w:t xml:space="preserve">If that is not possible, can P&amp;F provide some examples of how these new letters should look? </w:t>
      </w:r>
    </w:p>
    <w:p w14:paraId="3085B07D" w14:textId="77777777" w:rsidR="00424784" w:rsidRDefault="00424784" w:rsidP="00424784">
      <w:pPr>
        <w:pStyle w:val="ListParagraph"/>
        <w:spacing w:after="0" w:line="240" w:lineRule="auto"/>
        <w:rPr>
          <w:rFonts w:ascii="Arial" w:eastAsia="Times New Roman" w:hAnsi="Arial" w:cs="Arial"/>
          <w:b/>
          <w:szCs w:val="24"/>
          <w:highlight w:val="yellow"/>
        </w:rPr>
      </w:pPr>
    </w:p>
    <w:p w14:paraId="79EDDF26" w14:textId="7877E531" w:rsidR="00424784" w:rsidRDefault="00424784" w:rsidP="00424784">
      <w:pPr>
        <w:pStyle w:val="ListParagraph"/>
        <w:spacing w:after="0" w:line="240" w:lineRule="auto"/>
        <w:rPr>
          <w:rFonts w:ascii="Arial" w:eastAsia="Times New Roman" w:hAnsi="Arial" w:cs="Arial"/>
          <w:szCs w:val="24"/>
        </w:rPr>
      </w:pPr>
      <w:r w:rsidRPr="00424784">
        <w:rPr>
          <w:rFonts w:ascii="Arial" w:eastAsia="Times New Roman" w:hAnsi="Arial" w:cs="Arial"/>
          <w:b/>
          <w:szCs w:val="24"/>
        </w:rPr>
        <w:t>P&amp;F Response:</w:t>
      </w:r>
      <w:r w:rsidRPr="00424784">
        <w:rPr>
          <w:rFonts w:ascii="Arial" w:eastAsia="Times New Roman" w:hAnsi="Arial" w:cs="Arial"/>
          <w:szCs w:val="24"/>
        </w:rPr>
        <w:t xml:space="preserve">  No examples are needed in conjunction with the </w:t>
      </w:r>
      <w:r w:rsidR="00E009E8">
        <w:rPr>
          <w:rFonts w:ascii="Arial" w:eastAsia="Times New Roman" w:hAnsi="Arial" w:cs="Arial"/>
          <w:szCs w:val="24"/>
        </w:rPr>
        <w:t>amended</w:t>
      </w:r>
      <w:r w:rsidR="00E009E8" w:rsidRPr="00424784">
        <w:rPr>
          <w:rFonts w:ascii="Arial" w:eastAsia="Times New Roman" w:hAnsi="Arial" w:cs="Arial"/>
          <w:szCs w:val="24"/>
        </w:rPr>
        <w:t xml:space="preserve"> </w:t>
      </w:r>
      <w:r w:rsidRPr="00424784">
        <w:rPr>
          <w:rFonts w:ascii="Arial" w:eastAsia="Times New Roman" w:hAnsi="Arial" w:cs="Arial"/>
          <w:szCs w:val="24"/>
        </w:rPr>
        <w:t>response.</w:t>
      </w:r>
      <w:r>
        <w:rPr>
          <w:rFonts w:ascii="Arial" w:eastAsia="Times New Roman" w:hAnsi="Arial" w:cs="Arial"/>
          <w:szCs w:val="24"/>
        </w:rPr>
        <w:t xml:space="preserve">  </w:t>
      </w:r>
    </w:p>
    <w:p w14:paraId="3596BAC7" w14:textId="77777777" w:rsidR="00424784" w:rsidRDefault="00424784" w:rsidP="00424784">
      <w:pPr>
        <w:pStyle w:val="ListParagraph"/>
        <w:spacing w:after="0" w:line="240" w:lineRule="auto"/>
        <w:rPr>
          <w:rFonts w:ascii="Arial" w:eastAsia="Times New Roman" w:hAnsi="Arial" w:cs="Arial"/>
          <w:szCs w:val="24"/>
        </w:rPr>
      </w:pPr>
    </w:p>
    <w:p w14:paraId="72883570" w14:textId="77777777" w:rsidR="00424784" w:rsidRDefault="00424784" w:rsidP="00424784">
      <w:pPr>
        <w:pStyle w:val="ListParagraph"/>
        <w:numPr>
          <w:ilvl w:val="0"/>
          <w:numId w:val="7"/>
        </w:numPr>
        <w:spacing w:after="0" w:line="240" w:lineRule="auto"/>
        <w:rPr>
          <w:rFonts w:ascii="Arial" w:eastAsia="Times New Roman" w:hAnsi="Arial" w:cs="Arial"/>
          <w:szCs w:val="24"/>
        </w:rPr>
      </w:pPr>
      <w:r>
        <w:rPr>
          <w:rFonts w:ascii="Arial" w:eastAsia="Times New Roman" w:hAnsi="Arial" w:cs="Arial"/>
          <w:szCs w:val="24"/>
        </w:rPr>
        <w:t xml:space="preserve">Many existing due process letters that were prepared by PMC Employees did not provide this detail, should these letters be reissued with the detail required in this guidance? </w:t>
      </w:r>
    </w:p>
    <w:p w14:paraId="42247375" w14:textId="77777777" w:rsidR="00424784" w:rsidRDefault="00424784" w:rsidP="00424784">
      <w:pPr>
        <w:pStyle w:val="ListParagraph"/>
        <w:spacing w:after="0" w:line="240" w:lineRule="auto"/>
        <w:rPr>
          <w:rFonts w:ascii="Arial" w:eastAsia="Times New Roman" w:hAnsi="Arial" w:cs="Arial"/>
          <w:b/>
          <w:szCs w:val="24"/>
          <w:highlight w:val="yellow"/>
        </w:rPr>
      </w:pPr>
    </w:p>
    <w:p w14:paraId="6E76FF06" w14:textId="13D08900" w:rsidR="00424784" w:rsidRDefault="00424784" w:rsidP="00424784">
      <w:pPr>
        <w:pStyle w:val="ListParagraph"/>
        <w:spacing w:after="0" w:line="240" w:lineRule="auto"/>
        <w:rPr>
          <w:rFonts w:ascii="Arial" w:eastAsia="Times New Roman" w:hAnsi="Arial" w:cs="Arial"/>
          <w:b/>
          <w:szCs w:val="24"/>
        </w:rPr>
      </w:pPr>
      <w:r w:rsidRPr="00424784">
        <w:rPr>
          <w:rFonts w:ascii="Arial" w:eastAsia="Times New Roman" w:hAnsi="Arial" w:cs="Arial"/>
          <w:b/>
          <w:szCs w:val="24"/>
        </w:rPr>
        <w:t xml:space="preserve">P&amp;F Response:  </w:t>
      </w:r>
      <w:r w:rsidRPr="00424784">
        <w:rPr>
          <w:rFonts w:ascii="Arial" w:eastAsia="Times New Roman" w:hAnsi="Arial" w:cs="Arial"/>
          <w:szCs w:val="24"/>
        </w:rPr>
        <w:t>No.</w:t>
      </w:r>
      <w:r>
        <w:rPr>
          <w:rFonts w:ascii="Arial" w:eastAsia="Times New Roman" w:hAnsi="Arial" w:cs="Arial"/>
          <w:b/>
          <w:szCs w:val="24"/>
        </w:rPr>
        <w:t xml:space="preserve">  </w:t>
      </w:r>
    </w:p>
    <w:p w14:paraId="66227466" w14:textId="77777777" w:rsidR="00424784" w:rsidRDefault="00424784" w:rsidP="00424784">
      <w:pPr>
        <w:pStyle w:val="ListParagraph"/>
        <w:spacing w:after="0" w:line="240" w:lineRule="auto"/>
        <w:rPr>
          <w:rFonts w:ascii="Arial" w:eastAsia="Times New Roman" w:hAnsi="Arial" w:cs="Arial"/>
          <w:b/>
          <w:szCs w:val="24"/>
        </w:rPr>
      </w:pPr>
    </w:p>
    <w:p w14:paraId="52D86A8F" w14:textId="77777777" w:rsidR="00424784" w:rsidRDefault="00424784" w:rsidP="00424784">
      <w:pPr>
        <w:pStyle w:val="ListParagraph"/>
        <w:numPr>
          <w:ilvl w:val="0"/>
          <w:numId w:val="7"/>
        </w:numPr>
        <w:spacing w:after="0" w:line="240" w:lineRule="auto"/>
        <w:rPr>
          <w:rFonts w:ascii="Arial" w:eastAsia="Times New Roman" w:hAnsi="Arial" w:cs="Arial"/>
          <w:szCs w:val="24"/>
        </w:rPr>
      </w:pPr>
      <w:r>
        <w:rPr>
          <w:rFonts w:ascii="Arial" w:eastAsia="Times New Roman" w:hAnsi="Arial" w:cs="Arial"/>
          <w:szCs w:val="24"/>
        </w:rPr>
        <w:t>If question #3 is no, please explain why the existing letters without this level of detail are sufficient if this level of detail is needed?</w:t>
      </w:r>
    </w:p>
    <w:p w14:paraId="1A017FFE" w14:textId="77777777" w:rsidR="00424784" w:rsidRDefault="00424784" w:rsidP="00424784">
      <w:pPr>
        <w:pStyle w:val="ListParagraph"/>
        <w:spacing w:after="0" w:line="240" w:lineRule="auto"/>
        <w:rPr>
          <w:rFonts w:ascii="Arial" w:eastAsia="Times New Roman" w:hAnsi="Arial" w:cs="Arial"/>
          <w:b/>
          <w:szCs w:val="24"/>
          <w:highlight w:val="yellow"/>
        </w:rPr>
      </w:pPr>
    </w:p>
    <w:p w14:paraId="537CD34E" w14:textId="0904E355" w:rsidR="00424784" w:rsidRDefault="00424784" w:rsidP="00424784">
      <w:pPr>
        <w:pStyle w:val="ListParagraph"/>
        <w:spacing w:after="0" w:line="240" w:lineRule="auto"/>
        <w:rPr>
          <w:rFonts w:ascii="Arial" w:eastAsia="Times New Roman" w:hAnsi="Arial" w:cs="Arial"/>
          <w:szCs w:val="24"/>
        </w:rPr>
      </w:pPr>
      <w:r w:rsidRPr="00424784">
        <w:rPr>
          <w:rFonts w:ascii="Arial" w:eastAsia="Times New Roman" w:hAnsi="Arial" w:cs="Arial"/>
          <w:b/>
          <w:szCs w:val="24"/>
        </w:rPr>
        <w:t>P&amp;F Response:</w:t>
      </w:r>
      <w:r w:rsidRPr="00424784">
        <w:rPr>
          <w:rFonts w:ascii="Arial" w:eastAsia="Times New Roman" w:hAnsi="Arial" w:cs="Arial"/>
          <w:szCs w:val="24"/>
        </w:rPr>
        <w:t xml:space="preserve">  </w:t>
      </w:r>
      <w:r w:rsidRPr="00424784">
        <w:rPr>
          <w:rFonts w:ascii="Arial" w:hAnsi="Arial" w:cs="Arial"/>
          <w:szCs w:val="24"/>
        </w:rPr>
        <w:t xml:space="preserve">Regulations do not require PMC issued notices of proposed adverse action list all income and medical expenses.  Due process letters may contain this greater level of detail, but it is not required.  P&amp;F updated M21-1.I.2.B.2.b to clarify this issue. </w:t>
      </w:r>
    </w:p>
    <w:p w14:paraId="76C32BA1" w14:textId="77777777" w:rsidR="00424784" w:rsidRDefault="00424784" w:rsidP="00424784">
      <w:pPr>
        <w:pStyle w:val="ListParagraph"/>
        <w:spacing w:after="0" w:line="240" w:lineRule="auto"/>
        <w:rPr>
          <w:rFonts w:ascii="Arial" w:eastAsia="Times New Roman" w:hAnsi="Arial" w:cs="Arial"/>
          <w:szCs w:val="24"/>
        </w:rPr>
      </w:pPr>
    </w:p>
    <w:p w14:paraId="386DA697" w14:textId="77777777" w:rsidR="00424784" w:rsidRDefault="00424784" w:rsidP="00424784">
      <w:pPr>
        <w:pStyle w:val="ListParagraph"/>
        <w:numPr>
          <w:ilvl w:val="0"/>
          <w:numId w:val="7"/>
        </w:numPr>
        <w:spacing w:after="0" w:line="240" w:lineRule="auto"/>
        <w:rPr>
          <w:rFonts w:ascii="Arial" w:eastAsia="Times New Roman" w:hAnsi="Arial" w:cs="Arial"/>
          <w:szCs w:val="24"/>
        </w:rPr>
      </w:pPr>
      <w:r>
        <w:rPr>
          <w:rFonts w:ascii="Arial" w:eastAsia="Times New Roman" w:hAnsi="Arial" w:cs="Arial"/>
          <w:szCs w:val="24"/>
        </w:rPr>
        <w:t xml:space="preserve">Our understanding is that if </w:t>
      </w:r>
      <w:r>
        <w:rPr>
          <w:rFonts w:ascii="Arial" w:eastAsia="Times New Roman" w:hAnsi="Arial" w:cs="Arial"/>
          <w:i/>
          <w:iCs/>
          <w:szCs w:val="24"/>
        </w:rPr>
        <w:t>some</w:t>
      </w:r>
      <w:r>
        <w:rPr>
          <w:rFonts w:ascii="Arial" w:eastAsia="Times New Roman" w:hAnsi="Arial" w:cs="Arial"/>
          <w:szCs w:val="24"/>
        </w:rPr>
        <w:t xml:space="preserve"> due process requires a certain level of detail, then </w:t>
      </w:r>
      <w:r>
        <w:rPr>
          <w:rFonts w:ascii="Arial" w:eastAsia="Times New Roman" w:hAnsi="Arial" w:cs="Arial"/>
          <w:i/>
          <w:iCs/>
          <w:szCs w:val="24"/>
        </w:rPr>
        <w:t>all</w:t>
      </w:r>
      <w:r>
        <w:rPr>
          <w:rFonts w:ascii="Arial" w:eastAsia="Times New Roman" w:hAnsi="Arial" w:cs="Arial"/>
          <w:szCs w:val="24"/>
        </w:rPr>
        <w:t xml:space="preserve"> due process requires this, as it is all under the same regulatory authority. It is difficult to explain to employees, beneficiaries, VSOs and other stakeholders why there are two different sets of rules for due process. We understand that they are distinct and separate process, in that one is released through automation and the other by an end user. However, the ultimate result is we are proposing to reduce a claimant’s benefits. In due process prepared by the field, we are asked to provide a greater amount of detail than we have ever provided and if one part is missing, the due process is deficient and would be subject to quality error and will need to be reissued which will delay the process. Yet in automated due process, we can take whatever action is warranted even if no detail is provided.  </w:t>
      </w:r>
    </w:p>
    <w:p w14:paraId="16CD9AE5" w14:textId="77777777" w:rsidR="00424784" w:rsidRDefault="00424784" w:rsidP="00424784">
      <w:pPr>
        <w:pStyle w:val="PlainText"/>
        <w:rPr>
          <w:rFonts w:ascii="Arial" w:eastAsia="Times New Roman" w:hAnsi="Arial" w:cs="Arial"/>
          <w:b/>
          <w:sz w:val="24"/>
          <w:szCs w:val="24"/>
          <w:highlight w:val="yellow"/>
        </w:rPr>
      </w:pPr>
    </w:p>
    <w:p w14:paraId="6919B003" w14:textId="6634E8A3" w:rsidR="00424784" w:rsidRPr="00424784" w:rsidRDefault="00424784" w:rsidP="00424784">
      <w:pPr>
        <w:pStyle w:val="PlainText"/>
        <w:ind w:left="720"/>
        <w:rPr>
          <w:rFonts w:ascii="Arial" w:hAnsi="Arial" w:cs="Arial"/>
          <w:szCs w:val="24"/>
        </w:rPr>
      </w:pPr>
      <w:r w:rsidRPr="00424784">
        <w:rPr>
          <w:rFonts w:ascii="Arial" w:eastAsia="Times New Roman" w:hAnsi="Arial" w:cs="Arial"/>
          <w:b/>
          <w:sz w:val="24"/>
          <w:szCs w:val="24"/>
        </w:rPr>
        <w:t>P&amp;F Response:</w:t>
      </w:r>
      <w:r w:rsidRPr="00424784">
        <w:rPr>
          <w:rFonts w:ascii="Arial" w:eastAsia="Times New Roman" w:hAnsi="Arial" w:cs="Arial"/>
          <w:sz w:val="24"/>
          <w:szCs w:val="24"/>
        </w:rPr>
        <w:t xml:space="preserve">  </w:t>
      </w:r>
      <w:r w:rsidRPr="00424784">
        <w:rPr>
          <w:rFonts w:ascii="Arial" w:hAnsi="Arial" w:cs="Arial"/>
          <w:sz w:val="24"/>
          <w:szCs w:val="24"/>
        </w:rPr>
        <w:t>See the response to D.</w:t>
      </w:r>
      <w:r>
        <w:rPr>
          <w:rFonts w:ascii="Arial" w:hAnsi="Arial" w:cs="Arial"/>
          <w:sz w:val="24"/>
          <w:szCs w:val="24"/>
        </w:rPr>
        <w:t xml:space="preserve">  </w:t>
      </w:r>
    </w:p>
    <w:p w14:paraId="237DF724" w14:textId="77777777" w:rsidR="008B6CC9" w:rsidRPr="00C65B92" w:rsidRDefault="008B6CC9" w:rsidP="00424784">
      <w:pPr>
        <w:spacing w:after="0" w:line="240" w:lineRule="auto"/>
        <w:rPr>
          <w:rFonts w:ascii="Arial" w:hAnsi="Arial" w:cs="Arial"/>
          <w:szCs w:val="24"/>
        </w:rPr>
      </w:pPr>
    </w:p>
    <w:p w14:paraId="327EF57F" w14:textId="58ED8F01" w:rsidR="008B6CC9" w:rsidRDefault="008B6CC9" w:rsidP="008B6CC9">
      <w:pPr>
        <w:spacing w:after="0" w:line="240" w:lineRule="auto"/>
        <w:rPr>
          <w:rFonts w:ascii="Arial" w:hAnsi="Arial" w:cs="Arial"/>
          <w:szCs w:val="24"/>
        </w:rPr>
      </w:pPr>
      <w:r w:rsidRPr="003334F9">
        <w:rPr>
          <w:rFonts w:ascii="Arial" w:hAnsi="Arial" w:cs="Arial"/>
          <w:b/>
        </w:rPr>
        <w:t>Result:</w:t>
      </w:r>
      <w:r w:rsidRPr="003334F9">
        <w:rPr>
          <w:rFonts w:ascii="Arial" w:hAnsi="Arial" w:cs="Arial"/>
        </w:rPr>
        <w:t xml:space="preserve">  </w:t>
      </w:r>
      <w:r>
        <w:rPr>
          <w:rFonts w:ascii="Arial" w:hAnsi="Arial" w:cs="Arial"/>
        </w:rPr>
        <w:t xml:space="preserve">M21-1 updated on </w:t>
      </w:r>
      <w:r w:rsidR="00424784">
        <w:rPr>
          <w:rFonts w:ascii="Arial" w:hAnsi="Arial" w:cs="Arial"/>
        </w:rPr>
        <w:t>January</w:t>
      </w:r>
      <w:r>
        <w:rPr>
          <w:rFonts w:ascii="Arial" w:hAnsi="Arial" w:cs="Arial"/>
        </w:rPr>
        <w:t xml:space="preserve"> </w:t>
      </w:r>
      <w:r w:rsidR="00424784">
        <w:rPr>
          <w:rFonts w:ascii="Arial" w:hAnsi="Arial" w:cs="Arial"/>
        </w:rPr>
        <w:t>15</w:t>
      </w:r>
      <w:r>
        <w:rPr>
          <w:rFonts w:ascii="Arial" w:hAnsi="Arial" w:cs="Arial"/>
        </w:rPr>
        <w:t>, 20</w:t>
      </w:r>
      <w:r w:rsidR="00424784">
        <w:rPr>
          <w:rFonts w:ascii="Arial" w:hAnsi="Arial" w:cs="Arial"/>
        </w:rPr>
        <w:t>20</w:t>
      </w:r>
      <w:r w:rsidRPr="003334F9">
        <w:rPr>
          <w:rFonts w:ascii="Arial" w:hAnsi="Arial" w:cs="Arial"/>
          <w:szCs w:val="24"/>
        </w:rPr>
        <w:t>.</w:t>
      </w:r>
    </w:p>
    <w:p w14:paraId="2C940DBA" w14:textId="3E748365" w:rsidR="00CA4415" w:rsidRDefault="00CA4415" w:rsidP="008B6CC9">
      <w:pPr>
        <w:spacing w:after="0" w:line="240" w:lineRule="auto"/>
        <w:rPr>
          <w:rFonts w:ascii="Arial" w:hAnsi="Arial" w:cs="Arial"/>
          <w:szCs w:val="24"/>
        </w:rPr>
      </w:pPr>
    </w:p>
    <w:p w14:paraId="16E198C7" w14:textId="77777777" w:rsidR="00CA4415" w:rsidRPr="003334F9" w:rsidRDefault="00CA4415" w:rsidP="008B6CC9">
      <w:pPr>
        <w:spacing w:after="0" w:line="240" w:lineRule="auto"/>
        <w:rPr>
          <w:rFonts w:ascii="Arial" w:hAnsi="Arial" w:cs="Arial"/>
        </w:rPr>
      </w:pPr>
    </w:p>
    <w:p w14:paraId="62DFDA78" w14:textId="66A077C3" w:rsidR="00424784" w:rsidRPr="00824543" w:rsidRDefault="00391412" w:rsidP="00424784">
      <w:pPr>
        <w:pStyle w:val="Heading1"/>
        <w:rPr>
          <w:rFonts w:ascii="Arial" w:hAnsi="Arial" w:cs="Arial"/>
        </w:rPr>
      </w:pPr>
      <w:bookmarkStart w:id="14" w:name="_Toc32556597"/>
      <w:r>
        <w:rPr>
          <w:rFonts w:ascii="Arial" w:hAnsi="Arial" w:cs="Arial"/>
        </w:rPr>
        <w:lastRenderedPageBreak/>
        <w:t>In-Home Attendant Expenses</w:t>
      </w:r>
      <w:bookmarkEnd w:id="14"/>
    </w:p>
    <w:p w14:paraId="40CD0A21" w14:textId="77777777" w:rsidR="00424784" w:rsidRPr="003334F9" w:rsidRDefault="00424784" w:rsidP="00424784">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3334F9">
        <w:rPr>
          <w:rFonts w:ascii="Arial" w:hAnsi="Arial" w:cs="Arial"/>
        </w:rPr>
        <w:t>PMC Claims Processors</w:t>
      </w:r>
    </w:p>
    <w:p w14:paraId="150A7A58" w14:textId="77777777" w:rsidR="00424784" w:rsidRPr="003334F9" w:rsidRDefault="00424784" w:rsidP="00424784">
      <w:pPr>
        <w:spacing w:after="0" w:line="240" w:lineRule="auto"/>
        <w:rPr>
          <w:rFonts w:ascii="Arial" w:hAnsi="Arial" w:cs="Arial"/>
        </w:rPr>
      </w:pPr>
    </w:p>
    <w:p w14:paraId="22CFAAEC" w14:textId="706720E2" w:rsidR="00391412" w:rsidRDefault="00424784" w:rsidP="00391412">
      <w:pPr>
        <w:pStyle w:val="PlainText"/>
        <w:rPr>
          <w:rFonts w:ascii="Arial" w:hAnsi="Arial" w:cs="Arial"/>
          <w:sz w:val="24"/>
          <w:szCs w:val="24"/>
        </w:rPr>
      </w:pPr>
      <w:r w:rsidRPr="00E025EF">
        <w:rPr>
          <w:rFonts w:ascii="Arial" w:hAnsi="Arial" w:cs="Arial"/>
          <w:b/>
          <w:szCs w:val="24"/>
        </w:rPr>
        <w:t xml:space="preserve">Question:  </w:t>
      </w:r>
      <w:r w:rsidR="00391412">
        <w:rPr>
          <w:rFonts w:ascii="Arial" w:hAnsi="Arial" w:cs="Arial"/>
          <w:sz w:val="24"/>
          <w:szCs w:val="24"/>
        </w:rPr>
        <w:t>Regarding in-home care (IHC) expenses, 38 CFR 3.278(d)(2) and M21-1 V.iii.1.G.3.m state that “payments must be commensurate with the number of hours that the provider attends to the disabled person.”  It seems all three PMCs are not addressing this issue in the same way.</w:t>
      </w:r>
    </w:p>
    <w:p w14:paraId="13DCDF5A" w14:textId="77777777" w:rsidR="00391412" w:rsidRDefault="00391412" w:rsidP="00391412">
      <w:pPr>
        <w:pStyle w:val="NoSpacing"/>
        <w:rPr>
          <w:rFonts w:ascii="Arial" w:hAnsi="Arial" w:cs="Arial"/>
          <w:szCs w:val="24"/>
        </w:rPr>
      </w:pPr>
    </w:p>
    <w:p w14:paraId="1B713B57" w14:textId="18C53BD7" w:rsidR="00391412" w:rsidRDefault="00391412" w:rsidP="00391412">
      <w:pPr>
        <w:pStyle w:val="NoSpacing"/>
        <w:rPr>
          <w:rFonts w:ascii="Arial" w:hAnsi="Arial" w:cs="Arial"/>
          <w:szCs w:val="24"/>
        </w:rPr>
      </w:pPr>
      <w:r>
        <w:rPr>
          <w:rFonts w:ascii="Arial" w:hAnsi="Arial" w:cs="Arial"/>
          <w:szCs w:val="24"/>
        </w:rPr>
        <w:t xml:space="preserve">We have interpreted this to mean that </w:t>
      </w:r>
      <w:r>
        <w:rPr>
          <w:rFonts w:ascii="Arial" w:hAnsi="Arial" w:cs="Arial"/>
          <w:i/>
          <w:iCs/>
          <w:szCs w:val="24"/>
        </w:rPr>
        <w:t>some</w:t>
      </w:r>
      <w:r>
        <w:rPr>
          <w:rFonts w:ascii="Arial" w:hAnsi="Arial" w:cs="Arial"/>
          <w:szCs w:val="24"/>
        </w:rPr>
        <w:t xml:space="preserve"> type of frequency (not necessarily broken down by hour) must be claimed/confirmed in order to allow a deduction for IHC expenses.  Without this information, we would not be able to determine if the expenses claimed are commensurate to the number of hours of care provided.  For example, to determine if $6,000.00 in monthly IHC fees is reasonable, we need to know how often the care is being provided (e.g. does the caregiver come in once a week or once a month?).  Requiring this information is supported by the aforementioned references as well as the fact that the newest applications and Medical Expense Report specifically request this information (30E on the 527EZ, 45E on the 534EZ, 21B on the 8416, and the last step on the “Worksheet for In-Home Attendant Expenses”).</w:t>
      </w:r>
    </w:p>
    <w:p w14:paraId="61FE428F" w14:textId="77777777" w:rsidR="00391412" w:rsidRDefault="00391412" w:rsidP="00391412">
      <w:pPr>
        <w:pStyle w:val="NoSpacing"/>
        <w:rPr>
          <w:rFonts w:ascii="Arial" w:hAnsi="Arial" w:cs="Arial"/>
          <w:szCs w:val="24"/>
        </w:rPr>
      </w:pPr>
    </w:p>
    <w:p w14:paraId="724C4C80" w14:textId="77777777" w:rsidR="00391412" w:rsidRDefault="00391412" w:rsidP="00391412">
      <w:pPr>
        <w:pStyle w:val="NoSpacing"/>
        <w:rPr>
          <w:rFonts w:ascii="Arial" w:hAnsi="Arial" w:cs="Arial"/>
          <w:szCs w:val="24"/>
        </w:rPr>
      </w:pPr>
      <w:r>
        <w:rPr>
          <w:rFonts w:ascii="Arial" w:hAnsi="Arial" w:cs="Arial"/>
          <w:szCs w:val="24"/>
        </w:rPr>
        <w:t>A review of the Federal Register (</w:t>
      </w:r>
      <w:hyperlink r:id="rId14" w:history="1">
        <w:r>
          <w:rPr>
            <w:rStyle w:val="Hyperlink"/>
            <w:rFonts w:ascii="Arial" w:hAnsi="Arial" w:cs="Arial"/>
            <w:szCs w:val="24"/>
          </w:rPr>
          <w:t>https://www.federalregister.gov/documents/2018/09/18/2018-19895/net-worth-asset-transfers-and-income-exclusions-for-needs-based-benefits</w:t>
        </w:r>
      </w:hyperlink>
      <w:r>
        <w:rPr>
          <w:rFonts w:ascii="Arial" w:hAnsi="Arial" w:cs="Arial"/>
          <w:szCs w:val="24"/>
        </w:rPr>
        <w:t>) indicates that the original intent was to limit the hourly rate of IHC, but that part of the rule was ultimately removed:</w:t>
      </w:r>
    </w:p>
    <w:p w14:paraId="741FC18F" w14:textId="77777777" w:rsidR="00391412" w:rsidRDefault="00391412" w:rsidP="00391412">
      <w:pPr>
        <w:pStyle w:val="NoSpacing"/>
        <w:rPr>
          <w:rFonts w:ascii="Arial" w:hAnsi="Arial" w:cs="Arial"/>
          <w:szCs w:val="24"/>
        </w:rPr>
      </w:pPr>
    </w:p>
    <w:p w14:paraId="01517CEB" w14:textId="77777777" w:rsidR="00391412" w:rsidRDefault="00391412" w:rsidP="00391412">
      <w:pPr>
        <w:pStyle w:val="NoSpacing"/>
        <w:ind w:left="720"/>
        <w:rPr>
          <w:rFonts w:ascii="Arial" w:hAnsi="Arial" w:cs="Arial"/>
          <w:i/>
          <w:iCs/>
          <w:szCs w:val="24"/>
        </w:rPr>
      </w:pPr>
      <w:r>
        <w:rPr>
          <w:rFonts w:ascii="Arial" w:hAnsi="Arial" w:cs="Arial"/>
          <w:i/>
          <w:iCs/>
          <w:szCs w:val="24"/>
        </w:rPr>
        <w:t>Numerous commenters expressed their opinion that our proposal, at § 3.278(d)(2), to limit the deductible hourly rate for in-home attendants was a bad idea for many reasons: (1) It is patently unfair to set a national average as a limit, so there must be a geographical component; (2) using an average does not take into consideration overtime or holiday time; (3) there was no cap proposed on facility costs; (4) the proposed limit was far too low and based on an outdated source (the MetLife Mature Market Institute no longer produces its Market Survey of Long-Term Care Costs); and (5) the authorizing statute (</w:t>
      </w:r>
      <w:hyperlink r:id="rId15" w:tgtFrame="_blank" w:history="1">
        <w:r>
          <w:rPr>
            <w:rStyle w:val="Hyperlink"/>
            <w:rFonts w:ascii="Arial" w:hAnsi="Arial" w:cs="Arial"/>
            <w:i/>
            <w:iCs/>
            <w:szCs w:val="24"/>
          </w:rPr>
          <w:t>38 U.S.C. 1503</w:t>
        </w:r>
      </w:hyperlink>
      <w:r>
        <w:rPr>
          <w:rFonts w:ascii="Arial" w:hAnsi="Arial" w:cs="Arial"/>
          <w:i/>
          <w:iCs/>
          <w:szCs w:val="24"/>
        </w:rPr>
        <w:t>(a)(8)) does not permit VA to set a limit on the medical expense amount.</w:t>
      </w:r>
    </w:p>
    <w:p w14:paraId="2E32017D" w14:textId="77777777" w:rsidR="00391412" w:rsidRDefault="00391412" w:rsidP="00391412">
      <w:pPr>
        <w:pStyle w:val="NoSpacing"/>
        <w:rPr>
          <w:rFonts w:ascii="Arial" w:hAnsi="Arial" w:cs="Arial"/>
          <w:i/>
          <w:iCs/>
          <w:szCs w:val="24"/>
        </w:rPr>
      </w:pPr>
    </w:p>
    <w:p w14:paraId="4F6FE224" w14:textId="77777777" w:rsidR="00391412" w:rsidRPr="00391412" w:rsidRDefault="00391412" w:rsidP="00391412">
      <w:pPr>
        <w:pStyle w:val="NoSpacing"/>
        <w:rPr>
          <w:rFonts w:ascii="Arial" w:hAnsi="Arial" w:cs="Arial"/>
          <w:iCs/>
          <w:szCs w:val="24"/>
        </w:rPr>
      </w:pPr>
      <w:r w:rsidRPr="00391412">
        <w:rPr>
          <w:rFonts w:ascii="Arial" w:hAnsi="Arial" w:cs="Arial"/>
          <w:iCs/>
          <w:szCs w:val="24"/>
        </w:rPr>
        <w:t xml:space="preserve">While we disagree with this comment regarding our authority, we agree with many of the other commenters, and the final rule does not include a limit to the hourly rate of in-home care. </w:t>
      </w:r>
    </w:p>
    <w:p w14:paraId="12435A3B" w14:textId="77777777" w:rsidR="00391412" w:rsidRPr="00391412" w:rsidRDefault="00391412" w:rsidP="00391412">
      <w:pPr>
        <w:pStyle w:val="NoSpacing"/>
        <w:rPr>
          <w:rFonts w:ascii="Arial" w:hAnsi="Arial" w:cs="Arial"/>
          <w:szCs w:val="24"/>
        </w:rPr>
      </w:pPr>
    </w:p>
    <w:p w14:paraId="3CE94ED1" w14:textId="77777777" w:rsidR="00391412" w:rsidRDefault="00391412" w:rsidP="00391412">
      <w:pPr>
        <w:pStyle w:val="NoSpacing"/>
        <w:rPr>
          <w:rFonts w:ascii="Arial" w:hAnsi="Arial" w:cs="Arial"/>
          <w:szCs w:val="24"/>
        </w:rPr>
      </w:pPr>
      <w:r>
        <w:rPr>
          <w:rFonts w:ascii="Arial" w:hAnsi="Arial" w:cs="Arial"/>
          <w:szCs w:val="24"/>
        </w:rPr>
        <w:t xml:space="preserve">An argument </w:t>
      </w:r>
      <w:r>
        <w:rPr>
          <w:rFonts w:ascii="Arial" w:hAnsi="Arial" w:cs="Arial"/>
          <w:i/>
          <w:iCs/>
          <w:szCs w:val="24"/>
        </w:rPr>
        <w:t>against</w:t>
      </w:r>
      <w:r>
        <w:rPr>
          <w:rFonts w:ascii="Arial" w:hAnsi="Arial" w:cs="Arial"/>
          <w:szCs w:val="24"/>
        </w:rPr>
        <w:t xml:space="preserve"> requiring frequency information is that the language regarding commensurate pay may have been based on the original intent of the rule, which was later removed.</w:t>
      </w:r>
    </w:p>
    <w:p w14:paraId="5D818968" w14:textId="77777777" w:rsidR="00391412" w:rsidRDefault="00391412" w:rsidP="00391412">
      <w:pPr>
        <w:pStyle w:val="NoSpacing"/>
        <w:rPr>
          <w:rFonts w:ascii="Arial" w:hAnsi="Arial" w:cs="Arial"/>
          <w:szCs w:val="24"/>
        </w:rPr>
      </w:pPr>
    </w:p>
    <w:p w14:paraId="4D8140AF" w14:textId="77777777" w:rsidR="00391412" w:rsidRDefault="00391412" w:rsidP="00391412">
      <w:pPr>
        <w:pStyle w:val="NoSpacing"/>
        <w:rPr>
          <w:rFonts w:ascii="Arial" w:hAnsi="Arial" w:cs="Arial"/>
          <w:szCs w:val="24"/>
        </w:rPr>
      </w:pPr>
      <w:r>
        <w:rPr>
          <w:rFonts w:ascii="Arial" w:hAnsi="Arial" w:cs="Arial"/>
          <w:szCs w:val="24"/>
        </w:rPr>
        <w:t>Clarification requested on the following items:</w:t>
      </w:r>
    </w:p>
    <w:p w14:paraId="729B549C" w14:textId="77777777" w:rsidR="00391412" w:rsidRDefault="00391412" w:rsidP="00391412">
      <w:pPr>
        <w:pStyle w:val="NoSpacing"/>
        <w:rPr>
          <w:rFonts w:ascii="Arial" w:hAnsi="Arial" w:cs="Arial"/>
          <w:szCs w:val="24"/>
        </w:rPr>
      </w:pPr>
    </w:p>
    <w:p w14:paraId="4C09D91C" w14:textId="77777777" w:rsidR="00391412" w:rsidRDefault="00391412" w:rsidP="00391412">
      <w:pPr>
        <w:pStyle w:val="NoSpacing"/>
        <w:numPr>
          <w:ilvl w:val="0"/>
          <w:numId w:val="8"/>
        </w:numPr>
        <w:rPr>
          <w:rFonts w:ascii="Arial" w:eastAsia="Times New Roman" w:hAnsi="Arial" w:cs="Arial"/>
          <w:szCs w:val="24"/>
        </w:rPr>
      </w:pPr>
      <w:r>
        <w:rPr>
          <w:rFonts w:ascii="Arial" w:eastAsia="Times New Roman" w:hAnsi="Arial" w:cs="Arial"/>
          <w:szCs w:val="24"/>
        </w:rPr>
        <w:lastRenderedPageBreak/>
        <w:t>If information regarding the frequency of care is required to accept IHC fees, can M21-1 be updated to make this requirement clear?</w:t>
      </w:r>
    </w:p>
    <w:p w14:paraId="30DAEB81" w14:textId="77777777" w:rsidR="00391412" w:rsidRDefault="00391412" w:rsidP="00391412">
      <w:pPr>
        <w:pStyle w:val="NoSpacing"/>
        <w:numPr>
          <w:ilvl w:val="0"/>
          <w:numId w:val="8"/>
        </w:numPr>
        <w:rPr>
          <w:rFonts w:ascii="Arial" w:eastAsia="Times New Roman" w:hAnsi="Arial" w:cs="Arial"/>
          <w:szCs w:val="24"/>
        </w:rPr>
      </w:pPr>
      <w:r>
        <w:rPr>
          <w:rFonts w:ascii="Arial" w:eastAsia="Times New Roman" w:hAnsi="Arial" w:cs="Arial"/>
          <w:szCs w:val="24"/>
        </w:rPr>
        <w:t>If M21-1 is updated for this purpose, please also clarify if frequency of care must be confirmed by the in-home caregiver, or reported by the claimant (as requested in the sections of the forms mentioned above)?</w:t>
      </w:r>
    </w:p>
    <w:p w14:paraId="59896FA8" w14:textId="77777777" w:rsidR="00391412" w:rsidRDefault="00391412" w:rsidP="00391412">
      <w:pPr>
        <w:pStyle w:val="NoSpacing"/>
        <w:numPr>
          <w:ilvl w:val="0"/>
          <w:numId w:val="8"/>
        </w:numPr>
        <w:rPr>
          <w:rFonts w:ascii="Arial" w:eastAsia="Times New Roman" w:hAnsi="Arial" w:cs="Arial"/>
          <w:szCs w:val="24"/>
        </w:rPr>
      </w:pPr>
      <w:r>
        <w:rPr>
          <w:rFonts w:ascii="Arial" w:eastAsia="Times New Roman" w:hAnsi="Arial" w:cs="Arial"/>
          <w:szCs w:val="24"/>
        </w:rPr>
        <w:t>If information regarding the frequency of care is NOT required, please update M21-1 to include a definition of the term “commensurate” and how it relates to pension claims.</w:t>
      </w:r>
    </w:p>
    <w:p w14:paraId="088D57ED" w14:textId="77777777" w:rsidR="00391412" w:rsidRDefault="00391412" w:rsidP="00391412">
      <w:pPr>
        <w:pStyle w:val="NoSpacing"/>
        <w:rPr>
          <w:rFonts w:ascii="Arial" w:eastAsiaTheme="minorHAnsi" w:hAnsi="Arial" w:cs="Arial"/>
          <w:szCs w:val="24"/>
        </w:rPr>
      </w:pPr>
    </w:p>
    <w:p w14:paraId="3172D50C" w14:textId="77777777" w:rsidR="00391412" w:rsidRDefault="00391412" w:rsidP="00391412">
      <w:pPr>
        <w:pStyle w:val="NoSpacing"/>
        <w:rPr>
          <w:rFonts w:ascii="Arial" w:hAnsi="Arial" w:cs="Arial"/>
          <w:szCs w:val="24"/>
        </w:rPr>
      </w:pPr>
      <w:r>
        <w:rPr>
          <w:rFonts w:ascii="Arial" w:hAnsi="Arial" w:cs="Arial"/>
          <w:szCs w:val="24"/>
        </w:rPr>
        <w:t xml:space="preserve">Proposed solution: Require that information regarding frequency of care is of record before allowing IHC fees and can be submitted by either the claimant or the caregiver.  </w:t>
      </w:r>
    </w:p>
    <w:p w14:paraId="55BD03A1" w14:textId="4F411E5D" w:rsidR="00391412" w:rsidRDefault="00391412" w:rsidP="00424784">
      <w:pPr>
        <w:pStyle w:val="PlainText"/>
        <w:rPr>
          <w:rFonts w:ascii="Arial" w:hAnsi="Arial" w:cs="Arial"/>
          <w:sz w:val="24"/>
          <w:szCs w:val="24"/>
        </w:rPr>
      </w:pPr>
    </w:p>
    <w:p w14:paraId="13CF20FD" w14:textId="77777777" w:rsidR="00391412" w:rsidRDefault="00424784" w:rsidP="00391412">
      <w:pPr>
        <w:pStyle w:val="PlainText"/>
        <w:rPr>
          <w:rFonts w:ascii="Arial" w:hAnsi="Arial" w:cs="Arial"/>
          <w:sz w:val="24"/>
          <w:szCs w:val="24"/>
        </w:rPr>
      </w:pPr>
      <w:r w:rsidRPr="003334F9">
        <w:rPr>
          <w:rFonts w:ascii="Arial" w:hAnsi="Arial" w:cs="Arial"/>
          <w:b/>
        </w:rPr>
        <w:t>Response</w:t>
      </w:r>
      <w:r w:rsidRPr="008B6CC9">
        <w:rPr>
          <w:rFonts w:ascii="Arial" w:hAnsi="Arial" w:cs="Arial"/>
        </w:rPr>
        <w:t xml:space="preserve">: </w:t>
      </w:r>
      <w:r w:rsidRPr="008B6CC9">
        <w:t xml:space="preserve"> </w:t>
      </w:r>
      <w:r w:rsidR="00391412">
        <w:rPr>
          <w:rFonts w:ascii="Arial" w:hAnsi="Arial" w:cs="Arial"/>
          <w:sz w:val="24"/>
          <w:szCs w:val="24"/>
        </w:rPr>
        <w:t>The hourly rate of an in-home attendant is required to determine if the rate is excessive.  An hourly rate in excess of $35 now requires verification and documentation.  If documentation is received, claims processors are to allow the medical expense.  Please see the changes to M21-1, Part V, Subpart iii, 1.G.3.m-o published on January 16, 2020.</w:t>
      </w:r>
    </w:p>
    <w:p w14:paraId="74039B92" w14:textId="77777777" w:rsidR="00424784" w:rsidRPr="00C65B92" w:rsidRDefault="00424784" w:rsidP="00424784">
      <w:pPr>
        <w:spacing w:after="0" w:line="240" w:lineRule="auto"/>
        <w:rPr>
          <w:rFonts w:ascii="Arial" w:hAnsi="Arial" w:cs="Arial"/>
          <w:szCs w:val="24"/>
        </w:rPr>
      </w:pPr>
    </w:p>
    <w:p w14:paraId="49742693" w14:textId="7CF5EB68" w:rsidR="00424784" w:rsidRPr="003334F9" w:rsidRDefault="00424784" w:rsidP="00424784">
      <w:pPr>
        <w:spacing w:after="0" w:line="240" w:lineRule="auto"/>
        <w:rPr>
          <w:rFonts w:ascii="Arial" w:hAnsi="Arial" w:cs="Arial"/>
        </w:rPr>
      </w:pPr>
      <w:r w:rsidRPr="003334F9">
        <w:rPr>
          <w:rFonts w:ascii="Arial" w:hAnsi="Arial" w:cs="Arial"/>
          <w:b/>
        </w:rPr>
        <w:t>Result:</w:t>
      </w:r>
      <w:r w:rsidRPr="003334F9">
        <w:rPr>
          <w:rFonts w:ascii="Arial" w:hAnsi="Arial" w:cs="Arial"/>
        </w:rPr>
        <w:t xml:space="preserve">  </w:t>
      </w:r>
      <w:r>
        <w:rPr>
          <w:rFonts w:ascii="Arial" w:hAnsi="Arial" w:cs="Arial"/>
        </w:rPr>
        <w:t>M21-1 updated on</w:t>
      </w:r>
      <w:r w:rsidR="00391412">
        <w:rPr>
          <w:rFonts w:ascii="Arial" w:hAnsi="Arial" w:cs="Arial"/>
          <w:szCs w:val="24"/>
        </w:rPr>
        <w:t xml:space="preserve"> January 16, 2020</w:t>
      </w:r>
      <w:r w:rsidRPr="003334F9">
        <w:rPr>
          <w:rFonts w:ascii="Arial" w:hAnsi="Arial" w:cs="Arial"/>
          <w:szCs w:val="24"/>
        </w:rPr>
        <w:t>.</w:t>
      </w:r>
    </w:p>
    <w:p w14:paraId="4B9CE5AC" w14:textId="77777777" w:rsidR="00AA74F6" w:rsidRPr="00900D56" w:rsidRDefault="00AA74F6" w:rsidP="00AA74F6">
      <w:pPr>
        <w:pStyle w:val="Heading1"/>
        <w:rPr>
          <w:rFonts w:ascii="Arial" w:hAnsi="Arial" w:cs="Arial"/>
          <w:b/>
          <w:color w:val="auto"/>
          <w:sz w:val="36"/>
        </w:rPr>
      </w:pPr>
      <w:bookmarkStart w:id="15" w:name="_Toc32556598"/>
      <w:r w:rsidRPr="00900D56">
        <w:rPr>
          <w:rFonts w:ascii="Arial" w:hAnsi="Arial" w:cs="Arial"/>
          <w:b/>
          <w:color w:val="auto"/>
          <w:sz w:val="36"/>
        </w:rPr>
        <w:t>Fiduciary HUB Related Inquiries</w:t>
      </w:r>
      <w:bookmarkEnd w:id="13"/>
      <w:bookmarkEnd w:id="15"/>
    </w:p>
    <w:p w14:paraId="5D23DDD6" w14:textId="45FEBFDC" w:rsidR="00171D09" w:rsidRPr="003C7AC3" w:rsidRDefault="00530337" w:rsidP="00171D09">
      <w:pPr>
        <w:pStyle w:val="Heading1"/>
        <w:rPr>
          <w:rFonts w:ascii="Arial" w:hAnsi="Arial" w:cs="Arial"/>
        </w:rPr>
      </w:pPr>
      <w:bookmarkStart w:id="16" w:name="_Toc32556599"/>
      <w:r w:rsidRPr="00530337">
        <w:rPr>
          <w:rFonts w:ascii="Arial" w:hAnsi="Arial" w:cs="Arial"/>
        </w:rPr>
        <w:t>Clarification Requested - Competency Conflicting Evidence</w:t>
      </w:r>
      <w:bookmarkEnd w:id="16"/>
    </w:p>
    <w:p w14:paraId="4402393A" w14:textId="07E32676" w:rsidR="00171D09" w:rsidRPr="00B06081" w:rsidRDefault="00171D09" w:rsidP="00171D09">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DD4888">
        <w:rPr>
          <w:rFonts w:ascii="Arial" w:hAnsi="Arial" w:cs="Arial"/>
          <w:szCs w:val="24"/>
        </w:rPr>
        <w:t xml:space="preserve"> </w:t>
      </w:r>
      <w:r w:rsidR="00530337">
        <w:rPr>
          <w:rFonts w:ascii="Arial" w:hAnsi="Arial" w:cs="Arial"/>
          <w:szCs w:val="24"/>
        </w:rPr>
        <w:t>Fiduciary Service Representatives</w:t>
      </w:r>
    </w:p>
    <w:p w14:paraId="245A41C9" w14:textId="77777777" w:rsidR="00171D09" w:rsidRPr="008D1E68" w:rsidRDefault="00171D09" w:rsidP="008D1E68">
      <w:pPr>
        <w:spacing w:after="0" w:line="240" w:lineRule="auto"/>
        <w:rPr>
          <w:rFonts w:ascii="Arial" w:hAnsi="Arial" w:cs="Arial"/>
          <w:szCs w:val="24"/>
        </w:rPr>
      </w:pPr>
    </w:p>
    <w:p w14:paraId="42FD18C3" w14:textId="24DF249D" w:rsidR="00530337" w:rsidRPr="00530337" w:rsidRDefault="008D1E68" w:rsidP="00530337">
      <w:pPr>
        <w:spacing w:after="0" w:line="240" w:lineRule="auto"/>
        <w:rPr>
          <w:rFonts w:ascii="Arial" w:hAnsi="Arial" w:cs="Arial"/>
          <w:szCs w:val="24"/>
        </w:rPr>
      </w:pPr>
      <w:r>
        <w:rPr>
          <w:rFonts w:ascii="Arial" w:hAnsi="Arial" w:cs="Arial"/>
          <w:b/>
          <w:szCs w:val="24"/>
        </w:rPr>
        <w:t>Question</w:t>
      </w:r>
      <w:r>
        <w:rPr>
          <w:rFonts w:ascii="Arial" w:hAnsi="Arial" w:cs="Arial"/>
          <w:szCs w:val="24"/>
        </w:rPr>
        <w:t xml:space="preserve">:  </w:t>
      </w:r>
      <w:r w:rsidR="00530337" w:rsidRPr="00530337">
        <w:rPr>
          <w:rFonts w:ascii="Arial" w:hAnsi="Arial" w:cs="Arial"/>
          <w:szCs w:val="24"/>
        </w:rPr>
        <w:t xml:space="preserve">Please help provide additional clarification to your August 8 clarification (see below).  Work is unnecessarily being routed to VSCs based upon the current loose guidance on “conflicting evidence” including statements from the beneficiary’s friend and family.  We believe this is criteria has many levels and propose the below enhanced guidance for consideration, which will leave the determination in the Fid Hub for quick and efficient resolution.  If you do not agree (which is fine), then please provide whatever clarification you can that resolves this issue.  We are finding that when the Fid Hub sends these to the VSC, some are being routed by the NWQ to other stations.  The other stations are deferring them because the statement from the Veteran has no evidentiary weight.  Therefore, these are counting against the VSCs deferral rate and delaying service to the Veteran.  Thank you in advance.  R/ Charles </w:t>
      </w:r>
    </w:p>
    <w:p w14:paraId="02ABDB2B" w14:textId="77777777" w:rsidR="00530337" w:rsidRPr="00530337" w:rsidRDefault="00530337" w:rsidP="00530337">
      <w:pPr>
        <w:spacing w:after="0" w:line="240" w:lineRule="auto"/>
        <w:rPr>
          <w:rFonts w:ascii="Arial" w:hAnsi="Arial" w:cs="Arial"/>
          <w:szCs w:val="24"/>
        </w:rPr>
      </w:pPr>
      <w:r w:rsidRPr="00530337">
        <w:rPr>
          <w:rFonts w:ascii="Arial" w:hAnsi="Arial" w:cs="Arial"/>
          <w:szCs w:val="24"/>
        </w:rPr>
        <w:t xml:space="preserve"> </w:t>
      </w:r>
    </w:p>
    <w:p w14:paraId="3462CB50" w14:textId="1603AA6F" w:rsidR="008D1E68" w:rsidRDefault="00530337" w:rsidP="00530337">
      <w:pPr>
        <w:spacing w:after="0" w:line="240" w:lineRule="auto"/>
        <w:rPr>
          <w:rFonts w:ascii="Arial" w:hAnsi="Arial" w:cs="Arial"/>
          <w:szCs w:val="24"/>
        </w:rPr>
      </w:pPr>
      <w:r w:rsidRPr="00530337">
        <w:rPr>
          <w:rFonts w:ascii="Arial" w:hAnsi="Arial" w:cs="Arial"/>
          <w:szCs w:val="24"/>
        </w:rPr>
        <w:t xml:space="preserve">While conflicting evidence could include lay statements from the beneficiary's friend and family, evidence is considered conflicting ONLY when it was not available for review during the proposed rating decision AND it directly calls into question the determination of incompetency AND that evidence carries the same evidentiary weight as what was used in the proposed incompetency decision.  It conflicts only when all criteria are met.  An example would be two letters from physicians – one that notes the Veteran is </w:t>
      </w:r>
      <w:r w:rsidRPr="00530337">
        <w:rPr>
          <w:rFonts w:ascii="Arial" w:hAnsi="Arial" w:cs="Arial"/>
          <w:szCs w:val="24"/>
        </w:rPr>
        <w:lastRenderedPageBreak/>
        <w:t>competent, the other that states he’s not.  An example where this does not apply is when the doctor’s note says the Veteran is incompetent, but a family member or social worker says he is…this evidence does not have the same weight and is, therefore, not conflicting.  Mere statements from the Veteran that they do not agree with the proposal are not conflicting.</w:t>
      </w:r>
    </w:p>
    <w:p w14:paraId="4D1E9633" w14:textId="77777777" w:rsidR="008D1E68" w:rsidRDefault="008D1E68" w:rsidP="008D1E68">
      <w:pPr>
        <w:spacing w:after="0" w:line="240" w:lineRule="auto"/>
        <w:rPr>
          <w:rFonts w:ascii="Arial" w:hAnsi="Arial" w:cs="Arial"/>
          <w:szCs w:val="24"/>
        </w:rPr>
      </w:pPr>
    </w:p>
    <w:p w14:paraId="1A58F648" w14:textId="77777777" w:rsidR="00530337" w:rsidRPr="00530337" w:rsidRDefault="008D1E68" w:rsidP="00530337">
      <w:pPr>
        <w:spacing w:after="0" w:line="240" w:lineRule="auto"/>
        <w:rPr>
          <w:rFonts w:ascii="Arial" w:hAnsi="Arial" w:cs="Arial"/>
          <w:szCs w:val="24"/>
        </w:rPr>
      </w:pPr>
      <w:r>
        <w:rPr>
          <w:rFonts w:ascii="Arial" w:hAnsi="Arial" w:cs="Arial"/>
          <w:b/>
          <w:szCs w:val="24"/>
        </w:rPr>
        <w:t>Response</w:t>
      </w:r>
      <w:r>
        <w:rPr>
          <w:rFonts w:ascii="Arial" w:hAnsi="Arial" w:cs="Arial"/>
          <w:szCs w:val="24"/>
        </w:rPr>
        <w:t xml:space="preserve">:  </w:t>
      </w:r>
      <w:r w:rsidR="00530337" w:rsidRPr="00530337">
        <w:rPr>
          <w:rFonts w:ascii="Arial" w:hAnsi="Arial" w:cs="Arial"/>
          <w:szCs w:val="24"/>
        </w:rPr>
        <w:t xml:space="preserve">A change to M21-1, Part III, Subpart iv, 8.A.3.b was published on December 30, 2019, to provide clarification for what constitutes conflicting evidence.  </w:t>
      </w:r>
    </w:p>
    <w:p w14:paraId="61ECE525" w14:textId="77777777" w:rsidR="00530337" w:rsidRPr="00530337" w:rsidRDefault="00530337" w:rsidP="00530337">
      <w:pPr>
        <w:spacing w:after="0" w:line="240" w:lineRule="auto"/>
        <w:rPr>
          <w:rFonts w:ascii="Arial" w:hAnsi="Arial" w:cs="Arial"/>
          <w:szCs w:val="24"/>
        </w:rPr>
      </w:pPr>
      <w:r w:rsidRPr="00530337">
        <w:rPr>
          <w:rFonts w:ascii="Arial" w:hAnsi="Arial" w:cs="Arial"/>
          <w:szCs w:val="24"/>
        </w:rPr>
        <w:t xml:space="preserve"> </w:t>
      </w:r>
    </w:p>
    <w:p w14:paraId="581FB719" w14:textId="77777777" w:rsidR="00530337" w:rsidRPr="00530337" w:rsidRDefault="00530337" w:rsidP="00530337">
      <w:pPr>
        <w:spacing w:after="0" w:line="240" w:lineRule="auto"/>
        <w:rPr>
          <w:rFonts w:ascii="Arial" w:hAnsi="Arial" w:cs="Arial"/>
          <w:szCs w:val="24"/>
        </w:rPr>
      </w:pPr>
      <w:r w:rsidRPr="00530337">
        <w:rPr>
          <w:rFonts w:ascii="Arial" w:hAnsi="Arial" w:cs="Arial"/>
          <w:szCs w:val="24"/>
        </w:rPr>
        <w:t>Please note that Fiduciary Service Representatives are not medical rating specialists trained to fully evaluate the weight of all evidence used in the proposed rating decision.  If the VA receives new evidence directly calling into question the determination of incompetency and that evidence is not identical to evidence already reviewed in making the proposed rating decision, the FSR must follow the guidance outlined in M21-1, Part III, Subpart iv, 8.A.3.b.</w:t>
      </w:r>
    </w:p>
    <w:p w14:paraId="53C0212F" w14:textId="77777777" w:rsidR="00530337" w:rsidRPr="00530337" w:rsidRDefault="00530337" w:rsidP="00530337">
      <w:pPr>
        <w:spacing w:after="0" w:line="240" w:lineRule="auto"/>
        <w:rPr>
          <w:rFonts w:ascii="Arial" w:hAnsi="Arial" w:cs="Arial"/>
          <w:szCs w:val="24"/>
        </w:rPr>
      </w:pPr>
      <w:r w:rsidRPr="00530337">
        <w:rPr>
          <w:rFonts w:ascii="Arial" w:hAnsi="Arial" w:cs="Arial"/>
          <w:szCs w:val="24"/>
        </w:rPr>
        <w:t xml:space="preserve"> </w:t>
      </w:r>
    </w:p>
    <w:p w14:paraId="2C7B9E3C" w14:textId="0CC5DF85" w:rsidR="00530337" w:rsidRDefault="00530337" w:rsidP="00530337">
      <w:pPr>
        <w:spacing w:after="0" w:line="240" w:lineRule="auto"/>
        <w:rPr>
          <w:rFonts w:ascii="Arial" w:hAnsi="Arial" w:cs="Arial"/>
          <w:szCs w:val="24"/>
        </w:rPr>
      </w:pPr>
      <w:r w:rsidRPr="00530337">
        <w:rPr>
          <w:rFonts w:ascii="Arial" w:hAnsi="Arial" w:cs="Arial"/>
          <w:szCs w:val="24"/>
        </w:rPr>
        <w:t>If the regional office defers the proposed rating back to the fiduciary hub, the deferral should be categorized as New Records/Needs Review.  This will correspond to an unavoidable deferral, making mitigation unnecessary.</w:t>
      </w:r>
    </w:p>
    <w:p w14:paraId="78BF9321" w14:textId="77777777" w:rsidR="009B7246" w:rsidRDefault="009B7246" w:rsidP="008D1E68">
      <w:pPr>
        <w:spacing w:after="0" w:line="240" w:lineRule="auto"/>
        <w:rPr>
          <w:rFonts w:ascii="Arial" w:hAnsi="Arial" w:cs="Arial"/>
          <w:szCs w:val="24"/>
        </w:rPr>
      </w:pPr>
    </w:p>
    <w:p w14:paraId="687C506C" w14:textId="0495F4F6" w:rsidR="00171D09" w:rsidRPr="00B06081" w:rsidRDefault="00171D09" w:rsidP="008D1E68">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sidR="002C0237">
        <w:rPr>
          <w:rFonts w:ascii="Arial" w:hAnsi="Arial" w:cs="Arial"/>
          <w:szCs w:val="24"/>
        </w:rPr>
        <w:t xml:space="preserve"> </w:t>
      </w:r>
      <w:r w:rsidR="00530337" w:rsidRPr="00530337">
        <w:rPr>
          <w:rFonts w:ascii="Arial" w:hAnsi="Arial" w:cs="Arial"/>
          <w:szCs w:val="24"/>
        </w:rPr>
        <w:t xml:space="preserve">M21-1, Part III, Subpart iv, 8.A.3.b was </w:t>
      </w:r>
      <w:r w:rsidR="00530337">
        <w:rPr>
          <w:rFonts w:ascii="Arial" w:hAnsi="Arial" w:cs="Arial"/>
          <w:szCs w:val="24"/>
        </w:rPr>
        <w:t>updated</w:t>
      </w:r>
      <w:r w:rsidR="00530337" w:rsidRPr="00530337">
        <w:rPr>
          <w:rFonts w:ascii="Arial" w:hAnsi="Arial" w:cs="Arial"/>
          <w:szCs w:val="24"/>
        </w:rPr>
        <w:t xml:space="preserve"> on December 30, 2019</w:t>
      </w:r>
      <w:r>
        <w:rPr>
          <w:rFonts w:ascii="Arial" w:hAnsi="Arial" w:cs="Arial"/>
          <w:szCs w:val="24"/>
        </w:rPr>
        <w:t>.</w:t>
      </w:r>
    </w:p>
    <w:p w14:paraId="04262DC2" w14:textId="3BA9083C" w:rsidR="00171D09" w:rsidRPr="003C7AC3" w:rsidRDefault="009A6949" w:rsidP="00171D09">
      <w:pPr>
        <w:pStyle w:val="Heading1"/>
        <w:rPr>
          <w:rFonts w:ascii="Arial" w:hAnsi="Arial" w:cs="Arial"/>
        </w:rPr>
      </w:pPr>
      <w:bookmarkStart w:id="17" w:name="_Toc32556600"/>
      <w:r w:rsidRPr="009A6949">
        <w:rPr>
          <w:rFonts w:ascii="Arial" w:hAnsi="Arial" w:cs="Arial"/>
        </w:rPr>
        <w:t xml:space="preserve">Fiduciary Program Manual Updates - Surety Bond </w:t>
      </w:r>
      <w:r>
        <w:rPr>
          <w:rFonts w:ascii="Arial" w:hAnsi="Arial" w:cs="Arial"/>
        </w:rPr>
        <w:t>Q</w:t>
      </w:r>
      <w:r w:rsidRPr="009A6949">
        <w:rPr>
          <w:rFonts w:ascii="Arial" w:hAnsi="Arial" w:cs="Arial"/>
        </w:rPr>
        <w:t>uestion</w:t>
      </w:r>
      <w:bookmarkEnd w:id="17"/>
    </w:p>
    <w:p w14:paraId="47B61BE1" w14:textId="09C2A959" w:rsidR="00171D09" w:rsidRPr="004B6A70" w:rsidRDefault="00171D09" w:rsidP="004B6A70">
      <w:pPr>
        <w:spacing w:after="0" w:line="240" w:lineRule="auto"/>
        <w:rPr>
          <w:rFonts w:ascii="Arial" w:hAnsi="Arial" w:cs="Arial"/>
          <w:szCs w:val="24"/>
        </w:rPr>
      </w:pPr>
      <w:r w:rsidRPr="004B6A70">
        <w:rPr>
          <w:rFonts w:ascii="Arial" w:hAnsi="Arial" w:cs="Arial"/>
          <w:b/>
          <w:szCs w:val="24"/>
        </w:rPr>
        <w:t>Target Audience</w:t>
      </w:r>
      <w:r w:rsidRPr="004B6A70">
        <w:rPr>
          <w:rFonts w:ascii="Arial" w:hAnsi="Arial" w:cs="Arial"/>
          <w:szCs w:val="24"/>
        </w:rPr>
        <w:t xml:space="preserve">: </w:t>
      </w:r>
      <w:r w:rsidR="002C0237" w:rsidRPr="004B6A70">
        <w:rPr>
          <w:rFonts w:ascii="Arial" w:hAnsi="Arial" w:cs="Arial"/>
          <w:szCs w:val="24"/>
        </w:rPr>
        <w:t xml:space="preserve"> </w:t>
      </w:r>
      <w:r w:rsidR="004B6A70" w:rsidRPr="004B6A70">
        <w:rPr>
          <w:rFonts w:ascii="Arial" w:eastAsia="Times New Roman" w:hAnsi="Arial" w:cs="Arial"/>
          <w:szCs w:val="24"/>
        </w:rPr>
        <w:t>Field</w:t>
      </w:r>
      <w:r w:rsidR="00A00A6D" w:rsidRPr="004B6A70">
        <w:rPr>
          <w:rFonts w:ascii="Arial" w:eastAsia="Times New Roman" w:hAnsi="Arial" w:cs="Arial"/>
          <w:szCs w:val="24"/>
        </w:rPr>
        <w:t xml:space="preserve"> Examiners</w:t>
      </w:r>
      <w:r w:rsidR="009A6949">
        <w:rPr>
          <w:rFonts w:ascii="Arial" w:eastAsia="Times New Roman" w:hAnsi="Arial" w:cs="Arial"/>
          <w:szCs w:val="24"/>
        </w:rPr>
        <w:t xml:space="preserve"> and Legal Instruments Examiners</w:t>
      </w:r>
    </w:p>
    <w:p w14:paraId="30586D9E" w14:textId="77777777" w:rsidR="00171D09" w:rsidRPr="004B6A70" w:rsidRDefault="00171D09" w:rsidP="004B6A70">
      <w:pPr>
        <w:spacing w:after="0" w:line="240" w:lineRule="auto"/>
        <w:rPr>
          <w:rFonts w:ascii="Arial" w:hAnsi="Arial" w:cs="Arial"/>
          <w:szCs w:val="24"/>
        </w:rPr>
      </w:pPr>
    </w:p>
    <w:p w14:paraId="33DE8CE7" w14:textId="77777777" w:rsidR="009A6949" w:rsidRPr="009A6949" w:rsidRDefault="004B6A70" w:rsidP="009A6949">
      <w:pPr>
        <w:spacing w:after="0" w:line="240" w:lineRule="auto"/>
        <w:rPr>
          <w:rFonts w:ascii="Arial" w:hAnsi="Arial" w:cs="Arial"/>
          <w:szCs w:val="24"/>
        </w:rPr>
      </w:pPr>
      <w:r w:rsidRPr="004B6A70">
        <w:rPr>
          <w:rFonts w:ascii="Arial" w:hAnsi="Arial" w:cs="Arial"/>
          <w:b/>
          <w:szCs w:val="24"/>
        </w:rPr>
        <w:t xml:space="preserve">Question: </w:t>
      </w:r>
      <w:r w:rsidRPr="004B6A70">
        <w:rPr>
          <w:rFonts w:ascii="Arial" w:hAnsi="Arial" w:cs="Arial"/>
          <w:szCs w:val="24"/>
        </w:rPr>
        <w:t xml:space="preserve"> </w:t>
      </w:r>
      <w:r w:rsidR="009A6949" w:rsidRPr="009A6949">
        <w:rPr>
          <w:rFonts w:ascii="Arial" w:hAnsi="Arial" w:cs="Arial"/>
          <w:szCs w:val="24"/>
        </w:rPr>
        <w:t>We received several manual updates today.  Many of them change the language for surety bonds to allow us to accept bonds payable to the court and not the VA.</w:t>
      </w:r>
    </w:p>
    <w:p w14:paraId="7BD04D76" w14:textId="77777777" w:rsidR="009A6949" w:rsidRPr="009A6949" w:rsidRDefault="009A6949" w:rsidP="009A6949">
      <w:pPr>
        <w:spacing w:after="0" w:line="240" w:lineRule="auto"/>
        <w:rPr>
          <w:rFonts w:ascii="Arial" w:hAnsi="Arial" w:cs="Arial"/>
          <w:szCs w:val="24"/>
        </w:rPr>
      </w:pPr>
    </w:p>
    <w:p w14:paraId="01389604" w14:textId="715D4FF4" w:rsidR="009A6949" w:rsidRDefault="009A6949" w:rsidP="009A6949">
      <w:pPr>
        <w:spacing w:after="0" w:line="240" w:lineRule="auto"/>
        <w:rPr>
          <w:rFonts w:ascii="Arial" w:hAnsi="Arial" w:cs="Arial"/>
          <w:szCs w:val="24"/>
        </w:rPr>
      </w:pPr>
      <w:r w:rsidRPr="009A6949">
        <w:rPr>
          <w:rFonts w:ascii="Arial" w:hAnsi="Arial" w:cs="Arial"/>
          <w:szCs w:val="24"/>
        </w:rPr>
        <w:t xml:space="preserve">2.D.8.a </w:t>
      </w:r>
    </w:p>
    <w:p w14:paraId="23D12B1E" w14:textId="77777777" w:rsidR="009A6949" w:rsidRPr="009A6949" w:rsidRDefault="009A6949" w:rsidP="009A6949">
      <w:pPr>
        <w:spacing w:after="0" w:line="240" w:lineRule="auto"/>
        <w:ind w:left="720"/>
        <w:rPr>
          <w:rFonts w:ascii="Arial" w:hAnsi="Arial" w:cs="Arial"/>
          <w:szCs w:val="24"/>
        </w:rPr>
      </w:pPr>
    </w:p>
    <w:p w14:paraId="72DFCB87" w14:textId="77777777" w:rsidR="009A6949" w:rsidRPr="009A6949" w:rsidRDefault="009A6949" w:rsidP="009A6949">
      <w:pPr>
        <w:spacing w:after="0" w:line="240" w:lineRule="auto"/>
        <w:ind w:left="720"/>
        <w:rPr>
          <w:rFonts w:ascii="Arial" w:hAnsi="Arial" w:cs="Arial"/>
          <w:szCs w:val="24"/>
        </w:rPr>
      </w:pPr>
      <w:r w:rsidRPr="009A6949">
        <w:rPr>
          <w:rFonts w:ascii="Arial" w:hAnsi="Arial" w:cs="Arial"/>
          <w:b/>
          <w:szCs w:val="24"/>
        </w:rPr>
        <w:t>Note</w:t>
      </w:r>
      <w:r w:rsidRPr="009A6949">
        <w:rPr>
          <w:rFonts w:ascii="Arial" w:hAnsi="Arial" w:cs="Arial"/>
          <w:szCs w:val="24"/>
        </w:rPr>
        <w:t>:  In the event a VA-appointed fiduciary also serving as a court-appointed fiduciary already has a surety bond established with the court of jurisdiction, accept this bond if it covers the value of the VA FUM.   If the value of the court ordered surety bond does not cover the VA FUM, follow the guidance in FPM 4.G.1.i, to have the fiduciary update the amount of the surety bond.  Notify the proposed fiduciary that a copy of the surety bond must be submitted as proof of coverage..</w:t>
      </w:r>
    </w:p>
    <w:p w14:paraId="0E8FDD1A" w14:textId="77777777" w:rsidR="009A6949" w:rsidRPr="009A6949" w:rsidRDefault="009A6949" w:rsidP="009A6949">
      <w:pPr>
        <w:spacing w:after="0" w:line="240" w:lineRule="auto"/>
        <w:rPr>
          <w:rFonts w:ascii="Arial" w:hAnsi="Arial" w:cs="Arial"/>
          <w:szCs w:val="24"/>
        </w:rPr>
      </w:pPr>
    </w:p>
    <w:p w14:paraId="4B7208EF" w14:textId="4021F268" w:rsidR="006B3992" w:rsidRPr="006B3992" w:rsidRDefault="009A6949" w:rsidP="009A6949">
      <w:pPr>
        <w:spacing w:after="0" w:line="240" w:lineRule="auto"/>
        <w:rPr>
          <w:rFonts w:ascii="Arial" w:hAnsi="Arial" w:cs="Arial"/>
          <w:szCs w:val="24"/>
        </w:rPr>
      </w:pPr>
      <w:r w:rsidRPr="009A6949">
        <w:rPr>
          <w:rFonts w:ascii="Arial" w:hAnsi="Arial" w:cs="Arial"/>
          <w:szCs w:val="24"/>
        </w:rPr>
        <w:t>Our understanding of 28 CFR 13.230 – Protection of Beneficiary funds, under d.3.ii, it requires the bond to be payable to the Secretary of Veterans Affairs.</w:t>
      </w:r>
    </w:p>
    <w:p w14:paraId="70CD9E0D" w14:textId="77777777" w:rsidR="006B3992" w:rsidRPr="006B3992" w:rsidRDefault="006B3992" w:rsidP="006B3992">
      <w:pPr>
        <w:spacing w:after="0" w:line="240" w:lineRule="auto"/>
        <w:rPr>
          <w:rFonts w:ascii="Arial" w:hAnsi="Arial" w:cs="Arial"/>
          <w:szCs w:val="24"/>
        </w:rPr>
      </w:pPr>
    </w:p>
    <w:p w14:paraId="349F7FA0" w14:textId="62D1BD08" w:rsidR="009A6949" w:rsidRPr="009A6949" w:rsidRDefault="004B6A70" w:rsidP="009A6949">
      <w:pPr>
        <w:spacing w:after="0" w:line="240" w:lineRule="auto"/>
        <w:rPr>
          <w:rFonts w:ascii="Arial" w:hAnsi="Arial" w:cs="Arial"/>
          <w:szCs w:val="24"/>
        </w:rPr>
      </w:pPr>
      <w:r w:rsidRPr="004B6A70">
        <w:rPr>
          <w:rFonts w:ascii="Arial" w:hAnsi="Arial" w:cs="Arial"/>
          <w:b/>
          <w:szCs w:val="24"/>
        </w:rPr>
        <w:t>Response</w:t>
      </w:r>
      <w:r w:rsidRPr="004B6A70">
        <w:rPr>
          <w:rFonts w:ascii="Arial" w:hAnsi="Arial" w:cs="Arial"/>
          <w:szCs w:val="24"/>
        </w:rPr>
        <w:t xml:space="preserve">:  </w:t>
      </w:r>
      <w:r w:rsidR="009A6949" w:rsidRPr="009A6949">
        <w:rPr>
          <w:rFonts w:ascii="Arial" w:hAnsi="Arial" w:cs="Arial"/>
          <w:szCs w:val="24"/>
        </w:rPr>
        <w:t xml:space="preserve">FPM procedures are correctly directing VA to accept surety bonds payable to the court in lieu of bonds titled to the Secretary of Veterans Affairs.  </w:t>
      </w:r>
    </w:p>
    <w:p w14:paraId="65EFFA42" w14:textId="77777777" w:rsidR="009A6949" w:rsidRPr="009A6949" w:rsidRDefault="009A6949" w:rsidP="009A6949">
      <w:pPr>
        <w:spacing w:after="0" w:line="240" w:lineRule="auto"/>
        <w:rPr>
          <w:rFonts w:ascii="Arial" w:hAnsi="Arial" w:cs="Arial"/>
          <w:szCs w:val="24"/>
        </w:rPr>
      </w:pPr>
    </w:p>
    <w:p w14:paraId="4260ADB6" w14:textId="77777777" w:rsidR="009A6949" w:rsidRPr="009A6949" w:rsidRDefault="009A6949" w:rsidP="009A6949">
      <w:pPr>
        <w:spacing w:after="0" w:line="240" w:lineRule="auto"/>
        <w:rPr>
          <w:rFonts w:ascii="Arial" w:hAnsi="Arial" w:cs="Arial"/>
          <w:szCs w:val="24"/>
        </w:rPr>
      </w:pPr>
      <w:r w:rsidRPr="009A6949">
        <w:rPr>
          <w:rFonts w:ascii="Arial" w:hAnsi="Arial" w:cs="Arial"/>
          <w:szCs w:val="24"/>
        </w:rPr>
        <w:t xml:space="preserve">P&amp;F Service consulted with the Office of General Counsel and was advised that allowing the bonds to be payable to a court of competent jurisdiction is an acceptable practice when </w:t>
      </w:r>
    </w:p>
    <w:p w14:paraId="11F50300" w14:textId="7A7E0CCF" w:rsidR="009A6949" w:rsidRPr="009A6949" w:rsidRDefault="009A6949" w:rsidP="004E1DA6">
      <w:pPr>
        <w:pStyle w:val="ListParagraph"/>
        <w:numPr>
          <w:ilvl w:val="0"/>
          <w:numId w:val="3"/>
        </w:numPr>
        <w:spacing w:after="0" w:line="240" w:lineRule="auto"/>
        <w:rPr>
          <w:rFonts w:ascii="Arial" w:hAnsi="Arial" w:cs="Arial"/>
          <w:szCs w:val="24"/>
        </w:rPr>
      </w:pPr>
      <w:r w:rsidRPr="009A6949">
        <w:rPr>
          <w:rFonts w:ascii="Arial" w:hAnsi="Arial" w:cs="Arial"/>
          <w:szCs w:val="24"/>
        </w:rPr>
        <w:t xml:space="preserve">the surety bond covers the amount of the VA funds under management is and </w:t>
      </w:r>
    </w:p>
    <w:p w14:paraId="7F80CF58" w14:textId="32F63ACE" w:rsidR="009A6949" w:rsidRPr="009A6949" w:rsidRDefault="009A6949" w:rsidP="004E1DA6">
      <w:pPr>
        <w:pStyle w:val="ListParagraph"/>
        <w:numPr>
          <w:ilvl w:val="0"/>
          <w:numId w:val="3"/>
        </w:numPr>
        <w:spacing w:after="0" w:line="240" w:lineRule="auto"/>
        <w:rPr>
          <w:rFonts w:ascii="Arial" w:hAnsi="Arial" w:cs="Arial"/>
          <w:szCs w:val="24"/>
        </w:rPr>
      </w:pPr>
      <w:r w:rsidRPr="009A6949">
        <w:rPr>
          <w:rFonts w:ascii="Arial" w:hAnsi="Arial" w:cs="Arial"/>
          <w:szCs w:val="24"/>
        </w:rPr>
        <w:t xml:space="preserve">the fiduciary relationship is in the best interest of the beneficiary.  </w:t>
      </w:r>
    </w:p>
    <w:p w14:paraId="0B9F5397" w14:textId="77777777" w:rsidR="009A6949" w:rsidRPr="009A6949" w:rsidRDefault="009A6949" w:rsidP="009A6949">
      <w:pPr>
        <w:spacing w:after="0" w:line="240" w:lineRule="auto"/>
        <w:rPr>
          <w:rFonts w:ascii="Arial" w:hAnsi="Arial" w:cs="Arial"/>
          <w:szCs w:val="24"/>
        </w:rPr>
      </w:pPr>
    </w:p>
    <w:p w14:paraId="5B88FC37" w14:textId="7A567BA1" w:rsidR="009A6949" w:rsidRDefault="009A6949" w:rsidP="009A6949">
      <w:pPr>
        <w:spacing w:after="0" w:line="240" w:lineRule="auto"/>
        <w:rPr>
          <w:rFonts w:ascii="Arial" w:hAnsi="Arial" w:cs="Arial"/>
          <w:szCs w:val="24"/>
        </w:rPr>
      </w:pPr>
      <w:r w:rsidRPr="009A6949">
        <w:rPr>
          <w:rFonts w:ascii="Arial" w:hAnsi="Arial" w:cs="Arial"/>
          <w:szCs w:val="24"/>
        </w:rPr>
        <w:t>P&amp;F Service is in the process of submitting a change to the regulation, which may take many months.  In the interim, FPM procedures should continue to be followed on this matter. Additional guidance has been published to FPM 3.C.2 and 7.A.1. on December 30, 2019 to support the practice outlined in FPM 2.D.8.a and 4.G.1.i.</w:t>
      </w:r>
    </w:p>
    <w:p w14:paraId="12C4FA1F" w14:textId="77777777" w:rsidR="004B6A70" w:rsidRPr="004B6A70" w:rsidRDefault="004B6A70" w:rsidP="004B6A70">
      <w:pPr>
        <w:spacing w:after="0" w:line="240" w:lineRule="auto"/>
        <w:rPr>
          <w:rFonts w:ascii="Arial" w:hAnsi="Arial" w:cs="Arial"/>
          <w:b/>
          <w:szCs w:val="24"/>
        </w:rPr>
      </w:pPr>
    </w:p>
    <w:p w14:paraId="29BC281E" w14:textId="339F0B5F" w:rsidR="00171D09" w:rsidRDefault="00171D09" w:rsidP="004B6A70">
      <w:pPr>
        <w:spacing w:after="0" w:line="240" w:lineRule="auto"/>
        <w:rPr>
          <w:rFonts w:ascii="Arial" w:eastAsia="Calibri" w:hAnsi="Arial" w:cs="Arial"/>
          <w:szCs w:val="24"/>
        </w:rPr>
      </w:pPr>
      <w:r w:rsidRPr="004B6A70">
        <w:rPr>
          <w:rFonts w:ascii="Arial" w:hAnsi="Arial" w:cs="Arial"/>
          <w:b/>
          <w:szCs w:val="24"/>
        </w:rPr>
        <w:t>Result:</w:t>
      </w:r>
      <w:r w:rsidRPr="004B6A70">
        <w:rPr>
          <w:rFonts w:ascii="Arial" w:hAnsi="Arial" w:cs="Arial"/>
          <w:szCs w:val="24"/>
        </w:rPr>
        <w:t xml:space="preserve"> </w:t>
      </w:r>
      <w:r w:rsidR="002C0237" w:rsidRPr="004B6A70">
        <w:rPr>
          <w:rFonts w:ascii="Arial" w:hAnsi="Arial" w:cs="Arial"/>
          <w:szCs w:val="24"/>
        </w:rPr>
        <w:t xml:space="preserve"> </w:t>
      </w:r>
      <w:r w:rsidR="009A6949">
        <w:rPr>
          <w:rFonts w:ascii="Arial" w:hAnsi="Arial" w:cs="Arial"/>
          <w:szCs w:val="24"/>
        </w:rPr>
        <w:t>FPM updated on December 30, 2019</w:t>
      </w:r>
      <w:r w:rsidR="002C0237" w:rsidRPr="004B6A70">
        <w:rPr>
          <w:rFonts w:ascii="Arial" w:eastAsia="Calibri" w:hAnsi="Arial" w:cs="Arial"/>
          <w:szCs w:val="24"/>
        </w:rPr>
        <w:t>.</w:t>
      </w:r>
    </w:p>
    <w:p w14:paraId="325BCADC" w14:textId="7EB0CCC5" w:rsidR="00AB6F09" w:rsidRPr="003C7AC3" w:rsidRDefault="0035156A" w:rsidP="00AB6F09">
      <w:pPr>
        <w:pStyle w:val="Heading1"/>
        <w:rPr>
          <w:rFonts w:ascii="Arial" w:hAnsi="Arial" w:cs="Arial"/>
        </w:rPr>
      </w:pPr>
      <w:bookmarkStart w:id="18" w:name="_Toc32556601"/>
      <w:r w:rsidRPr="0035156A">
        <w:rPr>
          <w:rFonts w:ascii="Arial" w:hAnsi="Arial" w:cs="Arial"/>
        </w:rPr>
        <w:t>Fiduciary Program Manual Updates</w:t>
      </w:r>
      <w:r>
        <w:rPr>
          <w:rFonts w:ascii="Arial" w:hAnsi="Arial" w:cs="Arial"/>
        </w:rPr>
        <w:t xml:space="preserve"> - Misuse</w:t>
      </w:r>
      <w:bookmarkEnd w:id="18"/>
    </w:p>
    <w:p w14:paraId="06822A19" w14:textId="061B0B45" w:rsidR="00AB6F09" w:rsidRPr="00B06081" w:rsidRDefault="00AB6F09" w:rsidP="00AB6F09">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Pr>
          <w:rFonts w:ascii="Arial" w:hAnsi="Arial" w:cs="Arial"/>
          <w:szCs w:val="24"/>
        </w:rPr>
        <w:t xml:space="preserve"> </w:t>
      </w:r>
      <w:r w:rsidR="0035156A">
        <w:rPr>
          <w:rFonts w:ascii="Arial" w:hAnsi="Arial" w:cs="Arial"/>
          <w:szCs w:val="24"/>
        </w:rPr>
        <w:t xml:space="preserve">Hub Management and </w:t>
      </w:r>
      <w:r>
        <w:rPr>
          <w:rFonts w:ascii="Arial" w:hAnsi="Arial" w:cs="Arial"/>
          <w:szCs w:val="24"/>
        </w:rPr>
        <w:t>F</w:t>
      </w:r>
      <w:r>
        <w:rPr>
          <w:rFonts w:ascii="Arial" w:hAnsi="Arial" w:cs="Arial"/>
        </w:rPr>
        <w:t>ield Examiners</w:t>
      </w:r>
    </w:p>
    <w:p w14:paraId="4A95C232" w14:textId="77777777" w:rsidR="00AB6F09" w:rsidRDefault="00AB6F09" w:rsidP="00AB6F09">
      <w:pPr>
        <w:spacing w:after="0" w:line="240" w:lineRule="auto"/>
        <w:rPr>
          <w:rFonts w:ascii="Arial" w:hAnsi="Arial" w:cs="Arial"/>
          <w:szCs w:val="24"/>
        </w:rPr>
      </w:pPr>
    </w:p>
    <w:p w14:paraId="37EE3D79" w14:textId="6A94BAD3" w:rsidR="00597AC9" w:rsidRDefault="00AB6F09" w:rsidP="0035156A">
      <w:pPr>
        <w:spacing w:after="0" w:line="240" w:lineRule="auto"/>
        <w:rPr>
          <w:rFonts w:ascii="Arial" w:hAnsi="Arial" w:cs="Arial"/>
        </w:rPr>
      </w:pPr>
      <w:r w:rsidRPr="003C7AC3">
        <w:rPr>
          <w:rFonts w:ascii="Arial" w:hAnsi="Arial" w:cs="Arial"/>
          <w:b/>
          <w:szCs w:val="24"/>
        </w:rPr>
        <w:t>Question:</w:t>
      </w:r>
      <w:r>
        <w:rPr>
          <w:rFonts w:ascii="Arial" w:hAnsi="Arial" w:cs="Arial"/>
          <w:b/>
          <w:szCs w:val="24"/>
        </w:rPr>
        <w:t xml:space="preserve"> </w:t>
      </w:r>
      <w:r>
        <w:rPr>
          <w:rFonts w:ascii="Arial" w:hAnsi="Arial" w:cs="Arial"/>
          <w:szCs w:val="24"/>
        </w:rPr>
        <w:t xml:space="preserve"> </w:t>
      </w:r>
      <w:r w:rsidR="0035156A" w:rsidRPr="0035156A">
        <w:rPr>
          <w:rFonts w:ascii="Arial" w:hAnsi="Arial" w:cs="Arial"/>
        </w:rPr>
        <w:t>Will the same changes identified below in the field exam due diligence process exceptions be carried over to Misuse Investigations in 5.C.</w:t>
      </w:r>
      <w:r w:rsidR="0035156A">
        <w:rPr>
          <w:rFonts w:ascii="Arial" w:hAnsi="Arial" w:cs="Arial"/>
        </w:rPr>
        <w:t>1</w:t>
      </w:r>
      <w:r w:rsidR="0035156A" w:rsidRPr="0035156A">
        <w:rPr>
          <w:rFonts w:ascii="Arial" w:hAnsi="Arial" w:cs="Arial"/>
        </w:rPr>
        <w:t xml:space="preserve">.c Due Diligence as exceptions their as well?  </w:t>
      </w:r>
    </w:p>
    <w:p w14:paraId="29DE2530" w14:textId="77777777" w:rsidR="0035156A" w:rsidRPr="00597AC9" w:rsidRDefault="0035156A" w:rsidP="0035156A">
      <w:pPr>
        <w:spacing w:after="0" w:line="240" w:lineRule="auto"/>
        <w:rPr>
          <w:rFonts w:ascii="Arial" w:hAnsi="Arial" w:cs="Arial"/>
        </w:rPr>
      </w:pPr>
    </w:p>
    <w:p w14:paraId="382E270F" w14:textId="77777777" w:rsidR="0035156A" w:rsidRDefault="0035156A" w:rsidP="0035156A">
      <w:pPr>
        <w:spacing w:after="240"/>
        <w:ind w:left="720"/>
        <w:rPr>
          <w:sz w:val="22"/>
        </w:rPr>
      </w:pPr>
      <w:r>
        <w:rPr>
          <w:b/>
          <w:bCs/>
        </w:rPr>
        <w:t>Friday, December 20, 2019</w:t>
      </w:r>
    </w:p>
    <w:p w14:paraId="5D9D3514" w14:textId="77777777" w:rsidR="0035156A" w:rsidRDefault="0035156A" w:rsidP="0035156A">
      <w:pPr>
        <w:pStyle w:val="NormalWeb"/>
        <w:ind w:left="720"/>
        <w:rPr>
          <w:rFonts w:cs="Times New Roman"/>
          <w:sz w:val="20"/>
          <w:szCs w:val="20"/>
        </w:rPr>
      </w:pPr>
      <w:r>
        <w:rPr>
          <w:rFonts w:cs="Times New Roman"/>
          <w:sz w:val="20"/>
          <w:szCs w:val="20"/>
        </w:rPr>
        <w:t xml:space="preserve">This week we published changes to the following content in the </w:t>
      </w:r>
      <w:r>
        <w:rPr>
          <w:rStyle w:val="Emphasis"/>
        </w:rPr>
        <w:t>Fiduciary Program Manual</w:t>
      </w:r>
      <w:r>
        <w:rPr>
          <w:rFonts w:cs="Times New Roman"/>
          <w:sz w:val="20"/>
          <w:szCs w:val="20"/>
        </w:rPr>
        <w:t xml:space="preserve">: </w:t>
      </w:r>
    </w:p>
    <w:tbl>
      <w:tblPr>
        <w:tblW w:w="9344" w:type="dxa"/>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35156A" w14:paraId="6519D52B" w14:textId="77777777" w:rsidTr="0035156A">
        <w:trPr>
          <w:tblCellSpacing w:w="0" w:type="dxa"/>
        </w:trPr>
        <w:tc>
          <w:tcPr>
            <w:tcW w:w="9344" w:type="dxa"/>
            <w:tcBorders>
              <w:top w:val="outset" w:sz="6" w:space="0" w:color="auto"/>
              <w:left w:val="outset" w:sz="6" w:space="0" w:color="auto"/>
              <w:bottom w:val="outset" w:sz="6" w:space="0" w:color="auto"/>
              <w:right w:val="outset" w:sz="6" w:space="0" w:color="auto"/>
            </w:tcBorders>
            <w:hideMark/>
          </w:tcPr>
          <w:p w14:paraId="730A16CE" w14:textId="77777777" w:rsidR="0035156A" w:rsidRDefault="0035156A">
            <w:pPr>
              <w:pStyle w:val="NormalWeb"/>
              <w:rPr>
                <w:rFonts w:cs="Times New Roman"/>
                <w:sz w:val="20"/>
                <w:szCs w:val="20"/>
              </w:rPr>
            </w:pPr>
            <w:r>
              <w:rPr>
                <w:rStyle w:val="Strong"/>
                <w:sz w:val="20"/>
                <w:szCs w:val="20"/>
              </w:rPr>
              <w:t>Change</w:t>
            </w:r>
          </w:p>
        </w:tc>
      </w:tr>
      <w:tr w:rsidR="0035156A" w14:paraId="30EDCCF3" w14:textId="77777777" w:rsidTr="0035156A">
        <w:trPr>
          <w:tblCellSpacing w:w="0" w:type="dxa"/>
        </w:trPr>
        <w:tc>
          <w:tcPr>
            <w:tcW w:w="9344" w:type="dxa"/>
            <w:tcBorders>
              <w:top w:val="outset" w:sz="6" w:space="0" w:color="auto"/>
              <w:left w:val="outset" w:sz="6" w:space="0" w:color="auto"/>
              <w:bottom w:val="outset" w:sz="6" w:space="0" w:color="auto"/>
              <w:right w:val="outset" w:sz="6" w:space="0" w:color="auto"/>
            </w:tcBorders>
            <w:hideMark/>
          </w:tcPr>
          <w:p w14:paraId="2B13C809" w14:textId="77777777" w:rsidR="0035156A" w:rsidRDefault="00C53D58">
            <w:pPr>
              <w:pStyle w:val="NormalWeb"/>
              <w:rPr>
                <w:rFonts w:cs="Times New Roman"/>
                <w:sz w:val="20"/>
                <w:szCs w:val="20"/>
              </w:rPr>
            </w:pPr>
            <w:hyperlink r:id="rId16" w:history="1">
              <w:r w:rsidR="0035156A">
                <w:rPr>
                  <w:rStyle w:val="Hyperlink"/>
                  <w:rFonts w:cs="Times New Roman"/>
                  <w:sz w:val="20"/>
                  <w:szCs w:val="20"/>
                </w:rPr>
                <w:t>FPM 2.A.1 General Information on Field Examinations</w:t>
              </w:r>
            </w:hyperlink>
            <w:r w:rsidR="0035156A">
              <w:rPr>
                <w:rFonts w:cs="Times New Roman"/>
                <w:sz w:val="20"/>
                <w:szCs w:val="20"/>
              </w:rPr>
              <w:t> </w:t>
            </w:r>
          </w:p>
        </w:tc>
      </w:tr>
    </w:tbl>
    <w:p w14:paraId="2DDC4B4A" w14:textId="77777777" w:rsidR="0035156A" w:rsidRDefault="0035156A" w:rsidP="0035156A">
      <w:pPr>
        <w:ind w:left="720"/>
        <w:rPr>
          <w:rFonts w:ascii="Calibri" w:eastAsiaTheme="minorHAnsi" w:hAnsi="Calibri" w:cs="Calibri"/>
          <w:sz w:val="22"/>
        </w:rPr>
      </w:pPr>
      <w:r>
        <w:br w:type="textWrapping" w:clear="all"/>
      </w:r>
    </w:p>
    <w:p w14:paraId="25E70A88" w14:textId="77411485" w:rsidR="00AB6F09" w:rsidRDefault="0035156A" w:rsidP="0035156A">
      <w:pPr>
        <w:spacing w:after="0" w:line="240" w:lineRule="auto"/>
        <w:ind w:left="720"/>
        <w:rPr>
          <w:rFonts w:ascii="Arial" w:hAnsi="Arial" w:cs="Arial"/>
          <w:szCs w:val="24"/>
        </w:rPr>
      </w:pPr>
      <w:r>
        <w:rPr>
          <w:rFonts w:cs="Times New Roman"/>
          <w:sz w:val="20"/>
          <w:szCs w:val="20"/>
        </w:rPr>
        <w:t xml:space="preserve">Please see the </w:t>
      </w:r>
      <w:hyperlink r:id="rId17" w:history="1">
        <w:r>
          <w:rPr>
            <w:rStyle w:val="Hyperlink"/>
            <w:rFonts w:cs="Times New Roman"/>
            <w:sz w:val="20"/>
            <w:szCs w:val="20"/>
          </w:rPr>
          <w:t>Changes by Date</w:t>
        </w:r>
      </w:hyperlink>
      <w:r>
        <w:rPr>
          <w:rFonts w:cs="Times New Roman"/>
          <w:sz w:val="20"/>
          <w:szCs w:val="20"/>
        </w:rPr>
        <w:t xml:space="preserve"> page for a list and brief description of recent FPM changes.</w:t>
      </w:r>
    </w:p>
    <w:p w14:paraId="61FD982B" w14:textId="77777777" w:rsidR="0035156A" w:rsidRPr="00AB6F09" w:rsidRDefault="0035156A" w:rsidP="00AB6F09">
      <w:pPr>
        <w:spacing w:after="0" w:line="240" w:lineRule="auto"/>
        <w:rPr>
          <w:rFonts w:ascii="Arial" w:hAnsi="Arial" w:cs="Arial"/>
          <w:szCs w:val="24"/>
        </w:rPr>
      </w:pPr>
    </w:p>
    <w:p w14:paraId="2B8BCE90" w14:textId="6803A410" w:rsidR="00597AC9" w:rsidRDefault="00AB6F09" w:rsidP="00AB6F09">
      <w:pPr>
        <w:spacing w:after="0" w:line="240" w:lineRule="auto"/>
        <w:rPr>
          <w:rFonts w:ascii="Arial" w:hAnsi="Arial" w:cs="Arial"/>
          <w:szCs w:val="24"/>
        </w:rPr>
      </w:pPr>
      <w:r w:rsidRPr="009B7246">
        <w:rPr>
          <w:rFonts w:ascii="Arial" w:hAnsi="Arial" w:cs="Arial"/>
          <w:b/>
          <w:szCs w:val="24"/>
        </w:rPr>
        <w:t>Response</w:t>
      </w:r>
      <w:r>
        <w:rPr>
          <w:rFonts w:ascii="Arial" w:hAnsi="Arial" w:cs="Arial"/>
          <w:szCs w:val="24"/>
        </w:rPr>
        <w:t xml:space="preserve">:  </w:t>
      </w:r>
      <w:r w:rsidR="0035156A" w:rsidRPr="0035156A">
        <w:rPr>
          <w:rFonts w:ascii="Arial" w:hAnsi="Arial" w:cs="Arial"/>
          <w:szCs w:val="24"/>
        </w:rPr>
        <w:t>The changes made to Fiduciary Program Manual 2.A.1 on December 17, 2019, pertain only to the taking of credit for field examinations and not to the due diligence principle.  P&amp;F Service last updated 5.C.1 on October 21, 2019, and provided additional instances where the face-to-face contact and an alternate misuse investigation may be completed.  Specifically, 5.C.1.d provides for instances in which additional attempts at contact would not be beneficial and or successful.  Therefore P&amp;F Service declines to make any changes to due diligence as it pertains to misuse investigations.</w:t>
      </w:r>
    </w:p>
    <w:p w14:paraId="21BBA008" w14:textId="35F7045C" w:rsidR="006B51F5" w:rsidRDefault="006B51F5" w:rsidP="00AB6F09">
      <w:pPr>
        <w:spacing w:after="0" w:line="240" w:lineRule="auto"/>
        <w:rPr>
          <w:rFonts w:ascii="Arial" w:hAnsi="Arial" w:cs="Arial"/>
          <w:szCs w:val="24"/>
        </w:rPr>
      </w:pPr>
    </w:p>
    <w:p w14:paraId="2814B3C5" w14:textId="63CD4B73" w:rsidR="00AB6F09" w:rsidRDefault="00AB6F09" w:rsidP="00AB6F09">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w:t>
      </w:r>
      <w:r w:rsidR="0035156A">
        <w:rPr>
          <w:rFonts w:ascii="Arial" w:hAnsi="Arial" w:cs="Arial"/>
          <w:szCs w:val="24"/>
        </w:rPr>
        <w:t>Clarification provided</w:t>
      </w:r>
      <w:r>
        <w:rPr>
          <w:rFonts w:ascii="Arial" w:hAnsi="Arial" w:cs="Arial"/>
          <w:szCs w:val="24"/>
        </w:rPr>
        <w:t>.</w:t>
      </w:r>
    </w:p>
    <w:p w14:paraId="55D45C8F" w14:textId="77777777" w:rsidR="00CA4415" w:rsidRPr="00B06081" w:rsidRDefault="00CA4415" w:rsidP="00AB6F09">
      <w:pPr>
        <w:spacing w:after="0" w:line="240" w:lineRule="auto"/>
        <w:rPr>
          <w:rFonts w:ascii="Arial" w:hAnsi="Arial" w:cs="Arial"/>
          <w:szCs w:val="24"/>
        </w:rPr>
      </w:pPr>
    </w:p>
    <w:p w14:paraId="63FC6565" w14:textId="12577114" w:rsidR="00791992" w:rsidRPr="003C7AC3" w:rsidRDefault="00263A0E" w:rsidP="00791992">
      <w:pPr>
        <w:pStyle w:val="Heading1"/>
        <w:rPr>
          <w:rFonts w:ascii="Arial" w:hAnsi="Arial" w:cs="Arial"/>
        </w:rPr>
      </w:pPr>
      <w:bookmarkStart w:id="19" w:name="_Toc32556602"/>
      <w:r>
        <w:rPr>
          <w:rFonts w:ascii="Arial" w:hAnsi="Arial" w:cs="Arial"/>
        </w:rPr>
        <w:lastRenderedPageBreak/>
        <w:t>VA Form 21-0845</w:t>
      </w:r>
      <w:bookmarkEnd w:id="19"/>
    </w:p>
    <w:p w14:paraId="64CAB386" w14:textId="2294FB8B" w:rsidR="00791992" w:rsidRPr="00B06081" w:rsidRDefault="00791992" w:rsidP="00791992">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Pr>
          <w:rFonts w:ascii="Arial" w:hAnsi="Arial" w:cs="Arial"/>
          <w:szCs w:val="24"/>
        </w:rPr>
        <w:t xml:space="preserve"> F</w:t>
      </w:r>
      <w:r>
        <w:rPr>
          <w:rFonts w:ascii="Arial" w:hAnsi="Arial" w:cs="Arial"/>
        </w:rPr>
        <w:t>ield Examiners</w:t>
      </w:r>
      <w:r w:rsidR="00511870">
        <w:rPr>
          <w:rFonts w:ascii="Arial" w:hAnsi="Arial" w:cs="Arial"/>
        </w:rPr>
        <w:t xml:space="preserve"> and Legal </w:t>
      </w:r>
      <w:r w:rsidR="00E15582">
        <w:rPr>
          <w:rFonts w:ascii="Arial" w:hAnsi="Arial" w:cs="Arial"/>
        </w:rPr>
        <w:t>Instruments</w:t>
      </w:r>
      <w:r w:rsidR="00511870">
        <w:rPr>
          <w:rFonts w:ascii="Arial" w:hAnsi="Arial" w:cs="Arial"/>
        </w:rPr>
        <w:t xml:space="preserve"> Examiners</w:t>
      </w:r>
    </w:p>
    <w:p w14:paraId="4F5601BB" w14:textId="62F40034" w:rsidR="00791992" w:rsidRPr="00263A0E" w:rsidRDefault="00791992" w:rsidP="00263A0E">
      <w:pPr>
        <w:spacing w:after="0" w:line="240" w:lineRule="auto"/>
        <w:rPr>
          <w:rFonts w:ascii="Arial" w:hAnsi="Arial" w:cs="Arial"/>
          <w:szCs w:val="24"/>
        </w:rPr>
      </w:pPr>
    </w:p>
    <w:p w14:paraId="4B419035" w14:textId="265A56B0" w:rsidR="00263A0E" w:rsidRPr="00263A0E" w:rsidRDefault="00263A0E" w:rsidP="00263A0E">
      <w:pPr>
        <w:spacing w:after="0" w:line="240" w:lineRule="auto"/>
        <w:rPr>
          <w:rFonts w:ascii="Arial" w:hAnsi="Arial" w:cs="Arial"/>
          <w:szCs w:val="24"/>
        </w:rPr>
      </w:pPr>
      <w:r w:rsidRPr="00263A0E">
        <w:rPr>
          <w:rFonts w:ascii="Arial" w:hAnsi="Arial" w:cs="Arial"/>
          <w:szCs w:val="24"/>
        </w:rPr>
        <w:t>On the 21-0845, Authorization to Disclose Personal Information to a Third Party, the Veteran is able to assign a third party to assist them with their VA affairs.  The current M21</w:t>
      </w:r>
      <w:r w:rsidR="00E009E8">
        <w:rPr>
          <w:rFonts w:ascii="Arial" w:hAnsi="Arial" w:cs="Arial"/>
          <w:szCs w:val="24"/>
        </w:rPr>
        <w:t>-1</w:t>
      </w:r>
      <w:r w:rsidRPr="00263A0E">
        <w:rPr>
          <w:rFonts w:ascii="Arial" w:hAnsi="Arial" w:cs="Arial"/>
          <w:szCs w:val="24"/>
        </w:rPr>
        <w:t xml:space="preserve"> manual reads, “</w:t>
      </w:r>
      <w:r w:rsidRPr="00263A0E">
        <w:rPr>
          <w:rFonts w:ascii="Arial" w:hAnsi="Arial" w:cs="Arial"/>
          <w:color w:val="000000"/>
          <w:szCs w:val="24"/>
          <w:shd w:val="clear" w:color="auto" w:fill="FFFFFF"/>
        </w:rPr>
        <w:t>The signature cannot be someone other than the individual whose information is being released, except in cases where the individual is</w:t>
      </w:r>
      <w:r>
        <w:rPr>
          <w:rFonts w:ascii="Arial" w:hAnsi="Arial" w:cs="Arial"/>
          <w:color w:val="000000"/>
          <w:szCs w:val="24"/>
          <w:shd w:val="clear" w:color="auto" w:fill="FFFFFF"/>
        </w:rPr>
        <w:t xml:space="preserve"> </w:t>
      </w:r>
      <w:r w:rsidRPr="00263A0E">
        <w:rPr>
          <w:rFonts w:ascii="Arial" w:hAnsi="Arial" w:cs="Arial"/>
          <w:color w:val="000000"/>
          <w:szCs w:val="24"/>
          <w:shd w:val="clear" w:color="auto" w:fill="FFFFFF"/>
        </w:rPr>
        <w:t>incompetent.  When the individual is found incompetent, the</w:t>
      </w:r>
      <w:r>
        <w:rPr>
          <w:rFonts w:ascii="Arial" w:hAnsi="Arial" w:cs="Arial"/>
          <w:color w:val="000000"/>
          <w:szCs w:val="24"/>
          <w:shd w:val="clear" w:color="auto" w:fill="FFFFFF"/>
        </w:rPr>
        <w:t xml:space="preserve"> VA Form 21-0845 </w:t>
      </w:r>
      <w:r w:rsidRPr="00263A0E">
        <w:rPr>
          <w:rFonts w:ascii="Arial" w:hAnsi="Arial" w:cs="Arial"/>
          <w:color w:val="000000"/>
          <w:szCs w:val="24"/>
          <w:shd w:val="clear" w:color="auto" w:fill="FFFFFF"/>
        </w:rPr>
        <w:t xml:space="preserve">must be signed by the court-ordered or VA-appointed fiduciary.” </w:t>
      </w:r>
    </w:p>
    <w:p w14:paraId="5DA7FEFF" w14:textId="77777777" w:rsidR="00263A0E" w:rsidRDefault="00263A0E" w:rsidP="00263A0E">
      <w:pPr>
        <w:spacing w:after="0" w:line="240" w:lineRule="auto"/>
        <w:rPr>
          <w:rFonts w:ascii="Arial" w:hAnsi="Arial" w:cs="Arial"/>
          <w:szCs w:val="24"/>
        </w:rPr>
      </w:pPr>
    </w:p>
    <w:p w14:paraId="2D4617F3" w14:textId="51DE7128" w:rsidR="00263A0E" w:rsidRPr="00263A0E" w:rsidRDefault="00263A0E" w:rsidP="00263A0E">
      <w:pPr>
        <w:spacing w:after="0" w:line="240" w:lineRule="auto"/>
        <w:rPr>
          <w:rFonts w:ascii="Arial" w:hAnsi="Arial" w:cs="Arial"/>
          <w:szCs w:val="24"/>
        </w:rPr>
      </w:pPr>
      <w:r w:rsidRPr="00263A0E">
        <w:rPr>
          <w:rFonts w:ascii="Arial" w:hAnsi="Arial" w:cs="Arial"/>
          <w:szCs w:val="24"/>
        </w:rPr>
        <w:t xml:space="preserve">When a fiduciary is appointed: </w:t>
      </w:r>
    </w:p>
    <w:p w14:paraId="17D1B406" w14:textId="77777777" w:rsidR="00263A0E" w:rsidRDefault="00263A0E" w:rsidP="00791992">
      <w:pPr>
        <w:spacing w:after="0" w:line="240" w:lineRule="auto"/>
        <w:rPr>
          <w:rFonts w:ascii="Arial" w:hAnsi="Arial" w:cs="Arial"/>
          <w:b/>
          <w:szCs w:val="24"/>
        </w:rPr>
      </w:pPr>
    </w:p>
    <w:p w14:paraId="46EDD3A9" w14:textId="357187F4" w:rsidR="00511870" w:rsidRPr="00511870" w:rsidRDefault="00791992" w:rsidP="00511870">
      <w:pPr>
        <w:spacing w:after="0" w:line="240" w:lineRule="auto"/>
        <w:rPr>
          <w:rFonts w:ascii="Arial" w:hAnsi="Arial" w:cs="Arial"/>
          <w:szCs w:val="24"/>
        </w:rPr>
      </w:pPr>
      <w:r w:rsidRPr="003C7AC3">
        <w:rPr>
          <w:rFonts w:ascii="Arial" w:hAnsi="Arial" w:cs="Arial"/>
          <w:b/>
          <w:szCs w:val="24"/>
        </w:rPr>
        <w:t>Question</w:t>
      </w:r>
      <w:r w:rsidR="00511870">
        <w:rPr>
          <w:rFonts w:ascii="Arial" w:hAnsi="Arial" w:cs="Arial"/>
          <w:b/>
          <w:szCs w:val="24"/>
        </w:rPr>
        <w:t xml:space="preserve"> 1</w:t>
      </w:r>
      <w:r w:rsidR="00511870" w:rsidRPr="00511870">
        <w:rPr>
          <w:rFonts w:ascii="Arial" w:hAnsi="Arial" w:cs="Arial"/>
          <w:szCs w:val="24"/>
        </w:rPr>
        <w:t xml:space="preserve">: When a fiduciary is appointed Is the fiduciary notified about the 21-0845 and its purpose?  </w:t>
      </w:r>
    </w:p>
    <w:p w14:paraId="2CDDC746" w14:textId="77777777" w:rsidR="00511870" w:rsidRPr="00511870" w:rsidRDefault="00511870" w:rsidP="00511870">
      <w:pPr>
        <w:spacing w:after="0" w:line="240" w:lineRule="auto"/>
        <w:rPr>
          <w:rFonts w:ascii="Arial" w:hAnsi="Arial" w:cs="Arial"/>
          <w:szCs w:val="24"/>
        </w:rPr>
      </w:pPr>
    </w:p>
    <w:p w14:paraId="533289D7" w14:textId="6715E649" w:rsidR="00511870" w:rsidRPr="00511870" w:rsidRDefault="00511870" w:rsidP="00511870">
      <w:pPr>
        <w:spacing w:after="0" w:line="240" w:lineRule="auto"/>
        <w:rPr>
          <w:rFonts w:ascii="Arial" w:hAnsi="Arial" w:cs="Arial"/>
          <w:szCs w:val="24"/>
        </w:rPr>
      </w:pPr>
      <w:r w:rsidRPr="00511870">
        <w:rPr>
          <w:rFonts w:ascii="Arial" w:hAnsi="Arial" w:cs="Arial"/>
          <w:b/>
          <w:szCs w:val="24"/>
        </w:rPr>
        <w:t>Response 1</w:t>
      </w:r>
      <w:r w:rsidRPr="00511870">
        <w:rPr>
          <w:rFonts w:ascii="Arial" w:hAnsi="Arial" w:cs="Arial"/>
          <w:szCs w:val="24"/>
        </w:rPr>
        <w:t xml:space="preserve">: It is contemplated that the field examiner will review the electronic record before the field examination and will inform the proposed fiduciary of any relevant information included in the </w:t>
      </w:r>
      <w:r w:rsidR="00E15582" w:rsidRPr="00511870">
        <w:rPr>
          <w:rFonts w:ascii="Arial" w:hAnsi="Arial" w:cs="Arial"/>
          <w:szCs w:val="24"/>
        </w:rPr>
        <w:t>eFolder</w:t>
      </w:r>
      <w:r w:rsidRPr="00511870">
        <w:rPr>
          <w:rFonts w:ascii="Arial" w:hAnsi="Arial" w:cs="Arial"/>
          <w:szCs w:val="24"/>
        </w:rPr>
        <w:t xml:space="preserve"> which will include the 21-0845. Outside of this practice, there is no formal process by which the fiduciary is notified of the </w:t>
      </w:r>
      <w:r>
        <w:rPr>
          <w:rFonts w:ascii="Arial" w:hAnsi="Arial" w:cs="Arial"/>
          <w:szCs w:val="24"/>
        </w:rPr>
        <w:t xml:space="preserve">VA Form </w:t>
      </w:r>
      <w:r w:rsidRPr="00511870">
        <w:rPr>
          <w:rFonts w:ascii="Arial" w:hAnsi="Arial" w:cs="Arial"/>
          <w:szCs w:val="24"/>
        </w:rPr>
        <w:t xml:space="preserve">21-0845 and its purpose. We are currently exploring adding guidance to the Fiduciary Program Manual that would </w:t>
      </w:r>
      <w:r w:rsidR="00E009E8">
        <w:rPr>
          <w:rFonts w:ascii="Arial" w:hAnsi="Arial" w:cs="Arial"/>
          <w:szCs w:val="24"/>
        </w:rPr>
        <w:t xml:space="preserve">direct </w:t>
      </w:r>
      <w:r w:rsidRPr="00511870">
        <w:rPr>
          <w:rFonts w:ascii="Arial" w:hAnsi="Arial" w:cs="Arial"/>
          <w:szCs w:val="24"/>
        </w:rPr>
        <w:t xml:space="preserve">field examiners to discuss the use of the </w:t>
      </w:r>
      <w:r>
        <w:rPr>
          <w:rFonts w:ascii="Arial" w:hAnsi="Arial" w:cs="Arial"/>
          <w:szCs w:val="24"/>
        </w:rPr>
        <w:t xml:space="preserve">VA Form </w:t>
      </w:r>
      <w:r w:rsidRPr="00511870">
        <w:rPr>
          <w:rFonts w:ascii="Arial" w:hAnsi="Arial" w:cs="Arial"/>
          <w:szCs w:val="24"/>
        </w:rPr>
        <w:t xml:space="preserve">21-0845 prior to finalizing the initial appointment of a fiduciary. </w:t>
      </w:r>
    </w:p>
    <w:p w14:paraId="54DEECE6" w14:textId="77777777" w:rsidR="00511870" w:rsidRPr="00511870" w:rsidRDefault="00511870" w:rsidP="00511870">
      <w:pPr>
        <w:spacing w:after="0" w:line="240" w:lineRule="auto"/>
        <w:rPr>
          <w:rFonts w:ascii="Arial" w:hAnsi="Arial" w:cs="Arial"/>
          <w:szCs w:val="24"/>
        </w:rPr>
      </w:pPr>
    </w:p>
    <w:p w14:paraId="07330DB2" w14:textId="41ADE8B1" w:rsidR="00511870" w:rsidRPr="00511870" w:rsidRDefault="00511870" w:rsidP="00511870">
      <w:pPr>
        <w:spacing w:after="0" w:line="240" w:lineRule="auto"/>
        <w:rPr>
          <w:rFonts w:ascii="Arial" w:hAnsi="Arial" w:cs="Arial"/>
          <w:szCs w:val="24"/>
        </w:rPr>
      </w:pPr>
      <w:r w:rsidRPr="00511870">
        <w:rPr>
          <w:rFonts w:ascii="Arial" w:hAnsi="Arial" w:cs="Arial"/>
          <w:b/>
          <w:szCs w:val="24"/>
        </w:rPr>
        <w:t>Question 2</w:t>
      </w:r>
      <w:r w:rsidRPr="00511870">
        <w:rPr>
          <w:rFonts w:ascii="Arial" w:hAnsi="Arial" w:cs="Arial"/>
          <w:szCs w:val="24"/>
        </w:rPr>
        <w:t xml:space="preserve">: Have you historically voided 0845’s that predate the fiduciary appointment? </w:t>
      </w:r>
    </w:p>
    <w:p w14:paraId="4CA12CD8" w14:textId="77777777" w:rsidR="00511870" w:rsidRPr="00511870" w:rsidRDefault="00511870" w:rsidP="00511870">
      <w:pPr>
        <w:spacing w:after="0" w:line="240" w:lineRule="auto"/>
        <w:rPr>
          <w:rFonts w:ascii="Arial" w:hAnsi="Arial" w:cs="Arial"/>
          <w:szCs w:val="24"/>
        </w:rPr>
      </w:pPr>
    </w:p>
    <w:p w14:paraId="5E4249BC" w14:textId="71ADF36B" w:rsidR="00511870" w:rsidRPr="00511870" w:rsidRDefault="00511870" w:rsidP="00511870">
      <w:pPr>
        <w:spacing w:after="0" w:line="240" w:lineRule="auto"/>
        <w:rPr>
          <w:rFonts w:ascii="Arial" w:hAnsi="Arial" w:cs="Arial"/>
          <w:szCs w:val="24"/>
        </w:rPr>
      </w:pPr>
      <w:r w:rsidRPr="00511870">
        <w:rPr>
          <w:rFonts w:ascii="Arial" w:hAnsi="Arial" w:cs="Arial"/>
          <w:b/>
          <w:szCs w:val="24"/>
        </w:rPr>
        <w:t>Response 2</w:t>
      </w:r>
      <w:r w:rsidRPr="00511870">
        <w:rPr>
          <w:rFonts w:ascii="Arial" w:hAnsi="Arial" w:cs="Arial"/>
          <w:szCs w:val="24"/>
        </w:rPr>
        <w:t xml:space="preserve">: The practice is that the </w:t>
      </w:r>
      <w:r>
        <w:rPr>
          <w:rFonts w:ascii="Arial" w:hAnsi="Arial" w:cs="Arial"/>
          <w:szCs w:val="24"/>
        </w:rPr>
        <w:t xml:space="preserve">VA Form </w:t>
      </w:r>
      <w:r w:rsidRPr="00511870">
        <w:rPr>
          <w:rFonts w:ascii="Arial" w:hAnsi="Arial" w:cs="Arial"/>
          <w:szCs w:val="24"/>
        </w:rPr>
        <w:t xml:space="preserve">21-0845 is to be automatically voided at the time of the fiduciary appointment. The VA </w:t>
      </w:r>
      <w:r>
        <w:rPr>
          <w:rFonts w:ascii="Arial" w:hAnsi="Arial" w:cs="Arial"/>
          <w:szCs w:val="24"/>
        </w:rPr>
        <w:t>F</w:t>
      </w:r>
      <w:r w:rsidRPr="00511870">
        <w:rPr>
          <w:rFonts w:ascii="Arial" w:hAnsi="Arial" w:cs="Arial"/>
          <w:szCs w:val="24"/>
        </w:rPr>
        <w:t xml:space="preserve">orm 21-22 is not impacted by the fiduciary appointment. As noted in </w:t>
      </w:r>
      <w:r>
        <w:rPr>
          <w:rFonts w:ascii="Arial" w:hAnsi="Arial" w:cs="Arial"/>
          <w:szCs w:val="24"/>
        </w:rPr>
        <w:t xml:space="preserve">Response </w:t>
      </w:r>
      <w:r w:rsidRPr="00511870">
        <w:rPr>
          <w:rFonts w:ascii="Arial" w:hAnsi="Arial" w:cs="Arial"/>
          <w:szCs w:val="24"/>
        </w:rPr>
        <w:t xml:space="preserve">1, we are currently exploring adding guidance to the Fiduciary Program Manual to formally make voiding of the </w:t>
      </w:r>
      <w:r>
        <w:rPr>
          <w:rFonts w:ascii="Arial" w:hAnsi="Arial" w:cs="Arial"/>
          <w:szCs w:val="24"/>
        </w:rPr>
        <w:t xml:space="preserve">VA Form </w:t>
      </w:r>
      <w:r w:rsidRPr="00511870">
        <w:rPr>
          <w:rFonts w:ascii="Arial" w:hAnsi="Arial" w:cs="Arial"/>
          <w:szCs w:val="24"/>
        </w:rPr>
        <w:t xml:space="preserve">21-0845 a part of the fiduciary appointment process. </w:t>
      </w:r>
    </w:p>
    <w:p w14:paraId="3013A763" w14:textId="77777777" w:rsidR="00511870" w:rsidRPr="00511870" w:rsidRDefault="00511870" w:rsidP="00511870">
      <w:pPr>
        <w:spacing w:after="0" w:line="240" w:lineRule="auto"/>
        <w:rPr>
          <w:rFonts w:ascii="Arial" w:hAnsi="Arial" w:cs="Arial"/>
          <w:szCs w:val="24"/>
        </w:rPr>
      </w:pPr>
    </w:p>
    <w:p w14:paraId="7D093EA1" w14:textId="6173DFA0" w:rsidR="00511870" w:rsidRPr="00511870" w:rsidRDefault="00511870" w:rsidP="00511870">
      <w:pPr>
        <w:spacing w:after="0" w:line="240" w:lineRule="auto"/>
        <w:rPr>
          <w:rFonts w:ascii="Arial" w:hAnsi="Arial" w:cs="Arial"/>
          <w:szCs w:val="24"/>
        </w:rPr>
      </w:pPr>
      <w:r w:rsidRPr="00511870">
        <w:rPr>
          <w:rFonts w:ascii="Arial" w:hAnsi="Arial" w:cs="Arial"/>
          <w:b/>
          <w:szCs w:val="24"/>
        </w:rPr>
        <w:t>Question 3</w:t>
      </w:r>
      <w:r w:rsidRPr="00511870">
        <w:rPr>
          <w:rFonts w:ascii="Arial" w:hAnsi="Arial" w:cs="Arial"/>
          <w:szCs w:val="24"/>
        </w:rPr>
        <w:t>: I’m assuming that a fiduciary cannot give a 3rd party authority over the finances. Is there any formal policy about what duties the fiduciary is allowed to authorize on a 21-0845</w:t>
      </w:r>
      <w:r w:rsidR="00E15582">
        <w:rPr>
          <w:rFonts w:ascii="Arial" w:hAnsi="Arial" w:cs="Arial"/>
          <w:szCs w:val="24"/>
        </w:rPr>
        <w:t>?</w:t>
      </w:r>
      <w:r w:rsidRPr="00511870">
        <w:rPr>
          <w:rFonts w:ascii="Arial" w:hAnsi="Arial" w:cs="Arial"/>
          <w:szCs w:val="24"/>
        </w:rPr>
        <w:t xml:space="preserve"> </w:t>
      </w:r>
    </w:p>
    <w:p w14:paraId="66B49322" w14:textId="77777777" w:rsidR="00511870" w:rsidRPr="00511870" w:rsidRDefault="00511870" w:rsidP="00511870">
      <w:pPr>
        <w:spacing w:after="0" w:line="240" w:lineRule="auto"/>
        <w:rPr>
          <w:rFonts w:ascii="Arial" w:hAnsi="Arial" w:cs="Arial"/>
          <w:szCs w:val="24"/>
        </w:rPr>
      </w:pPr>
    </w:p>
    <w:p w14:paraId="29513F43" w14:textId="260875CD" w:rsidR="00263A0E" w:rsidRDefault="00511870" w:rsidP="00511870">
      <w:pPr>
        <w:spacing w:after="0" w:line="240" w:lineRule="auto"/>
        <w:rPr>
          <w:rFonts w:ascii="Arial" w:hAnsi="Arial" w:cs="Arial"/>
          <w:szCs w:val="24"/>
        </w:rPr>
      </w:pPr>
      <w:r w:rsidRPr="00511870">
        <w:rPr>
          <w:rFonts w:ascii="Arial" w:hAnsi="Arial" w:cs="Arial"/>
          <w:b/>
          <w:szCs w:val="24"/>
        </w:rPr>
        <w:t>Response 3</w:t>
      </w:r>
      <w:r w:rsidRPr="00511870">
        <w:rPr>
          <w:rFonts w:ascii="Arial" w:hAnsi="Arial" w:cs="Arial"/>
          <w:szCs w:val="24"/>
        </w:rPr>
        <w:t xml:space="preserve">: Please note that the </w:t>
      </w:r>
      <w:r>
        <w:rPr>
          <w:rFonts w:ascii="Arial" w:hAnsi="Arial" w:cs="Arial"/>
          <w:szCs w:val="24"/>
        </w:rPr>
        <w:t xml:space="preserve">VA Form </w:t>
      </w:r>
      <w:r w:rsidRPr="00511870">
        <w:rPr>
          <w:rFonts w:ascii="Arial" w:hAnsi="Arial" w:cs="Arial"/>
          <w:szCs w:val="24"/>
        </w:rPr>
        <w:t xml:space="preserve">21-0845 only gives VA authority to disclose information in a beneficiary’s VA record to the designated individual or organization. A fiduciary cannot be allowed to authorize to allow any other person authority over VA benefits. 38 U.S.C. 5502 a(1) provides VA the sole authority to appoint someone over VA payments, which would prevent a fiduciary from granting any other person the authority over VA benefits. The selections made on the </w:t>
      </w:r>
      <w:r>
        <w:rPr>
          <w:rFonts w:ascii="Arial" w:hAnsi="Arial" w:cs="Arial"/>
          <w:szCs w:val="24"/>
        </w:rPr>
        <w:t xml:space="preserve">VA Form </w:t>
      </w:r>
      <w:r w:rsidRPr="00511870">
        <w:rPr>
          <w:rFonts w:ascii="Arial" w:hAnsi="Arial" w:cs="Arial"/>
          <w:szCs w:val="24"/>
        </w:rPr>
        <w:t>21-0845 will dictate whether the disclosure of information the beneficiary’s VA record will be limited to certain types of information, and if the authorization is during a limited time frame.</w:t>
      </w:r>
    </w:p>
    <w:p w14:paraId="66A5388F" w14:textId="77777777" w:rsidR="00791992" w:rsidRDefault="00791992" w:rsidP="00791992">
      <w:pPr>
        <w:spacing w:after="0" w:line="240" w:lineRule="auto"/>
        <w:rPr>
          <w:rFonts w:ascii="Arial" w:hAnsi="Arial" w:cs="Arial"/>
          <w:szCs w:val="24"/>
        </w:rPr>
      </w:pPr>
    </w:p>
    <w:p w14:paraId="6B77C03B" w14:textId="77777777" w:rsidR="00791992" w:rsidRPr="00B06081" w:rsidRDefault="00791992" w:rsidP="00791992">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Clarification provided.</w:t>
      </w:r>
    </w:p>
    <w:p w14:paraId="3D415E17" w14:textId="77777777" w:rsidR="00EF2D51" w:rsidRPr="00900D56" w:rsidRDefault="00EF2D51" w:rsidP="00EF2D51">
      <w:pPr>
        <w:pStyle w:val="Heading1"/>
        <w:rPr>
          <w:rFonts w:ascii="Arial" w:hAnsi="Arial" w:cs="Arial"/>
          <w:b/>
          <w:color w:val="auto"/>
          <w:sz w:val="36"/>
        </w:rPr>
      </w:pPr>
      <w:bookmarkStart w:id="20" w:name="_Toc32556603"/>
      <w:r>
        <w:rPr>
          <w:rFonts w:ascii="Arial" w:hAnsi="Arial" w:cs="Arial"/>
          <w:b/>
          <w:color w:val="auto"/>
          <w:sz w:val="36"/>
        </w:rPr>
        <w:lastRenderedPageBreak/>
        <w:t>P&amp;F Service Information</w:t>
      </w:r>
      <w:bookmarkEnd w:id="20"/>
    </w:p>
    <w:p w14:paraId="0FC363D0" w14:textId="77777777" w:rsidR="00F37B29" w:rsidRPr="003C7AC3" w:rsidRDefault="00F37B29" w:rsidP="00F37B29">
      <w:pPr>
        <w:pStyle w:val="Heading1"/>
        <w:rPr>
          <w:rFonts w:ascii="Arial" w:hAnsi="Arial" w:cs="Arial"/>
        </w:rPr>
      </w:pPr>
      <w:bookmarkStart w:id="21" w:name="_Toc32556604"/>
      <w:r>
        <w:rPr>
          <w:rFonts w:ascii="Arial" w:hAnsi="Arial" w:cs="Arial"/>
        </w:rPr>
        <w:t xml:space="preserve">P&amp;F Service </w:t>
      </w:r>
      <w:r w:rsidR="00517C4F">
        <w:rPr>
          <w:rFonts w:ascii="Arial" w:hAnsi="Arial" w:cs="Arial"/>
        </w:rPr>
        <w:t>C</w:t>
      </w:r>
      <w:r>
        <w:rPr>
          <w:rFonts w:ascii="Arial" w:hAnsi="Arial" w:cs="Arial"/>
        </w:rPr>
        <w:t xml:space="preserve">ontact </w:t>
      </w:r>
      <w:r w:rsidR="00517C4F">
        <w:rPr>
          <w:rFonts w:ascii="Arial" w:hAnsi="Arial" w:cs="Arial"/>
        </w:rPr>
        <w:t>I</w:t>
      </w:r>
      <w:r>
        <w:rPr>
          <w:rFonts w:ascii="Arial" w:hAnsi="Arial" w:cs="Arial"/>
        </w:rPr>
        <w:t>nformation</w:t>
      </w:r>
      <w:bookmarkEnd w:id="21"/>
    </w:p>
    <w:p w14:paraId="55D8D2AA" w14:textId="77777777" w:rsidR="006F3DA0" w:rsidRDefault="006F3DA0" w:rsidP="003C7AC3">
      <w:pPr>
        <w:spacing w:after="0" w:line="240" w:lineRule="auto"/>
        <w:rPr>
          <w:rFonts w:ascii="Arial" w:hAnsi="Arial" w:cs="Arial"/>
          <w:szCs w:val="24"/>
        </w:rPr>
      </w:pPr>
    </w:p>
    <w:p w14:paraId="7A16B51F" w14:textId="77777777" w:rsidR="003E2828" w:rsidRDefault="003E2828" w:rsidP="003E2828">
      <w:pPr>
        <w:spacing w:after="0" w:line="240" w:lineRule="auto"/>
        <w:rPr>
          <w:rFonts w:ascii="Arial" w:hAnsi="Arial" w:cs="Arial"/>
          <w:szCs w:val="24"/>
        </w:rPr>
      </w:pPr>
      <w:r>
        <w:rPr>
          <w:rFonts w:ascii="Arial" w:hAnsi="Arial" w:cs="Arial"/>
          <w:szCs w:val="24"/>
        </w:rPr>
        <w:t xml:space="preserve">Policy and Procedure questions from the PMCs or Fiduciary Hubs should be submitted to P&amp;F Service at </w:t>
      </w:r>
      <w:hyperlink r:id="rId18" w:history="1">
        <w:r w:rsidRPr="006F3DA0">
          <w:rPr>
            <w:rStyle w:val="Hyperlink"/>
            <w:rFonts w:ascii="Arial" w:hAnsi="Arial" w:cs="Arial"/>
            <w:szCs w:val="24"/>
          </w:rPr>
          <w:t>VAVBAWAS/CO/P&amp;F POL &amp; PROC</w:t>
        </w:r>
      </w:hyperlink>
      <w:r>
        <w:rPr>
          <w:rFonts w:ascii="Arial" w:hAnsi="Arial" w:cs="Arial"/>
          <w:szCs w:val="24"/>
        </w:rPr>
        <w:t xml:space="preserve"> by the Quality Review coach or PMC/Fiduciary HUB </w:t>
      </w:r>
      <w:r w:rsidR="00B02287">
        <w:rPr>
          <w:rFonts w:ascii="Arial" w:hAnsi="Arial" w:cs="Arial"/>
          <w:szCs w:val="24"/>
        </w:rPr>
        <w:t xml:space="preserve">Division </w:t>
      </w:r>
      <w:r>
        <w:rPr>
          <w:rFonts w:ascii="Arial" w:hAnsi="Arial" w:cs="Arial"/>
          <w:szCs w:val="24"/>
        </w:rPr>
        <w:t xml:space="preserve">Management. </w:t>
      </w:r>
    </w:p>
    <w:p w14:paraId="542F5FA5" w14:textId="77777777" w:rsidR="003E2828" w:rsidRDefault="003E2828" w:rsidP="003E2828">
      <w:pPr>
        <w:spacing w:after="0" w:line="240" w:lineRule="auto"/>
        <w:rPr>
          <w:rFonts w:ascii="Arial" w:hAnsi="Arial" w:cs="Arial"/>
          <w:szCs w:val="24"/>
        </w:rPr>
      </w:pPr>
    </w:p>
    <w:p w14:paraId="387520AC" w14:textId="77777777" w:rsidR="003E2828" w:rsidRDefault="003E2828" w:rsidP="003E2828">
      <w:pPr>
        <w:spacing w:after="0" w:line="240" w:lineRule="auto"/>
        <w:rPr>
          <w:rFonts w:ascii="Arial" w:hAnsi="Arial" w:cs="Arial"/>
          <w:szCs w:val="24"/>
        </w:rPr>
      </w:pPr>
      <w:r w:rsidRPr="00F65168">
        <w:rPr>
          <w:rFonts w:ascii="Arial" w:hAnsi="Arial" w:cs="Arial"/>
          <w:szCs w:val="24"/>
        </w:rPr>
        <w:t xml:space="preserve">P&amp;F Service would like to remind you that all inquiries sent to the Policy and Procedures Mailbox must include the references previously researched, key words or phrases used to search in CPKM.  P&amp;F Service is available to assist when there is confusion about a certain policy or procedure, however, PMCs </w:t>
      </w:r>
      <w:r>
        <w:rPr>
          <w:rFonts w:ascii="Arial" w:hAnsi="Arial" w:cs="Arial"/>
          <w:szCs w:val="24"/>
        </w:rPr>
        <w:t xml:space="preserve">and Fiduciary Hubs </w:t>
      </w:r>
      <w:r w:rsidRPr="00F65168">
        <w:rPr>
          <w:rFonts w:ascii="Arial" w:hAnsi="Arial" w:cs="Arial"/>
          <w:szCs w:val="24"/>
        </w:rPr>
        <w:t xml:space="preserve">are required to research and attempt to resolve the issue before sending the question to the </w:t>
      </w:r>
      <w:r>
        <w:rPr>
          <w:rFonts w:ascii="Arial" w:hAnsi="Arial" w:cs="Arial"/>
          <w:szCs w:val="24"/>
        </w:rPr>
        <w:t>P&amp;F Service</w:t>
      </w:r>
      <w:r w:rsidRPr="00F65168">
        <w:rPr>
          <w:rFonts w:ascii="Arial" w:hAnsi="Arial" w:cs="Arial"/>
          <w:szCs w:val="24"/>
        </w:rPr>
        <w:t xml:space="preserve"> Policy and Procedures Mailbox.  Additionally, including all words used to search topics in CPKM will allow P&amp;F Service to add those search words into CPKM if they were not already in the metadata for a certain manual reference.</w:t>
      </w:r>
    </w:p>
    <w:p w14:paraId="00733743" w14:textId="77777777" w:rsidR="003E2828" w:rsidRDefault="003E2828" w:rsidP="003E2828">
      <w:pPr>
        <w:spacing w:after="0" w:line="240" w:lineRule="auto"/>
        <w:rPr>
          <w:rFonts w:ascii="Arial" w:hAnsi="Arial" w:cs="Arial"/>
          <w:szCs w:val="24"/>
        </w:rPr>
      </w:pPr>
    </w:p>
    <w:p w14:paraId="5F1BB179" w14:textId="77777777" w:rsidR="003E2828" w:rsidRDefault="003E2828" w:rsidP="003E2828">
      <w:pPr>
        <w:spacing w:after="0" w:line="240" w:lineRule="auto"/>
        <w:rPr>
          <w:rFonts w:ascii="Arial" w:hAnsi="Arial" w:cs="Arial"/>
          <w:szCs w:val="24"/>
        </w:rPr>
      </w:pPr>
      <w:r>
        <w:rPr>
          <w:rFonts w:ascii="Arial" w:hAnsi="Arial" w:cs="Arial"/>
          <w:szCs w:val="24"/>
        </w:rPr>
        <w:t xml:space="preserve">Training and Quality questions can be directed to: </w:t>
      </w:r>
      <w:hyperlink r:id="rId19" w:history="1">
        <w:r w:rsidRPr="006F3DA0">
          <w:rPr>
            <w:rStyle w:val="Hyperlink"/>
            <w:rFonts w:ascii="Arial" w:hAnsi="Arial" w:cs="Arial"/>
            <w:szCs w:val="24"/>
          </w:rPr>
          <w:t>VAVBAWAS/CO/P&amp;F TNG QUAL OVRST</w:t>
        </w:r>
      </w:hyperlink>
      <w:r>
        <w:rPr>
          <w:rFonts w:ascii="Arial" w:hAnsi="Arial" w:cs="Arial"/>
          <w:szCs w:val="24"/>
        </w:rPr>
        <w:t>.</w:t>
      </w:r>
    </w:p>
    <w:p w14:paraId="44744846" w14:textId="77777777" w:rsidR="003E2828" w:rsidRDefault="003E2828" w:rsidP="003E2828">
      <w:pPr>
        <w:spacing w:after="0" w:line="240" w:lineRule="auto"/>
        <w:rPr>
          <w:rFonts w:ascii="Arial" w:hAnsi="Arial" w:cs="Arial"/>
          <w:szCs w:val="24"/>
        </w:rPr>
      </w:pPr>
    </w:p>
    <w:p w14:paraId="3C057827" w14:textId="77777777" w:rsidR="003E2828" w:rsidRDefault="003E2828" w:rsidP="003E2828">
      <w:pPr>
        <w:spacing w:after="0" w:line="240" w:lineRule="auto"/>
        <w:rPr>
          <w:rFonts w:ascii="Arial" w:hAnsi="Arial" w:cs="Arial"/>
          <w:szCs w:val="24"/>
        </w:rPr>
      </w:pPr>
      <w:r>
        <w:rPr>
          <w:rFonts w:ascii="Arial" w:hAnsi="Arial" w:cs="Arial"/>
          <w:szCs w:val="24"/>
        </w:rPr>
        <w:t xml:space="preserve">Systems-related questions can be directed to: </w:t>
      </w:r>
      <w:hyperlink r:id="rId20" w:history="1">
        <w:r w:rsidRPr="00A8246F">
          <w:rPr>
            <w:rStyle w:val="Hyperlink"/>
            <w:rFonts w:ascii="Arial" w:hAnsi="Arial" w:cs="Arial"/>
            <w:szCs w:val="24"/>
          </w:rPr>
          <w:t>VAVBAWAS/CO/P&amp;F BUS MGMT</w:t>
        </w:r>
      </w:hyperlink>
      <w:r>
        <w:rPr>
          <w:rFonts w:ascii="Arial" w:hAnsi="Arial" w:cs="Arial"/>
          <w:szCs w:val="24"/>
        </w:rPr>
        <w:t>.</w:t>
      </w:r>
    </w:p>
    <w:p w14:paraId="38DF3806" w14:textId="77777777" w:rsidR="00241F0B" w:rsidRPr="003C7AC3" w:rsidRDefault="00517C4F" w:rsidP="00241F0B">
      <w:pPr>
        <w:pStyle w:val="Heading1"/>
        <w:rPr>
          <w:rFonts w:ascii="Arial" w:hAnsi="Arial" w:cs="Arial"/>
        </w:rPr>
      </w:pPr>
      <w:bookmarkStart w:id="22" w:name="_Toc32556605"/>
      <w:r>
        <w:rPr>
          <w:rFonts w:ascii="Arial" w:hAnsi="Arial" w:cs="Arial"/>
        </w:rPr>
        <w:t>D</w:t>
      </w:r>
      <w:r w:rsidR="00241F0B">
        <w:rPr>
          <w:rFonts w:ascii="Arial" w:hAnsi="Arial" w:cs="Arial"/>
        </w:rPr>
        <w:t>isclaimer</w:t>
      </w:r>
      <w:bookmarkEnd w:id="22"/>
    </w:p>
    <w:p w14:paraId="66751F6F" w14:textId="77777777" w:rsidR="00241F0B" w:rsidRDefault="00241F0B" w:rsidP="00241F0B">
      <w:pPr>
        <w:spacing w:after="0" w:line="240" w:lineRule="auto"/>
        <w:rPr>
          <w:rFonts w:ascii="Arial" w:hAnsi="Arial" w:cs="Arial"/>
          <w:szCs w:val="24"/>
        </w:rPr>
      </w:pPr>
    </w:p>
    <w:p w14:paraId="2912A66D" w14:textId="77777777" w:rsidR="00905FDB" w:rsidRDefault="00905FDB" w:rsidP="00905FDB">
      <w:pPr>
        <w:spacing w:after="0" w:line="240" w:lineRule="auto"/>
        <w:rPr>
          <w:rFonts w:ascii="Arial" w:hAnsi="Arial" w:cs="Arial"/>
          <w:szCs w:val="24"/>
        </w:rPr>
      </w:pPr>
      <w:r>
        <w:rPr>
          <w:rFonts w:ascii="Arial" w:hAnsi="Arial" w:cs="Arial"/>
          <w:szCs w:val="24"/>
        </w:rPr>
        <w:t>Please note that all responses provided are for informational purposes only.  If changes to the M21-1 Adjudication Procedures Manual or Fiduciary Program Manual (FPM) are needed, they are made in conjunction with the response.  The M21-1 and FPM supersede any inquiry response.</w:t>
      </w:r>
    </w:p>
    <w:p w14:paraId="3643DCB0" w14:textId="60B8B55D" w:rsidR="00241F0B" w:rsidRDefault="00241F0B" w:rsidP="00905FDB">
      <w:pPr>
        <w:spacing w:after="0" w:line="240" w:lineRule="auto"/>
        <w:rPr>
          <w:rFonts w:ascii="Arial" w:hAnsi="Arial" w:cs="Arial"/>
          <w:szCs w:val="24"/>
        </w:rPr>
      </w:pPr>
    </w:p>
    <w:sectPr w:rsidR="00241F0B" w:rsidSect="0033182E">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034EE" w14:textId="77777777" w:rsidR="00C53D58" w:rsidRDefault="00C53D58" w:rsidP="004619BB">
      <w:pPr>
        <w:spacing w:after="0" w:line="240" w:lineRule="auto"/>
      </w:pPr>
      <w:r>
        <w:separator/>
      </w:r>
    </w:p>
    <w:p w14:paraId="556B7DBA" w14:textId="77777777" w:rsidR="00C53D58" w:rsidRDefault="00C53D58"/>
    <w:p w14:paraId="17C33EBC" w14:textId="77777777" w:rsidR="00C53D58" w:rsidRDefault="00C53D58"/>
  </w:endnote>
  <w:endnote w:type="continuationSeparator" w:id="0">
    <w:p w14:paraId="1BC170FD" w14:textId="77777777" w:rsidR="00C53D58" w:rsidRDefault="00C53D58" w:rsidP="004619BB">
      <w:pPr>
        <w:spacing w:after="0" w:line="240" w:lineRule="auto"/>
      </w:pPr>
      <w:r>
        <w:continuationSeparator/>
      </w:r>
    </w:p>
    <w:p w14:paraId="67185C4B" w14:textId="77777777" w:rsidR="00C53D58" w:rsidRDefault="00C53D58"/>
    <w:p w14:paraId="2C99A6E7" w14:textId="77777777" w:rsidR="00C53D58" w:rsidRDefault="00C53D58"/>
  </w:endnote>
  <w:endnote w:type="continuationNotice" w:id="1">
    <w:p w14:paraId="53076EE2" w14:textId="77777777" w:rsidR="00C53D58" w:rsidRDefault="00C53D58">
      <w:pPr>
        <w:spacing w:after="0" w:line="240" w:lineRule="auto"/>
      </w:pPr>
    </w:p>
    <w:p w14:paraId="5F35BBF3" w14:textId="77777777" w:rsidR="00C53D58" w:rsidRDefault="00C53D58"/>
    <w:p w14:paraId="2B78500A" w14:textId="77777777" w:rsidR="00C53D58" w:rsidRDefault="00C53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303E" w14:textId="26E8F173" w:rsidR="00D019B3" w:rsidRPr="00FD42FA" w:rsidRDefault="00530337" w:rsidP="009C31D3">
    <w:pPr>
      <w:pStyle w:val="Footer"/>
      <w:pBdr>
        <w:top w:val="thinThickSmallGap" w:sz="24" w:space="1" w:color="622423" w:themeColor="accent2" w:themeShade="7F"/>
      </w:pBdr>
      <w:rPr>
        <w:rFonts w:ascii="Arial" w:hAnsi="Arial" w:cs="Arial"/>
      </w:rPr>
    </w:pPr>
    <w:r>
      <w:rPr>
        <w:rFonts w:ascii="Arial" w:hAnsi="Arial" w:cs="Arial"/>
      </w:rPr>
      <w:t>January</w:t>
    </w:r>
    <w:r w:rsidR="00126139">
      <w:rPr>
        <w:rFonts w:ascii="Arial" w:hAnsi="Arial" w:cs="Arial"/>
      </w:rPr>
      <w:t xml:space="preserve"> 20</w:t>
    </w:r>
    <w:r>
      <w:rPr>
        <w:rFonts w:ascii="Arial" w:hAnsi="Arial" w:cs="Arial"/>
      </w:rPr>
      <w:t>20</w:t>
    </w:r>
    <w:r w:rsidR="00D019B3" w:rsidRPr="00FD42FA">
      <w:rPr>
        <w:rFonts w:ascii="Arial" w:hAnsi="Arial" w:cs="Arial"/>
      </w:rPr>
      <w:ptab w:relativeTo="margin" w:alignment="right" w:leader="none"/>
    </w:r>
    <w:r w:rsidR="00D019B3" w:rsidRPr="00FD42FA">
      <w:rPr>
        <w:rFonts w:ascii="Arial" w:hAnsi="Arial" w:cs="Arial"/>
      </w:rPr>
      <w:t xml:space="preserve">Page </w:t>
    </w:r>
    <w:r w:rsidR="00D019B3" w:rsidRPr="00FD42FA">
      <w:rPr>
        <w:rFonts w:ascii="Arial" w:eastAsiaTheme="minorEastAsia" w:hAnsi="Arial" w:cs="Arial"/>
      </w:rPr>
      <w:fldChar w:fldCharType="begin"/>
    </w:r>
    <w:r w:rsidR="00D019B3" w:rsidRPr="00FD42FA">
      <w:rPr>
        <w:rFonts w:ascii="Arial" w:hAnsi="Arial" w:cs="Arial"/>
      </w:rPr>
      <w:instrText xml:space="preserve"> PAGE   \* MERGEFORMAT </w:instrText>
    </w:r>
    <w:r w:rsidR="00D019B3" w:rsidRPr="00FD42FA">
      <w:rPr>
        <w:rFonts w:ascii="Arial" w:eastAsiaTheme="minorEastAsia" w:hAnsi="Arial" w:cs="Arial"/>
      </w:rPr>
      <w:fldChar w:fldCharType="separate"/>
    </w:r>
    <w:r w:rsidR="00D019B3">
      <w:rPr>
        <w:rFonts w:ascii="Arial" w:hAnsi="Arial" w:cs="Arial"/>
        <w:noProof/>
      </w:rPr>
      <w:t>1</w:t>
    </w:r>
    <w:r w:rsidR="00D019B3" w:rsidRPr="00FD42FA">
      <w:rPr>
        <w:rFonts w:ascii="Arial" w:hAnsi="Arial" w:cs="Arial"/>
        <w:noProof/>
      </w:rPr>
      <w:fldChar w:fldCharType="end"/>
    </w:r>
  </w:p>
  <w:p w14:paraId="6D03A7B1" w14:textId="77777777" w:rsidR="00D019B3" w:rsidRPr="009C31D3" w:rsidRDefault="00D019B3" w:rsidP="009C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04398" w14:textId="77777777" w:rsidR="00C53D58" w:rsidRDefault="00C53D58" w:rsidP="004619BB">
      <w:pPr>
        <w:spacing w:after="0" w:line="240" w:lineRule="auto"/>
      </w:pPr>
      <w:r>
        <w:separator/>
      </w:r>
    </w:p>
    <w:p w14:paraId="18EDC27D" w14:textId="77777777" w:rsidR="00C53D58" w:rsidRDefault="00C53D58"/>
    <w:p w14:paraId="744AE596" w14:textId="77777777" w:rsidR="00C53D58" w:rsidRDefault="00C53D58"/>
  </w:footnote>
  <w:footnote w:type="continuationSeparator" w:id="0">
    <w:p w14:paraId="2ED7CB11" w14:textId="77777777" w:rsidR="00C53D58" w:rsidRDefault="00C53D58" w:rsidP="004619BB">
      <w:pPr>
        <w:spacing w:after="0" w:line="240" w:lineRule="auto"/>
      </w:pPr>
      <w:r>
        <w:continuationSeparator/>
      </w:r>
    </w:p>
    <w:p w14:paraId="279616EE" w14:textId="77777777" w:rsidR="00C53D58" w:rsidRDefault="00C53D58"/>
    <w:p w14:paraId="43FA7470" w14:textId="77777777" w:rsidR="00C53D58" w:rsidRDefault="00C53D58"/>
  </w:footnote>
  <w:footnote w:type="continuationNotice" w:id="1">
    <w:p w14:paraId="2F482E8F" w14:textId="77777777" w:rsidR="00C53D58" w:rsidRDefault="00C53D58">
      <w:pPr>
        <w:spacing w:after="0" w:line="240" w:lineRule="auto"/>
      </w:pPr>
    </w:p>
    <w:p w14:paraId="7F2EF997" w14:textId="77777777" w:rsidR="00C53D58" w:rsidRDefault="00C53D58"/>
    <w:p w14:paraId="482A074C" w14:textId="77777777" w:rsidR="00C53D58" w:rsidRDefault="00C53D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hybridMultilevel"/>
    <w:tmpl w:val="DD6C241E"/>
    <w:lvl w:ilvl="0" w:tplc="C062E0CA">
      <w:start w:val="1"/>
      <w:numFmt w:val="bullet"/>
      <w:pStyle w:val="BulletText2"/>
      <w:lvlText w:val="-"/>
      <w:lvlJc w:val="left"/>
      <w:pPr>
        <w:tabs>
          <w:tab w:val="num" w:pos="360"/>
        </w:tabs>
        <w:ind w:left="360" w:hanging="18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C41C4"/>
    <w:multiLevelType w:val="hybridMultilevel"/>
    <w:tmpl w:val="5D60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A05E9"/>
    <w:multiLevelType w:val="hybridMultilevel"/>
    <w:tmpl w:val="B9E6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F10CF"/>
    <w:multiLevelType w:val="hybridMultilevel"/>
    <w:tmpl w:val="85EE8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2E7F2D"/>
    <w:multiLevelType w:val="hybridMultilevel"/>
    <w:tmpl w:val="3392E1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6D2BC6"/>
    <w:multiLevelType w:val="hybridMultilevel"/>
    <w:tmpl w:val="32A8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B3D68"/>
    <w:multiLevelType w:val="hybridMultilevel"/>
    <w:tmpl w:val="BC929DC4"/>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CA6F5A"/>
    <w:multiLevelType w:val="hybridMultilevel"/>
    <w:tmpl w:val="1AF8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57"/>
    <w:rsid w:val="000015D6"/>
    <w:rsid w:val="00001A82"/>
    <w:rsid w:val="000027BC"/>
    <w:rsid w:val="0000457B"/>
    <w:rsid w:val="000056E3"/>
    <w:rsid w:val="00007221"/>
    <w:rsid w:val="00013D80"/>
    <w:rsid w:val="0001733C"/>
    <w:rsid w:val="0002032B"/>
    <w:rsid w:val="00020735"/>
    <w:rsid w:val="00020C49"/>
    <w:rsid w:val="00021FB3"/>
    <w:rsid w:val="0002601D"/>
    <w:rsid w:val="0003002C"/>
    <w:rsid w:val="00031185"/>
    <w:rsid w:val="000327A2"/>
    <w:rsid w:val="000332CA"/>
    <w:rsid w:val="00033C2C"/>
    <w:rsid w:val="00034669"/>
    <w:rsid w:val="00034AA6"/>
    <w:rsid w:val="00036E84"/>
    <w:rsid w:val="00040093"/>
    <w:rsid w:val="000402FE"/>
    <w:rsid w:val="000408DA"/>
    <w:rsid w:val="00042EEC"/>
    <w:rsid w:val="00051513"/>
    <w:rsid w:val="000523AC"/>
    <w:rsid w:val="00054CD3"/>
    <w:rsid w:val="00060812"/>
    <w:rsid w:val="000615FB"/>
    <w:rsid w:val="00065051"/>
    <w:rsid w:val="00065555"/>
    <w:rsid w:val="00067CCC"/>
    <w:rsid w:val="00070FD0"/>
    <w:rsid w:val="00072357"/>
    <w:rsid w:val="00073699"/>
    <w:rsid w:val="00074FD4"/>
    <w:rsid w:val="00075459"/>
    <w:rsid w:val="0007553A"/>
    <w:rsid w:val="000758A1"/>
    <w:rsid w:val="00076BED"/>
    <w:rsid w:val="00077102"/>
    <w:rsid w:val="0008010F"/>
    <w:rsid w:val="00084E8E"/>
    <w:rsid w:val="00085BCF"/>
    <w:rsid w:val="0008633D"/>
    <w:rsid w:val="000879AC"/>
    <w:rsid w:val="000904E8"/>
    <w:rsid w:val="00091BD8"/>
    <w:rsid w:val="00092356"/>
    <w:rsid w:val="00092CC9"/>
    <w:rsid w:val="00097356"/>
    <w:rsid w:val="000A1AB7"/>
    <w:rsid w:val="000A32BE"/>
    <w:rsid w:val="000A495E"/>
    <w:rsid w:val="000A4CBE"/>
    <w:rsid w:val="000A7C8F"/>
    <w:rsid w:val="000B0231"/>
    <w:rsid w:val="000B1417"/>
    <w:rsid w:val="000B1CA6"/>
    <w:rsid w:val="000B2200"/>
    <w:rsid w:val="000B276D"/>
    <w:rsid w:val="000B4A46"/>
    <w:rsid w:val="000B5BC8"/>
    <w:rsid w:val="000B5D13"/>
    <w:rsid w:val="000B7C4F"/>
    <w:rsid w:val="000B7F6F"/>
    <w:rsid w:val="000C25D0"/>
    <w:rsid w:val="000C31C0"/>
    <w:rsid w:val="000C345A"/>
    <w:rsid w:val="000C7176"/>
    <w:rsid w:val="000C766F"/>
    <w:rsid w:val="000D124D"/>
    <w:rsid w:val="000D31E2"/>
    <w:rsid w:val="000D736D"/>
    <w:rsid w:val="000E0F6E"/>
    <w:rsid w:val="000E2F07"/>
    <w:rsid w:val="000E58C4"/>
    <w:rsid w:val="000E5929"/>
    <w:rsid w:val="000E77D8"/>
    <w:rsid w:val="000F010C"/>
    <w:rsid w:val="000F11AD"/>
    <w:rsid w:val="000F3D3B"/>
    <w:rsid w:val="000F538B"/>
    <w:rsid w:val="000F7DBA"/>
    <w:rsid w:val="00101428"/>
    <w:rsid w:val="001025F1"/>
    <w:rsid w:val="00102B15"/>
    <w:rsid w:val="001035A1"/>
    <w:rsid w:val="001060CD"/>
    <w:rsid w:val="001062A8"/>
    <w:rsid w:val="00112C9B"/>
    <w:rsid w:val="00113106"/>
    <w:rsid w:val="00113A17"/>
    <w:rsid w:val="001159BF"/>
    <w:rsid w:val="001168CF"/>
    <w:rsid w:val="0011757A"/>
    <w:rsid w:val="00120852"/>
    <w:rsid w:val="00120FB0"/>
    <w:rsid w:val="00122B84"/>
    <w:rsid w:val="001231FC"/>
    <w:rsid w:val="001242A8"/>
    <w:rsid w:val="00125690"/>
    <w:rsid w:val="00125B17"/>
    <w:rsid w:val="00126139"/>
    <w:rsid w:val="0013027B"/>
    <w:rsid w:val="00131A7E"/>
    <w:rsid w:val="0013214E"/>
    <w:rsid w:val="0013216F"/>
    <w:rsid w:val="001331A8"/>
    <w:rsid w:val="0013351B"/>
    <w:rsid w:val="00137DEB"/>
    <w:rsid w:val="00142203"/>
    <w:rsid w:val="00142D36"/>
    <w:rsid w:val="001522CE"/>
    <w:rsid w:val="00154FC2"/>
    <w:rsid w:val="00156511"/>
    <w:rsid w:val="0015685B"/>
    <w:rsid w:val="0015737A"/>
    <w:rsid w:val="00157672"/>
    <w:rsid w:val="0015783C"/>
    <w:rsid w:val="001607DC"/>
    <w:rsid w:val="001611A0"/>
    <w:rsid w:val="00161EB9"/>
    <w:rsid w:val="00163855"/>
    <w:rsid w:val="00165958"/>
    <w:rsid w:val="001671A0"/>
    <w:rsid w:val="00171D09"/>
    <w:rsid w:val="0017291E"/>
    <w:rsid w:val="00172F9A"/>
    <w:rsid w:val="00183DCA"/>
    <w:rsid w:val="00185062"/>
    <w:rsid w:val="001907CD"/>
    <w:rsid w:val="00192F69"/>
    <w:rsid w:val="00195F0A"/>
    <w:rsid w:val="00196221"/>
    <w:rsid w:val="00196B2A"/>
    <w:rsid w:val="001A0802"/>
    <w:rsid w:val="001A57BC"/>
    <w:rsid w:val="001A70A2"/>
    <w:rsid w:val="001B1286"/>
    <w:rsid w:val="001B1A37"/>
    <w:rsid w:val="001B395D"/>
    <w:rsid w:val="001B431B"/>
    <w:rsid w:val="001B4684"/>
    <w:rsid w:val="001B4CA9"/>
    <w:rsid w:val="001B51A3"/>
    <w:rsid w:val="001B5E92"/>
    <w:rsid w:val="001B77B2"/>
    <w:rsid w:val="001B7C93"/>
    <w:rsid w:val="001B7E78"/>
    <w:rsid w:val="001B7F38"/>
    <w:rsid w:val="001C063F"/>
    <w:rsid w:val="001C0E19"/>
    <w:rsid w:val="001C3277"/>
    <w:rsid w:val="001C71D4"/>
    <w:rsid w:val="001D27F2"/>
    <w:rsid w:val="001D2F98"/>
    <w:rsid w:val="001D3AC1"/>
    <w:rsid w:val="001D6150"/>
    <w:rsid w:val="001E076A"/>
    <w:rsid w:val="001E08F5"/>
    <w:rsid w:val="001E18EC"/>
    <w:rsid w:val="001E2473"/>
    <w:rsid w:val="001E3215"/>
    <w:rsid w:val="001E5258"/>
    <w:rsid w:val="001E5BC9"/>
    <w:rsid w:val="001E5D92"/>
    <w:rsid w:val="001E5DAB"/>
    <w:rsid w:val="001E5DCC"/>
    <w:rsid w:val="001E7CA6"/>
    <w:rsid w:val="001F065E"/>
    <w:rsid w:val="001F0994"/>
    <w:rsid w:val="0020095D"/>
    <w:rsid w:val="00200BA0"/>
    <w:rsid w:val="00201204"/>
    <w:rsid w:val="002015B7"/>
    <w:rsid w:val="00204000"/>
    <w:rsid w:val="00204AD2"/>
    <w:rsid w:val="00205246"/>
    <w:rsid w:val="00207578"/>
    <w:rsid w:val="00211AC5"/>
    <w:rsid w:val="00216F4E"/>
    <w:rsid w:val="00222327"/>
    <w:rsid w:val="002243F3"/>
    <w:rsid w:val="00225A21"/>
    <w:rsid w:val="00225B44"/>
    <w:rsid w:val="00227320"/>
    <w:rsid w:val="002274F0"/>
    <w:rsid w:val="00227CD2"/>
    <w:rsid w:val="00227EF9"/>
    <w:rsid w:val="00230858"/>
    <w:rsid w:val="00230C76"/>
    <w:rsid w:val="0023283A"/>
    <w:rsid w:val="00235BC3"/>
    <w:rsid w:val="00240AE1"/>
    <w:rsid w:val="00241BA2"/>
    <w:rsid w:val="00241F0B"/>
    <w:rsid w:val="00245CC5"/>
    <w:rsid w:val="00246223"/>
    <w:rsid w:val="00246495"/>
    <w:rsid w:val="002512FC"/>
    <w:rsid w:val="00251BF7"/>
    <w:rsid w:val="00251C7C"/>
    <w:rsid w:val="00252AA4"/>
    <w:rsid w:val="00253C2F"/>
    <w:rsid w:val="00263693"/>
    <w:rsid w:val="00263A0E"/>
    <w:rsid w:val="00264B9A"/>
    <w:rsid w:val="002650A5"/>
    <w:rsid w:val="0027058B"/>
    <w:rsid w:val="0027311A"/>
    <w:rsid w:val="00273B7E"/>
    <w:rsid w:val="00277192"/>
    <w:rsid w:val="00280040"/>
    <w:rsid w:val="00280641"/>
    <w:rsid w:val="00280BC9"/>
    <w:rsid w:val="00285F7A"/>
    <w:rsid w:val="00286118"/>
    <w:rsid w:val="002862E5"/>
    <w:rsid w:val="00286426"/>
    <w:rsid w:val="00286448"/>
    <w:rsid w:val="00287705"/>
    <w:rsid w:val="00290428"/>
    <w:rsid w:val="00293B89"/>
    <w:rsid w:val="0029437C"/>
    <w:rsid w:val="00294925"/>
    <w:rsid w:val="002A0D3E"/>
    <w:rsid w:val="002A2EEC"/>
    <w:rsid w:val="002A6645"/>
    <w:rsid w:val="002A75F1"/>
    <w:rsid w:val="002B099C"/>
    <w:rsid w:val="002B1305"/>
    <w:rsid w:val="002B3D46"/>
    <w:rsid w:val="002B6731"/>
    <w:rsid w:val="002B7668"/>
    <w:rsid w:val="002B7C22"/>
    <w:rsid w:val="002C00D4"/>
    <w:rsid w:val="002C0237"/>
    <w:rsid w:val="002C1D57"/>
    <w:rsid w:val="002C26AD"/>
    <w:rsid w:val="002C2DDE"/>
    <w:rsid w:val="002C41E0"/>
    <w:rsid w:val="002C4549"/>
    <w:rsid w:val="002C573B"/>
    <w:rsid w:val="002C59B2"/>
    <w:rsid w:val="002C7859"/>
    <w:rsid w:val="002D0C54"/>
    <w:rsid w:val="002D1B10"/>
    <w:rsid w:val="002D459A"/>
    <w:rsid w:val="002D46A5"/>
    <w:rsid w:val="002D5601"/>
    <w:rsid w:val="002D7B2A"/>
    <w:rsid w:val="002E009B"/>
    <w:rsid w:val="002E0839"/>
    <w:rsid w:val="002E1341"/>
    <w:rsid w:val="002E42E6"/>
    <w:rsid w:val="002E5C6C"/>
    <w:rsid w:val="002E64EF"/>
    <w:rsid w:val="002E7727"/>
    <w:rsid w:val="002F0CC3"/>
    <w:rsid w:val="002F2555"/>
    <w:rsid w:val="002F2E6F"/>
    <w:rsid w:val="002F3AEB"/>
    <w:rsid w:val="002F517A"/>
    <w:rsid w:val="002F5B9C"/>
    <w:rsid w:val="002F7FCB"/>
    <w:rsid w:val="00300326"/>
    <w:rsid w:val="00301E0C"/>
    <w:rsid w:val="00302376"/>
    <w:rsid w:val="0030485E"/>
    <w:rsid w:val="00305894"/>
    <w:rsid w:val="0031195D"/>
    <w:rsid w:val="00312124"/>
    <w:rsid w:val="00312D09"/>
    <w:rsid w:val="00312D9D"/>
    <w:rsid w:val="00314372"/>
    <w:rsid w:val="0031473B"/>
    <w:rsid w:val="00314A68"/>
    <w:rsid w:val="00314B98"/>
    <w:rsid w:val="00315014"/>
    <w:rsid w:val="003207A2"/>
    <w:rsid w:val="003217D3"/>
    <w:rsid w:val="00321AC7"/>
    <w:rsid w:val="003244D2"/>
    <w:rsid w:val="00325F42"/>
    <w:rsid w:val="003262B7"/>
    <w:rsid w:val="0032715A"/>
    <w:rsid w:val="003304A0"/>
    <w:rsid w:val="00330E51"/>
    <w:rsid w:val="0033182E"/>
    <w:rsid w:val="00331A65"/>
    <w:rsid w:val="00332B86"/>
    <w:rsid w:val="003330EA"/>
    <w:rsid w:val="003334F9"/>
    <w:rsid w:val="00334075"/>
    <w:rsid w:val="00334C58"/>
    <w:rsid w:val="00336CA4"/>
    <w:rsid w:val="00337ACD"/>
    <w:rsid w:val="00340153"/>
    <w:rsid w:val="00340396"/>
    <w:rsid w:val="00340C00"/>
    <w:rsid w:val="0034299F"/>
    <w:rsid w:val="00343038"/>
    <w:rsid w:val="003457C0"/>
    <w:rsid w:val="00347749"/>
    <w:rsid w:val="0035156A"/>
    <w:rsid w:val="0035406A"/>
    <w:rsid w:val="003540A8"/>
    <w:rsid w:val="00355973"/>
    <w:rsid w:val="00357F29"/>
    <w:rsid w:val="00360AA2"/>
    <w:rsid w:val="0036104B"/>
    <w:rsid w:val="003620E0"/>
    <w:rsid w:val="003626F6"/>
    <w:rsid w:val="00362CCB"/>
    <w:rsid w:val="00362D57"/>
    <w:rsid w:val="00366DC1"/>
    <w:rsid w:val="00366F5E"/>
    <w:rsid w:val="00366FF1"/>
    <w:rsid w:val="00370712"/>
    <w:rsid w:val="00370771"/>
    <w:rsid w:val="003707E8"/>
    <w:rsid w:val="00371CA2"/>
    <w:rsid w:val="00372A2E"/>
    <w:rsid w:val="00372BD9"/>
    <w:rsid w:val="00374287"/>
    <w:rsid w:val="0037585D"/>
    <w:rsid w:val="00377F9F"/>
    <w:rsid w:val="00381816"/>
    <w:rsid w:val="0038583E"/>
    <w:rsid w:val="00385B70"/>
    <w:rsid w:val="003875BF"/>
    <w:rsid w:val="00390181"/>
    <w:rsid w:val="00391412"/>
    <w:rsid w:val="00392CF6"/>
    <w:rsid w:val="00392E60"/>
    <w:rsid w:val="00393158"/>
    <w:rsid w:val="003945F6"/>
    <w:rsid w:val="00395097"/>
    <w:rsid w:val="00395147"/>
    <w:rsid w:val="0039606C"/>
    <w:rsid w:val="00396441"/>
    <w:rsid w:val="003A1378"/>
    <w:rsid w:val="003A1509"/>
    <w:rsid w:val="003A1F09"/>
    <w:rsid w:val="003A3728"/>
    <w:rsid w:val="003A42F7"/>
    <w:rsid w:val="003A4342"/>
    <w:rsid w:val="003A6817"/>
    <w:rsid w:val="003A751D"/>
    <w:rsid w:val="003A78BB"/>
    <w:rsid w:val="003B0505"/>
    <w:rsid w:val="003B1105"/>
    <w:rsid w:val="003B135A"/>
    <w:rsid w:val="003B2CD9"/>
    <w:rsid w:val="003B2FE2"/>
    <w:rsid w:val="003B3E25"/>
    <w:rsid w:val="003B501D"/>
    <w:rsid w:val="003B6275"/>
    <w:rsid w:val="003B6380"/>
    <w:rsid w:val="003C18EF"/>
    <w:rsid w:val="003C2371"/>
    <w:rsid w:val="003C2622"/>
    <w:rsid w:val="003C3370"/>
    <w:rsid w:val="003C4DD9"/>
    <w:rsid w:val="003C56B8"/>
    <w:rsid w:val="003C5CC0"/>
    <w:rsid w:val="003C7549"/>
    <w:rsid w:val="003C7AC3"/>
    <w:rsid w:val="003C7B45"/>
    <w:rsid w:val="003D23E9"/>
    <w:rsid w:val="003D260E"/>
    <w:rsid w:val="003D4CD5"/>
    <w:rsid w:val="003D4F94"/>
    <w:rsid w:val="003D5D83"/>
    <w:rsid w:val="003E2828"/>
    <w:rsid w:val="003E7E06"/>
    <w:rsid w:val="003F002E"/>
    <w:rsid w:val="003F1886"/>
    <w:rsid w:val="003F197B"/>
    <w:rsid w:val="003F4E27"/>
    <w:rsid w:val="003F5C8C"/>
    <w:rsid w:val="00401EE7"/>
    <w:rsid w:val="00402465"/>
    <w:rsid w:val="0040310A"/>
    <w:rsid w:val="004049C8"/>
    <w:rsid w:val="004061B9"/>
    <w:rsid w:val="00406984"/>
    <w:rsid w:val="004106ED"/>
    <w:rsid w:val="00410C44"/>
    <w:rsid w:val="00410F72"/>
    <w:rsid w:val="00413340"/>
    <w:rsid w:val="00413D82"/>
    <w:rsid w:val="00413E8A"/>
    <w:rsid w:val="00414ABF"/>
    <w:rsid w:val="0042012A"/>
    <w:rsid w:val="004218BC"/>
    <w:rsid w:val="004222A7"/>
    <w:rsid w:val="00423966"/>
    <w:rsid w:val="004240B8"/>
    <w:rsid w:val="00424784"/>
    <w:rsid w:val="00424B20"/>
    <w:rsid w:val="00424F70"/>
    <w:rsid w:val="004257DF"/>
    <w:rsid w:val="004266F5"/>
    <w:rsid w:val="00427B2D"/>
    <w:rsid w:val="00427F2C"/>
    <w:rsid w:val="00427FFD"/>
    <w:rsid w:val="00430A18"/>
    <w:rsid w:val="00432EE4"/>
    <w:rsid w:val="0043688E"/>
    <w:rsid w:val="0044016C"/>
    <w:rsid w:val="00441D33"/>
    <w:rsid w:val="00443183"/>
    <w:rsid w:val="004440EA"/>
    <w:rsid w:val="0044424E"/>
    <w:rsid w:val="004447E9"/>
    <w:rsid w:val="0044589F"/>
    <w:rsid w:val="00445BED"/>
    <w:rsid w:val="00446238"/>
    <w:rsid w:val="0044744C"/>
    <w:rsid w:val="00450744"/>
    <w:rsid w:val="0045207E"/>
    <w:rsid w:val="00454001"/>
    <w:rsid w:val="00454070"/>
    <w:rsid w:val="004619BB"/>
    <w:rsid w:val="00461D60"/>
    <w:rsid w:val="00461EB0"/>
    <w:rsid w:val="0046331C"/>
    <w:rsid w:val="00470CB1"/>
    <w:rsid w:val="004711E0"/>
    <w:rsid w:val="00471B3A"/>
    <w:rsid w:val="004729E9"/>
    <w:rsid w:val="00472F1E"/>
    <w:rsid w:val="00473E53"/>
    <w:rsid w:val="0047691E"/>
    <w:rsid w:val="00485470"/>
    <w:rsid w:val="0048750E"/>
    <w:rsid w:val="00491BCE"/>
    <w:rsid w:val="00494EA8"/>
    <w:rsid w:val="00495D2C"/>
    <w:rsid w:val="00496331"/>
    <w:rsid w:val="004967CB"/>
    <w:rsid w:val="004968E4"/>
    <w:rsid w:val="00497809"/>
    <w:rsid w:val="004A1084"/>
    <w:rsid w:val="004A10B2"/>
    <w:rsid w:val="004A13BF"/>
    <w:rsid w:val="004B0616"/>
    <w:rsid w:val="004B13F9"/>
    <w:rsid w:val="004B364A"/>
    <w:rsid w:val="004B4179"/>
    <w:rsid w:val="004B6075"/>
    <w:rsid w:val="004B6A65"/>
    <w:rsid w:val="004B6A70"/>
    <w:rsid w:val="004C078C"/>
    <w:rsid w:val="004C18BD"/>
    <w:rsid w:val="004C4D6C"/>
    <w:rsid w:val="004C62E4"/>
    <w:rsid w:val="004D0441"/>
    <w:rsid w:val="004D14F4"/>
    <w:rsid w:val="004D1F0A"/>
    <w:rsid w:val="004D397E"/>
    <w:rsid w:val="004D4F0A"/>
    <w:rsid w:val="004D580B"/>
    <w:rsid w:val="004D7F38"/>
    <w:rsid w:val="004E19CC"/>
    <w:rsid w:val="004E1DA6"/>
    <w:rsid w:val="004E6735"/>
    <w:rsid w:val="004E78AC"/>
    <w:rsid w:val="004F1996"/>
    <w:rsid w:val="004F3300"/>
    <w:rsid w:val="004F699C"/>
    <w:rsid w:val="005018B0"/>
    <w:rsid w:val="005023A1"/>
    <w:rsid w:val="00502679"/>
    <w:rsid w:val="005027A5"/>
    <w:rsid w:val="005044C4"/>
    <w:rsid w:val="00504A50"/>
    <w:rsid w:val="00505F69"/>
    <w:rsid w:val="00510196"/>
    <w:rsid w:val="00511870"/>
    <w:rsid w:val="0051416A"/>
    <w:rsid w:val="00515EA6"/>
    <w:rsid w:val="005162F8"/>
    <w:rsid w:val="00517123"/>
    <w:rsid w:val="00517158"/>
    <w:rsid w:val="00517C4F"/>
    <w:rsid w:val="005200E2"/>
    <w:rsid w:val="0052108C"/>
    <w:rsid w:val="005217A3"/>
    <w:rsid w:val="00524882"/>
    <w:rsid w:val="00524B92"/>
    <w:rsid w:val="00525380"/>
    <w:rsid w:val="005256F6"/>
    <w:rsid w:val="00525B07"/>
    <w:rsid w:val="00525FAD"/>
    <w:rsid w:val="00527065"/>
    <w:rsid w:val="0052720A"/>
    <w:rsid w:val="00530337"/>
    <w:rsid w:val="0053079F"/>
    <w:rsid w:val="0053129B"/>
    <w:rsid w:val="0053205A"/>
    <w:rsid w:val="005328D8"/>
    <w:rsid w:val="00532B5F"/>
    <w:rsid w:val="00534AAC"/>
    <w:rsid w:val="005356B5"/>
    <w:rsid w:val="00536161"/>
    <w:rsid w:val="00536E58"/>
    <w:rsid w:val="0053707D"/>
    <w:rsid w:val="00537A9A"/>
    <w:rsid w:val="00540476"/>
    <w:rsid w:val="00540F2E"/>
    <w:rsid w:val="005419CB"/>
    <w:rsid w:val="00541F79"/>
    <w:rsid w:val="00545CC8"/>
    <w:rsid w:val="00546291"/>
    <w:rsid w:val="005462DB"/>
    <w:rsid w:val="00546F4B"/>
    <w:rsid w:val="00547C94"/>
    <w:rsid w:val="00550D58"/>
    <w:rsid w:val="005521E3"/>
    <w:rsid w:val="0055239A"/>
    <w:rsid w:val="0055371C"/>
    <w:rsid w:val="00553A79"/>
    <w:rsid w:val="00554306"/>
    <w:rsid w:val="00554CE3"/>
    <w:rsid w:val="00555F5B"/>
    <w:rsid w:val="005569EB"/>
    <w:rsid w:val="00556C6A"/>
    <w:rsid w:val="0056380C"/>
    <w:rsid w:val="0056385A"/>
    <w:rsid w:val="005641A8"/>
    <w:rsid w:val="005645DD"/>
    <w:rsid w:val="005660BC"/>
    <w:rsid w:val="0057049A"/>
    <w:rsid w:val="005706DF"/>
    <w:rsid w:val="0057122C"/>
    <w:rsid w:val="00571FBE"/>
    <w:rsid w:val="00572CE5"/>
    <w:rsid w:val="00572E48"/>
    <w:rsid w:val="00575F37"/>
    <w:rsid w:val="00576017"/>
    <w:rsid w:val="00581972"/>
    <w:rsid w:val="00584A70"/>
    <w:rsid w:val="00585CA2"/>
    <w:rsid w:val="00586C7D"/>
    <w:rsid w:val="005915C0"/>
    <w:rsid w:val="00591D35"/>
    <w:rsid w:val="00591D78"/>
    <w:rsid w:val="0059222E"/>
    <w:rsid w:val="00593D0A"/>
    <w:rsid w:val="005944C1"/>
    <w:rsid w:val="00594698"/>
    <w:rsid w:val="00597AC9"/>
    <w:rsid w:val="005A0C63"/>
    <w:rsid w:val="005A1CF6"/>
    <w:rsid w:val="005A226E"/>
    <w:rsid w:val="005A3DC6"/>
    <w:rsid w:val="005A640F"/>
    <w:rsid w:val="005A67DA"/>
    <w:rsid w:val="005B4C00"/>
    <w:rsid w:val="005B5446"/>
    <w:rsid w:val="005B5AA4"/>
    <w:rsid w:val="005B673A"/>
    <w:rsid w:val="005B6741"/>
    <w:rsid w:val="005C31B3"/>
    <w:rsid w:val="005C4E4D"/>
    <w:rsid w:val="005C5DD2"/>
    <w:rsid w:val="005C6FA6"/>
    <w:rsid w:val="005C78E1"/>
    <w:rsid w:val="005D045D"/>
    <w:rsid w:val="005D07BC"/>
    <w:rsid w:val="005D3CC2"/>
    <w:rsid w:val="005D7133"/>
    <w:rsid w:val="005E3BAF"/>
    <w:rsid w:val="005E41B3"/>
    <w:rsid w:val="005E67FA"/>
    <w:rsid w:val="005F1A7B"/>
    <w:rsid w:val="005F1E89"/>
    <w:rsid w:val="005F2F3A"/>
    <w:rsid w:val="005F5C99"/>
    <w:rsid w:val="005F6F48"/>
    <w:rsid w:val="00602931"/>
    <w:rsid w:val="00602B8C"/>
    <w:rsid w:val="006036CB"/>
    <w:rsid w:val="006044BB"/>
    <w:rsid w:val="00606B26"/>
    <w:rsid w:val="00606EC5"/>
    <w:rsid w:val="00607C5E"/>
    <w:rsid w:val="006110AA"/>
    <w:rsid w:val="006111FB"/>
    <w:rsid w:val="00615779"/>
    <w:rsid w:val="006165D5"/>
    <w:rsid w:val="00621080"/>
    <w:rsid w:val="00623E1C"/>
    <w:rsid w:val="00625ADE"/>
    <w:rsid w:val="00626F2B"/>
    <w:rsid w:val="00630E21"/>
    <w:rsid w:val="0063105E"/>
    <w:rsid w:val="00636706"/>
    <w:rsid w:val="00637BCC"/>
    <w:rsid w:val="006427F9"/>
    <w:rsid w:val="00643F33"/>
    <w:rsid w:val="006458B1"/>
    <w:rsid w:val="0064594F"/>
    <w:rsid w:val="006459D9"/>
    <w:rsid w:val="00645CF1"/>
    <w:rsid w:val="006479A2"/>
    <w:rsid w:val="006511A6"/>
    <w:rsid w:val="006516F9"/>
    <w:rsid w:val="00653FE3"/>
    <w:rsid w:val="006545D5"/>
    <w:rsid w:val="00654BA1"/>
    <w:rsid w:val="00657B36"/>
    <w:rsid w:val="00661096"/>
    <w:rsid w:val="006610A1"/>
    <w:rsid w:val="00661F24"/>
    <w:rsid w:val="006649B5"/>
    <w:rsid w:val="00664A3A"/>
    <w:rsid w:val="006668D0"/>
    <w:rsid w:val="0067033A"/>
    <w:rsid w:val="00671485"/>
    <w:rsid w:val="00675D9E"/>
    <w:rsid w:val="006761E8"/>
    <w:rsid w:val="00676BDC"/>
    <w:rsid w:val="006829EA"/>
    <w:rsid w:val="006838FD"/>
    <w:rsid w:val="006848C7"/>
    <w:rsid w:val="00684B33"/>
    <w:rsid w:val="00686035"/>
    <w:rsid w:val="006904DD"/>
    <w:rsid w:val="00690964"/>
    <w:rsid w:val="0069180E"/>
    <w:rsid w:val="00691FC0"/>
    <w:rsid w:val="00695486"/>
    <w:rsid w:val="00696A95"/>
    <w:rsid w:val="006A02A0"/>
    <w:rsid w:val="006A0456"/>
    <w:rsid w:val="006A1D5E"/>
    <w:rsid w:val="006A3C58"/>
    <w:rsid w:val="006A426A"/>
    <w:rsid w:val="006A4C5D"/>
    <w:rsid w:val="006A6ED7"/>
    <w:rsid w:val="006A7487"/>
    <w:rsid w:val="006A7F43"/>
    <w:rsid w:val="006B0030"/>
    <w:rsid w:val="006B1E17"/>
    <w:rsid w:val="006B3092"/>
    <w:rsid w:val="006B3992"/>
    <w:rsid w:val="006B43B7"/>
    <w:rsid w:val="006B43B8"/>
    <w:rsid w:val="006B51F5"/>
    <w:rsid w:val="006C0FDF"/>
    <w:rsid w:val="006C197C"/>
    <w:rsid w:val="006C4464"/>
    <w:rsid w:val="006C475A"/>
    <w:rsid w:val="006D04FC"/>
    <w:rsid w:val="006D1028"/>
    <w:rsid w:val="006D20E3"/>
    <w:rsid w:val="006D21C1"/>
    <w:rsid w:val="006E0547"/>
    <w:rsid w:val="006E2B83"/>
    <w:rsid w:val="006E4C10"/>
    <w:rsid w:val="006E55DF"/>
    <w:rsid w:val="006E6CD9"/>
    <w:rsid w:val="006E7457"/>
    <w:rsid w:val="006E7875"/>
    <w:rsid w:val="006F0C40"/>
    <w:rsid w:val="006F0C98"/>
    <w:rsid w:val="006F3840"/>
    <w:rsid w:val="006F3DA0"/>
    <w:rsid w:val="006F4ADB"/>
    <w:rsid w:val="006F5BCE"/>
    <w:rsid w:val="006F6AAB"/>
    <w:rsid w:val="006F6BE0"/>
    <w:rsid w:val="006F74AA"/>
    <w:rsid w:val="006F77CD"/>
    <w:rsid w:val="007011B4"/>
    <w:rsid w:val="00701605"/>
    <w:rsid w:val="007036DF"/>
    <w:rsid w:val="007049F0"/>
    <w:rsid w:val="00705177"/>
    <w:rsid w:val="007065BB"/>
    <w:rsid w:val="00706EBC"/>
    <w:rsid w:val="00707540"/>
    <w:rsid w:val="00707725"/>
    <w:rsid w:val="00707BA8"/>
    <w:rsid w:val="00713AFE"/>
    <w:rsid w:val="00713B9F"/>
    <w:rsid w:val="00714C66"/>
    <w:rsid w:val="0071520E"/>
    <w:rsid w:val="00721EA5"/>
    <w:rsid w:val="00725A18"/>
    <w:rsid w:val="00730421"/>
    <w:rsid w:val="00732344"/>
    <w:rsid w:val="00733DC5"/>
    <w:rsid w:val="00734984"/>
    <w:rsid w:val="00737FCE"/>
    <w:rsid w:val="00741A1F"/>
    <w:rsid w:val="0074308F"/>
    <w:rsid w:val="00744857"/>
    <w:rsid w:val="00745BDA"/>
    <w:rsid w:val="007508FF"/>
    <w:rsid w:val="00751BE4"/>
    <w:rsid w:val="00751D1E"/>
    <w:rsid w:val="007529F5"/>
    <w:rsid w:val="00752FE5"/>
    <w:rsid w:val="00755F5F"/>
    <w:rsid w:val="0075632D"/>
    <w:rsid w:val="00762F3C"/>
    <w:rsid w:val="007653EB"/>
    <w:rsid w:val="0076668D"/>
    <w:rsid w:val="00770D15"/>
    <w:rsid w:val="00772375"/>
    <w:rsid w:val="007728FA"/>
    <w:rsid w:val="007858BA"/>
    <w:rsid w:val="007873A4"/>
    <w:rsid w:val="00790A31"/>
    <w:rsid w:val="007914E5"/>
    <w:rsid w:val="00791992"/>
    <w:rsid w:val="007926EB"/>
    <w:rsid w:val="00794EC7"/>
    <w:rsid w:val="00796079"/>
    <w:rsid w:val="00796AE2"/>
    <w:rsid w:val="00796D98"/>
    <w:rsid w:val="007971C1"/>
    <w:rsid w:val="00797C54"/>
    <w:rsid w:val="00797FED"/>
    <w:rsid w:val="007A0723"/>
    <w:rsid w:val="007A16FA"/>
    <w:rsid w:val="007A2C3D"/>
    <w:rsid w:val="007A4F5E"/>
    <w:rsid w:val="007B1400"/>
    <w:rsid w:val="007B23BE"/>
    <w:rsid w:val="007B333C"/>
    <w:rsid w:val="007B56C0"/>
    <w:rsid w:val="007B6494"/>
    <w:rsid w:val="007B69E4"/>
    <w:rsid w:val="007B7795"/>
    <w:rsid w:val="007C0D05"/>
    <w:rsid w:val="007C1269"/>
    <w:rsid w:val="007C2EC6"/>
    <w:rsid w:val="007C2F2E"/>
    <w:rsid w:val="007C4864"/>
    <w:rsid w:val="007C637E"/>
    <w:rsid w:val="007C7964"/>
    <w:rsid w:val="007C7D59"/>
    <w:rsid w:val="007D1468"/>
    <w:rsid w:val="007D1C80"/>
    <w:rsid w:val="007D2B16"/>
    <w:rsid w:val="007D2F8A"/>
    <w:rsid w:val="007D3428"/>
    <w:rsid w:val="007D46BB"/>
    <w:rsid w:val="007D7842"/>
    <w:rsid w:val="007D7D31"/>
    <w:rsid w:val="007E1231"/>
    <w:rsid w:val="007E168B"/>
    <w:rsid w:val="007E5C5E"/>
    <w:rsid w:val="007E7F9D"/>
    <w:rsid w:val="007F1730"/>
    <w:rsid w:val="007F2577"/>
    <w:rsid w:val="007F3719"/>
    <w:rsid w:val="007F3A1E"/>
    <w:rsid w:val="007F3E94"/>
    <w:rsid w:val="007F485F"/>
    <w:rsid w:val="007F4869"/>
    <w:rsid w:val="007F5644"/>
    <w:rsid w:val="007F603B"/>
    <w:rsid w:val="007F6937"/>
    <w:rsid w:val="007F6C31"/>
    <w:rsid w:val="007F70C0"/>
    <w:rsid w:val="007F7CF9"/>
    <w:rsid w:val="00801A8B"/>
    <w:rsid w:val="00802BE8"/>
    <w:rsid w:val="008036C5"/>
    <w:rsid w:val="00803B5C"/>
    <w:rsid w:val="0080423F"/>
    <w:rsid w:val="00805292"/>
    <w:rsid w:val="008075FE"/>
    <w:rsid w:val="00810948"/>
    <w:rsid w:val="0081348E"/>
    <w:rsid w:val="008144F0"/>
    <w:rsid w:val="008145DF"/>
    <w:rsid w:val="00815E5F"/>
    <w:rsid w:val="00817730"/>
    <w:rsid w:val="0082017C"/>
    <w:rsid w:val="008216C0"/>
    <w:rsid w:val="00821F11"/>
    <w:rsid w:val="00822000"/>
    <w:rsid w:val="00822708"/>
    <w:rsid w:val="00822CED"/>
    <w:rsid w:val="008241F9"/>
    <w:rsid w:val="00824543"/>
    <w:rsid w:val="008260FD"/>
    <w:rsid w:val="00826508"/>
    <w:rsid w:val="00826516"/>
    <w:rsid w:val="00827082"/>
    <w:rsid w:val="008274FC"/>
    <w:rsid w:val="00830568"/>
    <w:rsid w:val="008310F8"/>
    <w:rsid w:val="00831801"/>
    <w:rsid w:val="008322C1"/>
    <w:rsid w:val="008339C4"/>
    <w:rsid w:val="008342B0"/>
    <w:rsid w:val="00835C52"/>
    <w:rsid w:val="00836C6F"/>
    <w:rsid w:val="00836F47"/>
    <w:rsid w:val="008401B6"/>
    <w:rsid w:val="008409BC"/>
    <w:rsid w:val="00840B47"/>
    <w:rsid w:val="00841521"/>
    <w:rsid w:val="0084266E"/>
    <w:rsid w:val="00851798"/>
    <w:rsid w:val="0085440E"/>
    <w:rsid w:val="00855AEB"/>
    <w:rsid w:val="008565E4"/>
    <w:rsid w:val="00862278"/>
    <w:rsid w:val="00863438"/>
    <w:rsid w:val="00865503"/>
    <w:rsid w:val="00867F0B"/>
    <w:rsid w:val="008705BD"/>
    <w:rsid w:val="00871389"/>
    <w:rsid w:val="00873BB0"/>
    <w:rsid w:val="00875025"/>
    <w:rsid w:val="008760EC"/>
    <w:rsid w:val="00876A38"/>
    <w:rsid w:val="008830F3"/>
    <w:rsid w:val="008838BB"/>
    <w:rsid w:val="00883FCF"/>
    <w:rsid w:val="0088474C"/>
    <w:rsid w:val="0088479A"/>
    <w:rsid w:val="00884DEF"/>
    <w:rsid w:val="00886CF4"/>
    <w:rsid w:val="00893649"/>
    <w:rsid w:val="0089403A"/>
    <w:rsid w:val="00894483"/>
    <w:rsid w:val="00896674"/>
    <w:rsid w:val="00896D4A"/>
    <w:rsid w:val="00897A48"/>
    <w:rsid w:val="00897DF6"/>
    <w:rsid w:val="008A05D6"/>
    <w:rsid w:val="008A23F9"/>
    <w:rsid w:val="008A3883"/>
    <w:rsid w:val="008A4425"/>
    <w:rsid w:val="008A452D"/>
    <w:rsid w:val="008A465E"/>
    <w:rsid w:val="008A46EC"/>
    <w:rsid w:val="008A5662"/>
    <w:rsid w:val="008A6950"/>
    <w:rsid w:val="008A74F0"/>
    <w:rsid w:val="008B592F"/>
    <w:rsid w:val="008B5B27"/>
    <w:rsid w:val="008B5BBF"/>
    <w:rsid w:val="008B6C05"/>
    <w:rsid w:val="008B6CC9"/>
    <w:rsid w:val="008B6ECE"/>
    <w:rsid w:val="008B7A07"/>
    <w:rsid w:val="008C28CC"/>
    <w:rsid w:val="008C2D64"/>
    <w:rsid w:val="008C4A9B"/>
    <w:rsid w:val="008C4AD3"/>
    <w:rsid w:val="008C5FDF"/>
    <w:rsid w:val="008C6F2E"/>
    <w:rsid w:val="008C7272"/>
    <w:rsid w:val="008C7947"/>
    <w:rsid w:val="008D1696"/>
    <w:rsid w:val="008D1E68"/>
    <w:rsid w:val="008D21F1"/>
    <w:rsid w:val="008D2D68"/>
    <w:rsid w:val="008D35CD"/>
    <w:rsid w:val="008D45A6"/>
    <w:rsid w:val="008D545A"/>
    <w:rsid w:val="008D5814"/>
    <w:rsid w:val="008D5844"/>
    <w:rsid w:val="008D5F17"/>
    <w:rsid w:val="008D7F0E"/>
    <w:rsid w:val="008E09EB"/>
    <w:rsid w:val="008E0C68"/>
    <w:rsid w:val="008E19EA"/>
    <w:rsid w:val="008E2D72"/>
    <w:rsid w:val="008E407D"/>
    <w:rsid w:val="008E4387"/>
    <w:rsid w:val="008E478E"/>
    <w:rsid w:val="008E7082"/>
    <w:rsid w:val="008F0431"/>
    <w:rsid w:val="008F189A"/>
    <w:rsid w:val="008F2F73"/>
    <w:rsid w:val="008F3D95"/>
    <w:rsid w:val="008F60AF"/>
    <w:rsid w:val="008F735D"/>
    <w:rsid w:val="008F7FB7"/>
    <w:rsid w:val="00901B7C"/>
    <w:rsid w:val="00904270"/>
    <w:rsid w:val="0090451C"/>
    <w:rsid w:val="009058C3"/>
    <w:rsid w:val="00905FDB"/>
    <w:rsid w:val="009064BF"/>
    <w:rsid w:val="00907C97"/>
    <w:rsid w:val="009100E8"/>
    <w:rsid w:val="00910262"/>
    <w:rsid w:val="00910797"/>
    <w:rsid w:val="00912501"/>
    <w:rsid w:val="00913350"/>
    <w:rsid w:val="00914A7A"/>
    <w:rsid w:val="00914C2C"/>
    <w:rsid w:val="009150A4"/>
    <w:rsid w:val="00916135"/>
    <w:rsid w:val="00916314"/>
    <w:rsid w:val="00917DA4"/>
    <w:rsid w:val="0092097F"/>
    <w:rsid w:val="009213B3"/>
    <w:rsid w:val="00922153"/>
    <w:rsid w:val="00922366"/>
    <w:rsid w:val="0092622B"/>
    <w:rsid w:val="0093116E"/>
    <w:rsid w:val="009314E4"/>
    <w:rsid w:val="009316E1"/>
    <w:rsid w:val="00932431"/>
    <w:rsid w:val="0093387E"/>
    <w:rsid w:val="00933CD4"/>
    <w:rsid w:val="00936003"/>
    <w:rsid w:val="0093634D"/>
    <w:rsid w:val="00936386"/>
    <w:rsid w:val="00937807"/>
    <w:rsid w:val="0094426C"/>
    <w:rsid w:val="009468E4"/>
    <w:rsid w:val="00946C52"/>
    <w:rsid w:val="009505A6"/>
    <w:rsid w:val="009510D6"/>
    <w:rsid w:val="009562F9"/>
    <w:rsid w:val="009600BE"/>
    <w:rsid w:val="00961809"/>
    <w:rsid w:val="00962741"/>
    <w:rsid w:val="00962D1E"/>
    <w:rsid w:val="00962E29"/>
    <w:rsid w:val="00964BE7"/>
    <w:rsid w:val="00965B77"/>
    <w:rsid w:val="00965D70"/>
    <w:rsid w:val="00966853"/>
    <w:rsid w:val="00967654"/>
    <w:rsid w:val="00967B63"/>
    <w:rsid w:val="00970CD6"/>
    <w:rsid w:val="00971322"/>
    <w:rsid w:val="00972679"/>
    <w:rsid w:val="009753C3"/>
    <w:rsid w:val="00975DE1"/>
    <w:rsid w:val="00976946"/>
    <w:rsid w:val="00976FFA"/>
    <w:rsid w:val="00980EF2"/>
    <w:rsid w:val="00981739"/>
    <w:rsid w:val="00981C37"/>
    <w:rsid w:val="00983A32"/>
    <w:rsid w:val="00983D94"/>
    <w:rsid w:val="0098448F"/>
    <w:rsid w:val="00985213"/>
    <w:rsid w:val="0098733F"/>
    <w:rsid w:val="00987982"/>
    <w:rsid w:val="00991683"/>
    <w:rsid w:val="0099216D"/>
    <w:rsid w:val="00992FC2"/>
    <w:rsid w:val="00995719"/>
    <w:rsid w:val="009969C5"/>
    <w:rsid w:val="009977C5"/>
    <w:rsid w:val="00997E75"/>
    <w:rsid w:val="009A017C"/>
    <w:rsid w:val="009A0901"/>
    <w:rsid w:val="009A1727"/>
    <w:rsid w:val="009A1A35"/>
    <w:rsid w:val="009A26C4"/>
    <w:rsid w:val="009A2F8F"/>
    <w:rsid w:val="009A33F0"/>
    <w:rsid w:val="009A5557"/>
    <w:rsid w:val="009A59FF"/>
    <w:rsid w:val="009A659E"/>
    <w:rsid w:val="009A6949"/>
    <w:rsid w:val="009A6C90"/>
    <w:rsid w:val="009B04C9"/>
    <w:rsid w:val="009B1685"/>
    <w:rsid w:val="009B3C2C"/>
    <w:rsid w:val="009B49B7"/>
    <w:rsid w:val="009B4B1A"/>
    <w:rsid w:val="009B4CD0"/>
    <w:rsid w:val="009B7246"/>
    <w:rsid w:val="009C05A0"/>
    <w:rsid w:val="009C1240"/>
    <w:rsid w:val="009C1AE5"/>
    <w:rsid w:val="009C31D3"/>
    <w:rsid w:val="009C3980"/>
    <w:rsid w:val="009C6147"/>
    <w:rsid w:val="009C620A"/>
    <w:rsid w:val="009C6A57"/>
    <w:rsid w:val="009D0593"/>
    <w:rsid w:val="009D060A"/>
    <w:rsid w:val="009D168B"/>
    <w:rsid w:val="009D1EEA"/>
    <w:rsid w:val="009D3354"/>
    <w:rsid w:val="009D4CE3"/>
    <w:rsid w:val="009D71D0"/>
    <w:rsid w:val="009E2E84"/>
    <w:rsid w:val="009E3DE3"/>
    <w:rsid w:val="009E4CD9"/>
    <w:rsid w:val="009E5AF7"/>
    <w:rsid w:val="009E7CA5"/>
    <w:rsid w:val="009E7D96"/>
    <w:rsid w:val="009F2C78"/>
    <w:rsid w:val="009F455B"/>
    <w:rsid w:val="009F46C8"/>
    <w:rsid w:val="009F5991"/>
    <w:rsid w:val="009F7D34"/>
    <w:rsid w:val="00A00349"/>
    <w:rsid w:val="00A00748"/>
    <w:rsid w:val="00A00A6D"/>
    <w:rsid w:val="00A00A9A"/>
    <w:rsid w:val="00A00D54"/>
    <w:rsid w:val="00A01D97"/>
    <w:rsid w:val="00A06513"/>
    <w:rsid w:val="00A06716"/>
    <w:rsid w:val="00A06BFC"/>
    <w:rsid w:val="00A11924"/>
    <w:rsid w:val="00A12DE6"/>
    <w:rsid w:val="00A13A76"/>
    <w:rsid w:val="00A143FE"/>
    <w:rsid w:val="00A17E02"/>
    <w:rsid w:val="00A2408A"/>
    <w:rsid w:val="00A2589F"/>
    <w:rsid w:val="00A25C9F"/>
    <w:rsid w:val="00A25EC6"/>
    <w:rsid w:val="00A26070"/>
    <w:rsid w:val="00A26559"/>
    <w:rsid w:val="00A27599"/>
    <w:rsid w:val="00A30BE4"/>
    <w:rsid w:val="00A35412"/>
    <w:rsid w:val="00A36B76"/>
    <w:rsid w:val="00A40D3E"/>
    <w:rsid w:val="00A43C31"/>
    <w:rsid w:val="00A452A0"/>
    <w:rsid w:val="00A458B5"/>
    <w:rsid w:val="00A47A55"/>
    <w:rsid w:val="00A47D94"/>
    <w:rsid w:val="00A500B4"/>
    <w:rsid w:val="00A51E3F"/>
    <w:rsid w:val="00A534F8"/>
    <w:rsid w:val="00A5717C"/>
    <w:rsid w:val="00A57314"/>
    <w:rsid w:val="00A63CDD"/>
    <w:rsid w:val="00A6441A"/>
    <w:rsid w:val="00A71EDC"/>
    <w:rsid w:val="00A740F0"/>
    <w:rsid w:val="00A80C9D"/>
    <w:rsid w:val="00A8246F"/>
    <w:rsid w:val="00A83732"/>
    <w:rsid w:val="00A85556"/>
    <w:rsid w:val="00A87C81"/>
    <w:rsid w:val="00A87D31"/>
    <w:rsid w:val="00A90064"/>
    <w:rsid w:val="00A911BF"/>
    <w:rsid w:val="00A9148A"/>
    <w:rsid w:val="00A927B9"/>
    <w:rsid w:val="00A94D0D"/>
    <w:rsid w:val="00A95F9E"/>
    <w:rsid w:val="00A977EA"/>
    <w:rsid w:val="00AA125F"/>
    <w:rsid w:val="00AA3DC4"/>
    <w:rsid w:val="00AA6344"/>
    <w:rsid w:val="00AA6C4A"/>
    <w:rsid w:val="00AA74F6"/>
    <w:rsid w:val="00AA7E76"/>
    <w:rsid w:val="00AB0A38"/>
    <w:rsid w:val="00AB0F7F"/>
    <w:rsid w:val="00AB2C8D"/>
    <w:rsid w:val="00AB2D06"/>
    <w:rsid w:val="00AB4598"/>
    <w:rsid w:val="00AB5270"/>
    <w:rsid w:val="00AB6C8F"/>
    <w:rsid w:val="00AB6F09"/>
    <w:rsid w:val="00AB7B2E"/>
    <w:rsid w:val="00AC0628"/>
    <w:rsid w:val="00AC1608"/>
    <w:rsid w:val="00AC361B"/>
    <w:rsid w:val="00AC4D81"/>
    <w:rsid w:val="00AC7B3F"/>
    <w:rsid w:val="00AD1970"/>
    <w:rsid w:val="00AD1A55"/>
    <w:rsid w:val="00AD1D59"/>
    <w:rsid w:val="00AD493B"/>
    <w:rsid w:val="00AD6801"/>
    <w:rsid w:val="00AE07B7"/>
    <w:rsid w:val="00AE0DA2"/>
    <w:rsid w:val="00AE4047"/>
    <w:rsid w:val="00AE4A14"/>
    <w:rsid w:val="00AE6341"/>
    <w:rsid w:val="00AF368D"/>
    <w:rsid w:val="00AF54C8"/>
    <w:rsid w:val="00B003A0"/>
    <w:rsid w:val="00B01D0A"/>
    <w:rsid w:val="00B01F9B"/>
    <w:rsid w:val="00B02287"/>
    <w:rsid w:val="00B02B2C"/>
    <w:rsid w:val="00B05941"/>
    <w:rsid w:val="00B06081"/>
    <w:rsid w:val="00B1152A"/>
    <w:rsid w:val="00B13DEC"/>
    <w:rsid w:val="00B15CDB"/>
    <w:rsid w:val="00B175B0"/>
    <w:rsid w:val="00B2118C"/>
    <w:rsid w:val="00B22381"/>
    <w:rsid w:val="00B230A1"/>
    <w:rsid w:val="00B23991"/>
    <w:rsid w:val="00B24248"/>
    <w:rsid w:val="00B27BC6"/>
    <w:rsid w:val="00B315EC"/>
    <w:rsid w:val="00B328A3"/>
    <w:rsid w:val="00B356D7"/>
    <w:rsid w:val="00B3627F"/>
    <w:rsid w:val="00B362C5"/>
    <w:rsid w:val="00B3641D"/>
    <w:rsid w:val="00B3727B"/>
    <w:rsid w:val="00B420C9"/>
    <w:rsid w:val="00B42E7C"/>
    <w:rsid w:val="00B45E6B"/>
    <w:rsid w:val="00B479C1"/>
    <w:rsid w:val="00B50947"/>
    <w:rsid w:val="00B51D15"/>
    <w:rsid w:val="00B52CE0"/>
    <w:rsid w:val="00B57E8D"/>
    <w:rsid w:val="00B6111D"/>
    <w:rsid w:val="00B62672"/>
    <w:rsid w:val="00B633F0"/>
    <w:rsid w:val="00B64803"/>
    <w:rsid w:val="00B650A1"/>
    <w:rsid w:val="00B6622F"/>
    <w:rsid w:val="00B6659F"/>
    <w:rsid w:val="00B701FD"/>
    <w:rsid w:val="00B70D53"/>
    <w:rsid w:val="00B7373E"/>
    <w:rsid w:val="00B73840"/>
    <w:rsid w:val="00B73DF0"/>
    <w:rsid w:val="00B7409C"/>
    <w:rsid w:val="00B744C7"/>
    <w:rsid w:val="00B76B9E"/>
    <w:rsid w:val="00B778F6"/>
    <w:rsid w:val="00B77F71"/>
    <w:rsid w:val="00B818F9"/>
    <w:rsid w:val="00B83ED1"/>
    <w:rsid w:val="00B8408E"/>
    <w:rsid w:val="00B85A4A"/>
    <w:rsid w:val="00B85BFF"/>
    <w:rsid w:val="00B90F21"/>
    <w:rsid w:val="00B9200C"/>
    <w:rsid w:val="00B94736"/>
    <w:rsid w:val="00B9566B"/>
    <w:rsid w:val="00BA0233"/>
    <w:rsid w:val="00BA16E9"/>
    <w:rsid w:val="00BA50FE"/>
    <w:rsid w:val="00BA53D7"/>
    <w:rsid w:val="00BA58E1"/>
    <w:rsid w:val="00BA7C0B"/>
    <w:rsid w:val="00BA7E31"/>
    <w:rsid w:val="00BB0F72"/>
    <w:rsid w:val="00BB0FB7"/>
    <w:rsid w:val="00BB1A1E"/>
    <w:rsid w:val="00BB3EBA"/>
    <w:rsid w:val="00BB4D90"/>
    <w:rsid w:val="00BB539C"/>
    <w:rsid w:val="00BB6347"/>
    <w:rsid w:val="00BB7764"/>
    <w:rsid w:val="00BC0666"/>
    <w:rsid w:val="00BC0C5C"/>
    <w:rsid w:val="00BC1320"/>
    <w:rsid w:val="00BC471A"/>
    <w:rsid w:val="00BC5231"/>
    <w:rsid w:val="00BC53A6"/>
    <w:rsid w:val="00BD01C4"/>
    <w:rsid w:val="00BD1008"/>
    <w:rsid w:val="00BD2335"/>
    <w:rsid w:val="00BD2DB9"/>
    <w:rsid w:val="00BD4D1A"/>
    <w:rsid w:val="00BD5432"/>
    <w:rsid w:val="00BD58FE"/>
    <w:rsid w:val="00BD6BD7"/>
    <w:rsid w:val="00BD74F4"/>
    <w:rsid w:val="00BE12DC"/>
    <w:rsid w:val="00BE182D"/>
    <w:rsid w:val="00BE1D9C"/>
    <w:rsid w:val="00BE22DB"/>
    <w:rsid w:val="00BE2B2E"/>
    <w:rsid w:val="00BE47AA"/>
    <w:rsid w:val="00BE4BBB"/>
    <w:rsid w:val="00BE6FCB"/>
    <w:rsid w:val="00BE7810"/>
    <w:rsid w:val="00BE7D27"/>
    <w:rsid w:val="00BF0091"/>
    <w:rsid w:val="00BF4172"/>
    <w:rsid w:val="00BF4860"/>
    <w:rsid w:val="00BF68D9"/>
    <w:rsid w:val="00BF7186"/>
    <w:rsid w:val="00BF7BAE"/>
    <w:rsid w:val="00C00438"/>
    <w:rsid w:val="00C0059F"/>
    <w:rsid w:val="00C01611"/>
    <w:rsid w:val="00C030C4"/>
    <w:rsid w:val="00C0456F"/>
    <w:rsid w:val="00C0578F"/>
    <w:rsid w:val="00C07638"/>
    <w:rsid w:val="00C07733"/>
    <w:rsid w:val="00C1163F"/>
    <w:rsid w:val="00C12235"/>
    <w:rsid w:val="00C1514D"/>
    <w:rsid w:val="00C16E1F"/>
    <w:rsid w:val="00C21D13"/>
    <w:rsid w:val="00C22012"/>
    <w:rsid w:val="00C26CCA"/>
    <w:rsid w:val="00C314AC"/>
    <w:rsid w:val="00C32614"/>
    <w:rsid w:val="00C32749"/>
    <w:rsid w:val="00C34144"/>
    <w:rsid w:val="00C34B89"/>
    <w:rsid w:val="00C360B1"/>
    <w:rsid w:val="00C409C3"/>
    <w:rsid w:val="00C421CF"/>
    <w:rsid w:val="00C443C3"/>
    <w:rsid w:val="00C47FD4"/>
    <w:rsid w:val="00C51249"/>
    <w:rsid w:val="00C53D58"/>
    <w:rsid w:val="00C54E38"/>
    <w:rsid w:val="00C55A0C"/>
    <w:rsid w:val="00C60231"/>
    <w:rsid w:val="00C6096B"/>
    <w:rsid w:val="00C61A7A"/>
    <w:rsid w:val="00C61D7B"/>
    <w:rsid w:val="00C61E64"/>
    <w:rsid w:val="00C63277"/>
    <w:rsid w:val="00C64603"/>
    <w:rsid w:val="00C64EFC"/>
    <w:rsid w:val="00C656B6"/>
    <w:rsid w:val="00C65971"/>
    <w:rsid w:val="00C65B92"/>
    <w:rsid w:val="00C65C2C"/>
    <w:rsid w:val="00C71363"/>
    <w:rsid w:val="00C7239C"/>
    <w:rsid w:val="00C72A8C"/>
    <w:rsid w:val="00C805CD"/>
    <w:rsid w:val="00C82543"/>
    <w:rsid w:val="00C83F8F"/>
    <w:rsid w:val="00C8430A"/>
    <w:rsid w:val="00C8533D"/>
    <w:rsid w:val="00C86F78"/>
    <w:rsid w:val="00C91622"/>
    <w:rsid w:val="00C918D5"/>
    <w:rsid w:val="00C921A9"/>
    <w:rsid w:val="00C946AE"/>
    <w:rsid w:val="00C97049"/>
    <w:rsid w:val="00CA1522"/>
    <w:rsid w:val="00CA2FD2"/>
    <w:rsid w:val="00CA331F"/>
    <w:rsid w:val="00CA3627"/>
    <w:rsid w:val="00CA3D6B"/>
    <w:rsid w:val="00CA4415"/>
    <w:rsid w:val="00CA507E"/>
    <w:rsid w:val="00CA5E3D"/>
    <w:rsid w:val="00CA7AFC"/>
    <w:rsid w:val="00CB2A2E"/>
    <w:rsid w:val="00CB52AE"/>
    <w:rsid w:val="00CB75F0"/>
    <w:rsid w:val="00CC141A"/>
    <w:rsid w:val="00CC53C8"/>
    <w:rsid w:val="00CC7A7C"/>
    <w:rsid w:val="00CD01D5"/>
    <w:rsid w:val="00CD0CCB"/>
    <w:rsid w:val="00CD1A3D"/>
    <w:rsid w:val="00CD1EAE"/>
    <w:rsid w:val="00CD1EDE"/>
    <w:rsid w:val="00CD204C"/>
    <w:rsid w:val="00CD5DD3"/>
    <w:rsid w:val="00CD66A5"/>
    <w:rsid w:val="00CE32B3"/>
    <w:rsid w:val="00CE53C8"/>
    <w:rsid w:val="00CE7EA4"/>
    <w:rsid w:val="00CF0D93"/>
    <w:rsid w:val="00D0004A"/>
    <w:rsid w:val="00D019B3"/>
    <w:rsid w:val="00D03F28"/>
    <w:rsid w:val="00D05DEE"/>
    <w:rsid w:val="00D06462"/>
    <w:rsid w:val="00D07CE0"/>
    <w:rsid w:val="00D100A8"/>
    <w:rsid w:val="00D10907"/>
    <w:rsid w:val="00D10FC5"/>
    <w:rsid w:val="00D148E6"/>
    <w:rsid w:val="00D2029D"/>
    <w:rsid w:val="00D21997"/>
    <w:rsid w:val="00D21EA2"/>
    <w:rsid w:val="00D2385E"/>
    <w:rsid w:val="00D23925"/>
    <w:rsid w:val="00D2423B"/>
    <w:rsid w:val="00D24D81"/>
    <w:rsid w:val="00D24ED7"/>
    <w:rsid w:val="00D31BC1"/>
    <w:rsid w:val="00D32469"/>
    <w:rsid w:val="00D33457"/>
    <w:rsid w:val="00D342B9"/>
    <w:rsid w:val="00D3669D"/>
    <w:rsid w:val="00D36F4D"/>
    <w:rsid w:val="00D3777A"/>
    <w:rsid w:val="00D414D2"/>
    <w:rsid w:val="00D4359C"/>
    <w:rsid w:val="00D44FB0"/>
    <w:rsid w:val="00D47D99"/>
    <w:rsid w:val="00D50C4A"/>
    <w:rsid w:val="00D5170B"/>
    <w:rsid w:val="00D536A7"/>
    <w:rsid w:val="00D54BD4"/>
    <w:rsid w:val="00D55355"/>
    <w:rsid w:val="00D55520"/>
    <w:rsid w:val="00D5561F"/>
    <w:rsid w:val="00D57784"/>
    <w:rsid w:val="00D606B7"/>
    <w:rsid w:val="00D607B5"/>
    <w:rsid w:val="00D642E0"/>
    <w:rsid w:val="00D655FB"/>
    <w:rsid w:val="00D668B0"/>
    <w:rsid w:val="00D67E74"/>
    <w:rsid w:val="00D71C45"/>
    <w:rsid w:val="00D72421"/>
    <w:rsid w:val="00D72EF5"/>
    <w:rsid w:val="00D72FEA"/>
    <w:rsid w:val="00D80B51"/>
    <w:rsid w:val="00D82445"/>
    <w:rsid w:val="00D85839"/>
    <w:rsid w:val="00D86266"/>
    <w:rsid w:val="00D86897"/>
    <w:rsid w:val="00D87877"/>
    <w:rsid w:val="00D904BE"/>
    <w:rsid w:val="00D909C2"/>
    <w:rsid w:val="00D91A2D"/>
    <w:rsid w:val="00D91D88"/>
    <w:rsid w:val="00D91E0D"/>
    <w:rsid w:val="00D92E21"/>
    <w:rsid w:val="00D93FF9"/>
    <w:rsid w:val="00D94150"/>
    <w:rsid w:val="00D94355"/>
    <w:rsid w:val="00D946B1"/>
    <w:rsid w:val="00D97805"/>
    <w:rsid w:val="00DA13E1"/>
    <w:rsid w:val="00DA253E"/>
    <w:rsid w:val="00DA3CDE"/>
    <w:rsid w:val="00DA3F16"/>
    <w:rsid w:val="00DA4673"/>
    <w:rsid w:val="00DA4C9A"/>
    <w:rsid w:val="00DA5B43"/>
    <w:rsid w:val="00DA5B74"/>
    <w:rsid w:val="00DB31DF"/>
    <w:rsid w:val="00DB46B6"/>
    <w:rsid w:val="00DB477A"/>
    <w:rsid w:val="00DB47C7"/>
    <w:rsid w:val="00DB5B62"/>
    <w:rsid w:val="00DB7D42"/>
    <w:rsid w:val="00DC1CD9"/>
    <w:rsid w:val="00DC2E5F"/>
    <w:rsid w:val="00DC5F79"/>
    <w:rsid w:val="00DC5FB0"/>
    <w:rsid w:val="00DC7B43"/>
    <w:rsid w:val="00DD20D4"/>
    <w:rsid w:val="00DD2445"/>
    <w:rsid w:val="00DD2909"/>
    <w:rsid w:val="00DD4888"/>
    <w:rsid w:val="00DD4ADF"/>
    <w:rsid w:val="00DE075E"/>
    <w:rsid w:val="00DE14E5"/>
    <w:rsid w:val="00DE20E9"/>
    <w:rsid w:val="00DE2ADA"/>
    <w:rsid w:val="00DE39F2"/>
    <w:rsid w:val="00DE5A6C"/>
    <w:rsid w:val="00DE5B71"/>
    <w:rsid w:val="00DE6A1E"/>
    <w:rsid w:val="00DE74C7"/>
    <w:rsid w:val="00DE76F4"/>
    <w:rsid w:val="00DF206D"/>
    <w:rsid w:val="00DF21F9"/>
    <w:rsid w:val="00DF2D04"/>
    <w:rsid w:val="00DF5215"/>
    <w:rsid w:val="00DF5C90"/>
    <w:rsid w:val="00DF62C7"/>
    <w:rsid w:val="00DF6E2F"/>
    <w:rsid w:val="00E009E8"/>
    <w:rsid w:val="00E0196B"/>
    <w:rsid w:val="00E025EF"/>
    <w:rsid w:val="00E02D5D"/>
    <w:rsid w:val="00E04870"/>
    <w:rsid w:val="00E0544A"/>
    <w:rsid w:val="00E1126B"/>
    <w:rsid w:val="00E12EDB"/>
    <w:rsid w:val="00E13BA5"/>
    <w:rsid w:val="00E15582"/>
    <w:rsid w:val="00E155CB"/>
    <w:rsid w:val="00E21219"/>
    <w:rsid w:val="00E21A99"/>
    <w:rsid w:val="00E22314"/>
    <w:rsid w:val="00E22590"/>
    <w:rsid w:val="00E2474A"/>
    <w:rsid w:val="00E30362"/>
    <w:rsid w:val="00E31857"/>
    <w:rsid w:val="00E31E52"/>
    <w:rsid w:val="00E37AFB"/>
    <w:rsid w:val="00E40230"/>
    <w:rsid w:val="00E41EB7"/>
    <w:rsid w:val="00E42FC0"/>
    <w:rsid w:val="00E47F83"/>
    <w:rsid w:val="00E50229"/>
    <w:rsid w:val="00E50F6D"/>
    <w:rsid w:val="00E52A01"/>
    <w:rsid w:val="00E53675"/>
    <w:rsid w:val="00E542C5"/>
    <w:rsid w:val="00E562DD"/>
    <w:rsid w:val="00E61D3C"/>
    <w:rsid w:val="00E62C35"/>
    <w:rsid w:val="00E62EEE"/>
    <w:rsid w:val="00E63DE2"/>
    <w:rsid w:val="00E66CC6"/>
    <w:rsid w:val="00E67CA4"/>
    <w:rsid w:val="00E70CCD"/>
    <w:rsid w:val="00E72680"/>
    <w:rsid w:val="00E744B5"/>
    <w:rsid w:val="00E7451B"/>
    <w:rsid w:val="00E75027"/>
    <w:rsid w:val="00E75ED7"/>
    <w:rsid w:val="00E76441"/>
    <w:rsid w:val="00E772E0"/>
    <w:rsid w:val="00E81EEB"/>
    <w:rsid w:val="00E82797"/>
    <w:rsid w:val="00E839B2"/>
    <w:rsid w:val="00E84216"/>
    <w:rsid w:val="00E872FC"/>
    <w:rsid w:val="00E90068"/>
    <w:rsid w:val="00E905FD"/>
    <w:rsid w:val="00E907DE"/>
    <w:rsid w:val="00E9094F"/>
    <w:rsid w:val="00E91B08"/>
    <w:rsid w:val="00E92662"/>
    <w:rsid w:val="00E930AE"/>
    <w:rsid w:val="00E932B0"/>
    <w:rsid w:val="00E95970"/>
    <w:rsid w:val="00EA0762"/>
    <w:rsid w:val="00EA274C"/>
    <w:rsid w:val="00EA2BE2"/>
    <w:rsid w:val="00EA2FD8"/>
    <w:rsid w:val="00EA557A"/>
    <w:rsid w:val="00EA78A8"/>
    <w:rsid w:val="00EB2D7C"/>
    <w:rsid w:val="00EB4963"/>
    <w:rsid w:val="00EB4BF2"/>
    <w:rsid w:val="00EB5D18"/>
    <w:rsid w:val="00EB784A"/>
    <w:rsid w:val="00EC1DB2"/>
    <w:rsid w:val="00EC1F34"/>
    <w:rsid w:val="00EC28C2"/>
    <w:rsid w:val="00EC3339"/>
    <w:rsid w:val="00EC3CD3"/>
    <w:rsid w:val="00EC5514"/>
    <w:rsid w:val="00EC7522"/>
    <w:rsid w:val="00EC7AE9"/>
    <w:rsid w:val="00ED0076"/>
    <w:rsid w:val="00ED2364"/>
    <w:rsid w:val="00ED2903"/>
    <w:rsid w:val="00ED3386"/>
    <w:rsid w:val="00EE00C1"/>
    <w:rsid w:val="00EE36ED"/>
    <w:rsid w:val="00EE6729"/>
    <w:rsid w:val="00EE704A"/>
    <w:rsid w:val="00EE7E8F"/>
    <w:rsid w:val="00EF0834"/>
    <w:rsid w:val="00EF090A"/>
    <w:rsid w:val="00EF2D51"/>
    <w:rsid w:val="00EF3923"/>
    <w:rsid w:val="00EF5002"/>
    <w:rsid w:val="00EF5AA3"/>
    <w:rsid w:val="00EF5AE1"/>
    <w:rsid w:val="00EF641C"/>
    <w:rsid w:val="00EF673F"/>
    <w:rsid w:val="00F03205"/>
    <w:rsid w:val="00F05BA7"/>
    <w:rsid w:val="00F0614B"/>
    <w:rsid w:val="00F07F7D"/>
    <w:rsid w:val="00F1047F"/>
    <w:rsid w:val="00F10791"/>
    <w:rsid w:val="00F10A4D"/>
    <w:rsid w:val="00F11D25"/>
    <w:rsid w:val="00F1208C"/>
    <w:rsid w:val="00F1382D"/>
    <w:rsid w:val="00F13A24"/>
    <w:rsid w:val="00F14338"/>
    <w:rsid w:val="00F15789"/>
    <w:rsid w:val="00F15BB3"/>
    <w:rsid w:val="00F15E32"/>
    <w:rsid w:val="00F16AB1"/>
    <w:rsid w:val="00F1748A"/>
    <w:rsid w:val="00F174D7"/>
    <w:rsid w:val="00F2173F"/>
    <w:rsid w:val="00F23094"/>
    <w:rsid w:val="00F23355"/>
    <w:rsid w:val="00F26CFD"/>
    <w:rsid w:val="00F26DEF"/>
    <w:rsid w:val="00F33873"/>
    <w:rsid w:val="00F345DE"/>
    <w:rsid w:val="00F37A53"/>
    <w:rsid w:val="00F37B29"/>
    <w:rsid w:val="00F40EA0"/>
    <w:rsid w:val="00F454E4"/>
    <w:rsid w:val="00F466A9"/>
    <w:rsid w:val="00F46BF2"/>
    <w:rsid w:val="00F503BC"/>
    <w:rsid w:val="00F505A5"/>
    <w:rsid w:val="00F509C9"/>
    <w:rsid w:val="00F51C35"/>
    <w:rsid w:val="00F53709"/>
    <w:rsid w:val="00F53B5F"/>
    <w:rsid w:val="00F55033"/>
    <w:rsid w:val="00F56EF6"/>
    <w:rsid w:val="00F622F2"/>
    <w:rsid w:val="00F63319"/>
    <w:rsid w:val="00F6429C"/>
    <w:rsid w:val="00F64447"/>
    <w:rsid w:val="00F64A5E"/>
    <w:rsid w:val="00F66BE7"/>
    <w:rsid w:val="00F7043F"/>
    <w:rsid w:val="00F72535"/>
    <w:rsid w:val="00F729E6"/>
    <w:rsid w:val="00F734F5"/>
    <w:rsid w:val="00F73803"/>
    <w:rsid w:val="00F76ADD"/>
    <w:rsid w:val="00F7721F"/>
    <w:rsid w:val="00F776C8"/>
    <w:rsid w:val="00F82362"/>
    <w:rsid w:val="00F82C43"/>
    <w:rsid w:val="00F82CAF"/>
    <w:rsid w:val="00F837FE"/>
    <w:rsid w:val="00F84FCB"/>
    <w:rsid w:val="00F860B2"/>
    <w:rsid w:val="00F8709A"/>
    <w:rsid w:val="00F87D9F"/>
    <w:rsid w:val="00F9015A"/>
    <w:rsid w:val="00F90271"/>
    <w:rsid w:val="00F917D4"/>
    <w:rsid w:val="00F942B1"/>
    <w:rsid w:val="00F9438D"/>
    <w:rsid w:val="00F948BB"/>
    <w:rsid w:val="00F96B67"/>
    <w:rsid w:val="00F96E68"/>
    <w:rsid w:val="00F971DB"/>
    <w:rsid w:val="00F97FC8"/>
    <w:rsid w:val="00FA47E8"/>
    <w:rsid w:val="00FB053D"/>
    <w:rsid w:val="00FB136E"/>
    <w:rsid w:val="00FB4CCE"/>
    <w:rsid w:val="00FB5F20"/>
    <w:rsid w:val="00FB72A0"/>
    <w:rsid w:val="00FC07D4"/>
    <w:rsid w:val="00FC1967"/>
    <w:rsid w:val="00FC2F0D"/>
    <w:rsid w:val="00FC5B7E"/>
    <w:rsid w:val="00FC7A14"/>
    <w:rsid w:val="00FC7C4B"/>
    <w:rsid w:val="00FD3411"/>
    <w:rsid w:val="00FD3997"/>
    <w:rsid w:val="00FD4EFA"/>
    <w:rsid w:val="00FD5517"/>
    <w:rsid w:val="00FD56A4"/>
    <w:rsid w:val="00FE059C"/>
    <w:rsid w:val="00FE2905"/>
    <w:rsid w:val="00FE4126"/>
    <w:rsid w:val="00FE6B3A"/>
    <w:rsid w:val="00FF11EF"/>
    <w:rsid w:val="00FF1B5D"/>
    <w:rsid w:val="00FF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B700E"/>
  <w15:docId w15:val="{10AFEA46-7C98-4CB2-941A-3580E0E2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064"/>
    <w:rPr>
      <w:rFonts w:ascii="Times New Roman" w:hAnsi="Times New Roman"/>
      <w:sz w:val="24"/>
    </w:rPr>
  </w:style>
  <w:style w:type="paragraph" w:styleId="Heading1">
    <w:name w:val="heading 1"/>
    <w:basedOn w:val="Normal"/>
    <w:next w:val="Normal"/>
    <w:link w:val="Heading1Char"/>
    <w:uiPriority w:val="9"/>
    <w:qFormat/>
    <w:rsid w:val="00D71C4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71C45"/>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Heading3">
    <w:name w:val="heading 3"/>
    <w:basedOn w:val="Normal"/>
    <w:next w:val="Normal"/>
    <w:link w:val="Heading3Char"/>
    <w:uiPriority w:val="9"/>
    <w:semiHidden/>
    <w:unhideWhenUsed/>
    <w:qFormat/>
    <w:rsid w:val="00D71C4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D71C4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71C4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71C4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71C4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71C4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71C4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57"/>
    <w:rPr>
      <w:rFonts w:ascii="Tahoma" w:hAnsi="Tahoma" w:cs="Tahoma"/>
      <w:sz w:val="16"/>
      <w:szCs w:val="16"/>
    </w:rPr>
  </w:style>
  <w:style w:type="character" w:customStyle="1" w:styleId="Heading1Char">
    <w:name w:val="Heading 1 Char"/>
    <w:basedOn w:val="DefaultParagraphFont"/>
    <w:link w:val="Heading1"/>
    <w:uiPriority w:val="9"/>
    <w:rsid w:val="00D71C45"/>
    <w:rPr>
      <w:caps/>
      <w:color w:val="632423" w:themeColor="accent2" w:themeShade="80"/>
      <w:spacing w:val="20"/>
      <w:sz w:val="28"/>
      <w:szCs w:val="28"/>
    </w:rPr>
  </w:style>
  <w:style w:type="character" w:styleId="Hyperlink">
    <w:name w:val="Hyperlink"/>
    <w:uiPriority w:val="99"/>
    <w:rsid w:val="004619BB"/>
    <w:rPr>
      <w:color w:val="0000FF"/>
      <w:u w:val="single"/>
    </w:rPr>
  </w:style>
  <w:style w:type="paragraph" w:styleId="TOCHeading">
    <w:name w:val="TOC Heading"/>
    <w:basedOn w:val="Heading1"/>
    <w:next w:val="Normal"/>
    <w:uiPriority w:val="39"/>
    <w:semiHidden/>
    <w:unhideWhenUsed/>
    <w:qFormat/>
    <w:rsid w:val="00D71C45"/>
    <w:pPr>
      <w:outlineLvl w:val="9"/>
    </w:pPr>
    <w:rPr>
      <w:lang w:bidi="en-US"/>
    </w:rPr>
  </w:style>
  <w:style w:type="paragraph" w:styleId="TOC1">
    <w:name w:val="toc 1"/>
    <w:basedOn w:val="Normal"/>
    <w:next w:val="Normal"/>
    <w:autoRedefine/>
    <w:uiPriority w:val="39"/>
    <w:unhideWhenUsed/>
    <w:rsid w:val="00165958"/>
    <w:pPr>
      <w:tabs>
        <w:tab w:val="right" w:leader="dot" w:pos="9350"/>
      </w:tabs>
      <w:spacing w:after="100" w:line="240" w:lineRule="auto"/>
    </w:pPr>
    <w:rPr>
      <w:rFonts w:ascii="Arial" w:hAnsi="Arial" w:cs="Arial"/>
      <w:noProof/>
    </w:rPr>
  </w:style>
  <w:style w:type="paragraph" w:styleId="ListParagraph">
    <w:name w:val="List Paragraph"/>
    <w:basedOn w:val="Normal"/>
    <w:link w:val="ListParagraphChar"/>
    <w:uiPriority w:val="34"/>
    <w:qFormat/>
    <w:rsid w:val="00D71C45"/>
    <w:pPr>
      <w:ind w:left="720"/>
      <w:contextualSpacing/>
    </w:pPr>
  </w:style>
  <w:style w:type="paragraph" w:styleId="NoSpacing">
    <w:name w:val="No Spacing"/>
    <w:basedOn w:val="Normal"/>
    <w:link w:val="NoSpacingChar"/>
    <w:uiPriority w:val="1"/>
    <w:qFormat/>
    <w:rsid w:val="00113106"/>
    <w:pPr>
      <w:spacing w:after="0" w:line="240" w:lineRule="auto"/>
    </w:pPr>
  </w:style>
  <w:style w:type="paragraph" w:styleId="Header">
    <w:name w:val="header"/>
    <w:basedOn w:val="Normal"/>
    <w:link w:val="HeaderChar"/>
    <w:uiPriority w:val="99"/>
    <w:unhideWhenUsed/>
    <w:rsid w:val="00461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BB"/>
    <w:rPr>
      <w:rFonts w:ascii="Calibri" w:hAnsi="Calibri" w:cs="Times New Roman"/>
      <w:sz w:val="20"/>
      <w:szCs w:val="20"/>
    </w:rPr>
  </w:style>
  <w:style w:type="paragraph" w:styleId="Footer">
    <w:name w:val="footer"/>
    <w:basedOn w:val="Normal"/>
    <w:link w:val="FooterChar"/>
    <w:uiPriority w:val="99"/>
    <w:unhideWhenUsed/>
    <w:rsid w:val="00461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BB"/>
    <w:rPr>
      <w:rFonts w:ascii="Calibri" w:hAnsi="Calibri" w:cs="Times New Roman"/>
      <w:sz w:val="20"/>
      <w:szCs w:val="20"/>
    </w:rPr>
  </w:style>
  <w:style w:type="character" w:styleId="PageNumber">
    <w:name w:val="page number"/>
    <w:basedOn w:val="DefaultParagraphFont"/>
    <w:rsid w:val="004619BB"/>
  </w:style>
  <w:style w:type="paragraph" w:customStyle="1" w:styleId="Footer-Professional">
    <w:name w:val="Footer - Professional"/>
    <w:basedOn w:val="Footer"/>
    <w:rsid w:val="004619BB"/>
    <w:pPr>
      <w:pBdr>
        <w:top w:val="single" w:sz="36" w:space="1" w:color="000080"/>
      </w:pBdr>
      <w:tabs>
        <w:tab w:val="clear" w:pos="4680"/>
        <w:tab w:val="clear" w:pos="9360"/>
        <w:tab w:val="center" w:pos="4320"/>
        <w:tab w:val="right" w:pos="8640"/>
      </w:tabs>
      <w:jc w:val="center"/>
    </w:pPr>
    <w:rPr>
      <w:rFonts w:ascii="Arial Black" w:eastAsia="Times New Roman" w:hAnsi="Arial Black"/>
      <w:color w:val="000080"/>
      <w:sz w:val="16"/>
    </w:rPr>
  </w:style>
  <w:style w:type="character" w:styleId="CommentReference">
    <w:name w:val="annotation reference"/>
    <w:basedOn w:val="DefaultParagraphFont"/>
    <w:unhideWhenUsed/>
    <w:rsid w:val="004619BB"/>
    <w:rPr>
      <w:sz w:val="16"/>
      <w:szCs w:val="16"/>
    </w:rPr>
  </w:style>
  <w:style w:type="paragraph" w:styleId="CommentText">
    <w:name w:val="annotation text"/>
    <w:basedOn w:val="Normal"/>
    <w:link w:val="CommentTextChar"/>
    <w:unhideWhenUsed/>
    <w:rsid w:val="004619BB"/>
    <w:pPr>
      <w:spacing w:line="240" w:lineRule="auto"/>
    </w:pPr>
  </w:style>
  <w:style w:type="character" w:customStyle="1" w:styleId="CommentTextChar">
    <w:name w:val="Comment Text Char"/>
    <w:basedOn w:val="DefaultParagraphFont"/>
    <w:link w:val="CommentText"/>
    <w:rsid w:val="004619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19BB"/>
    <w:rPr>
      <w:b/>
      <w:bCs/>
    </w:rPr>
  </w:style>
  <w:style w:type="character" w:customStyle="1" w:styleId="CommentSubjectChar">
    <w:name w:val="Comment Subject Char"/>
    <w:basedOn w:val="CommentTextChar"/>
    <w:link w:val="CommentSubject"/>
    <w:uiPriority w:val="99"/>
    <w:semiHidden/>
    <w:rsid w:val="004619BB"/>
    <w:rPr>
      <w:rFonts w:ascii="Calibri" w:hAnsi="Calibri" w:cs="Times New Roman"/>
      <w:b/>
      <w:bCs/>
      <w:sz w:val="20"/>
      <w:szCs w:val="20"/>
    </w:rPr>
  </w:style>
  <w:style w:type="character" w:styleId="FollowedHyperlink">
    <w:name w:val="FollowedHyperlink"/>
    <w:basedOn w:val="DefaultParagraphFont"/>
    <w:uiPriority w:val="99"/>
    <w:semiHidden/>
    <w:unhideWhenUsed/>
    <w:rsid w:val="009510D6"/>
    <w:rPr>
      <w:color w:val="800080" w:themeColor="followedHyperlink"/>
      <w:u w:val="single"/>
    </w:rPr>
  </w:style>
  <w:style w:type="table" w:styleId="TableGrid">
    <w:name w:val="Table Grid"/>
    <w:basedOn w:val="TableNormal"/>
    <w:uiPriority w:val="59"/>
    <w:rsid w:val="00A855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qFormat/>
    <w:rsid w:val="00CB2A2E"/>
    <w:pPr>
      <w:spacing w:after="0" w:line="240" w:lineRule="auto"/>
    </w:pPr>
    <w:rPr>
      <w:rFonts w:eastAsiaTheme="minorHAnsi"/>
      <w:color w:val="000000"/>
      <w:szCs w:val="24"/>
    </w:rPr>
  </w:style>
  <w:style w:type="paragraph" w:customStyle="1" w:styleId="BulletText1">
    <w:name w:val="Bullet Text 1"/>
    <w:basedOn w:val="Normal"/>
    <w:qFormat/>
    <w:rsid w:val="00CB2A2E"/>
    <w:pPr>
      <w:numPr>
        <w:numId w:val="1"/>
      </w:numPr>
      <w:spacing w:after="0" w:line="240" w:lineRule="auto"/>
    </w:pPr>
    <w:rPr>
      <w:rFonts w:eastAsiaTheme="minorHAnsi"/>
      <w:color w:val="000000"/>
      <w:szCs w:val="24"/>
    </w:rPr>
  </w:style>
  <w:style w:type="paragraph" w:customStyle="1" w:styleId="BulletText2">
    <w:name w:val="Bullet Text 2"/>
    <w:basedOn w:val="Normal"/>
    <w:uiPriority w:val="99"/>
    <w:rsid w:val="00CB2A2E"/>
    <w:pPr>
      <w:numPr>
        <w:numId w:val="2"/>
      </w:numPr>
      <w:spacing w:after="0" w:line="240" w:lineRule="auto"/>
    </w:pPr>
    <w:rPr>
      <w:rFonts w:eastAsiaTheme="minorHAnsi"/>
      <w:color w:val="000000"/>
      <w:szCs w:val="24"/>
    </w:rPr>
  </w:style>
  <w:style w:type="paragraph" w:customStyle="1" w:styleId="TableText">
    <w:name w:val="Table Text"/>
    <w:basedOn w:val="Normal"/>
    <w:uiPriority w:val="99"/>
    <w:rsid w:val="00CB2A2E"/>
    <w:pPr>
      <w:spacing w:after="0" w:line="240" w:lineRule="auto"/>
    </w:pPr>
    <w:rPr>
      <w:rFonts w:eastAsiaTheme="minorHAnsi"/>
      <w:color w:val="000000"/>
      <w:szCs w:val="24"/>
    </w:rPr>
  </w:style>
  <w:style w:type="paragraph" w:styleId="Revision">
    <w:name w:val="Revision"/>
    <w:hidden/>
    <w:uiPriority w:val="99"/>
    <w:semiHidden/>
    <w:rsid w:val="008B7A07"/>
    <w:pPr>
      <w:spacing w:after="0" w:line="240" w:lineRule="auto"/>
    </w:pPr>
    <w:rPr>
      <w:rFonts w:ascii="Calibri" w:hAnsi="Calibri" w:cs="Times New Roman"/>
      <w:sz w:val="20"/>
      <w:szCs w:val="20"/>
    </w:rPr>
  </w:style>
  <w:style w:type="paragraph" w:styleId="NormalWeb">
    <w:name w:val="Normal (Web)"/>
    <w:basedOn w:val="Normal"/>
    <w:uiPriority w:val="99"/>
    <w:unhideWhenUsed/>
    <w:rsid w:val="008E4387"/>
    <w:pPr>
      <w:spacing w:before="100" w:beforeAutospacing="1" w:after="100" w:afterAutospacing="1" w:line="240" w:lineRule="auto"/>
    </w:pPr>
    <w:rPr>
      <w:rFonts w:eastAsiaTheme="minorHAnsi"/>
      <w:szCs w:val="24"/>
    </w:rPr>
  </w:style>
  <w:style w:type="character" w:customStyle="1" w:styleId="id-mask">
    <w:name w:val="id-mask"/>
    <w:basedOn w:val="DefaultParagraphFont"/>
    <w:rsid w:val="001E5258"/>
  </w:style>
  <w:style w:type="paragraph" w:styleId="BodyText">
    <w:name w:val="Body Text"/>
    <w:basedOn w:val="Normal"/>
    <w:link w:val="BodyTextChar"/>
    <w:semiHidden/>
    <w:unhideWhenUsed/>
    <w:rsid w:val="001E5258"/>
    <w:pPr>
      <w:spacing w:after="120" w:line="240" w:lineRule="auto"/>
    </w:pPr>
    <w:rPr>
      <w:rFonts w:eastAsia="Times New Roman"/>
    </w:rPr>
  </w:style>
  <w:style w:type="character" w:customStyle="1" w:styleId="BodyTextChar">
    <w:name w:val="Body Text Char"/>
    <w:basedOn w:val="DefaultParagraphFont"/>
    <w:link w:val="BodyText"/>
    <w:semiHidden/>
    <w:rsid w:val="001E5258"/>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D71C4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D71C45"/>
    <w:rPr>
      <w:caps/>
      <w:color w:val="622423" w:themeColor="accent2" w:themeShade="7F"/>
      <w:sz w:val="24"/>
      <w:szCs w:val="24"/>
    </w:rPr>
  </w:style>
  <w:style w:type="character" w:customStyle="1" w:styleId="Heading4Char">
    <w:name w:val="Heading 4 Char"/>
    <w:basedOn w:val="DefaultParagraphFont"/>
    <w:link w:val="Heading4"/>
    <w:uiPriority w:val="9"/>
    <w:semiHidden/>
    <w:rsid w:val="00D71C45"/>
    <w:rPr>
      <w:caps/>
      <w:color w:val="622423" w:themeColor="accent2" w:themeShade="7F"/>
      <w:spacing w:val="10"/>
    </w:rPr>
  </w:style>
  <w:style w:type="character" w:customStyle="1" w:styleId="Heading5Char">
    <w:name w:val="Heading 5 Char"/>
    <w:basedOn w:val="DefaultParagraphFont"/>
    <w:link w:val="Heading5"/>
    <w:uiPriority w:val="9"/>
    <w:semiHidden/>
    <w:rsid w:val="00D71C45"/>
    <w:rPr>
      <w:caps/>
      <w:color w:val="622423" w:themeColor="accent2" w:themeShade="7F"/>
      <w:spacing w:val="10"/>
    </w:rPr>
  </w:style>
  <w:style w:type="character" w:customStyle="1" w:styleId="Heading6Char">
    <w:name w:val="Heading 6 Char"/>
    <w:basedOn w:val="DefaultParagraphFont"/>
    <w:link w:val="Heading6"/>
    <w:uiPriority w:val="9"/>
    <w:semiHidden/>
    <w:rsid w:val="00D71C45"/>
    <w:rPr>
      <w:caps/>
      <w:color w:val="943634" w:themeColor="accent2" w:themeShade="BF"/>
      <w:spacing w:val="10"/>
    </w:rPr>
  </w:style>
  <w:style w:type="character" w:customStyle="1" w:styleId="Heading7Char">
    <w:name w:val="Heading 7 Char"/>
    <w:basedOn w:val="DefaultParagraphFont"/>
    <w:link w:val="Heading7"/>
    <w:uiPriority w:val="9"/>
    <w:semiHidden/>
    <w:rsid w:val="00D71C45"/>
    <w:rPr>
      <w:i/>
      <w:iCs/>
      <w:caps/>
      <w:color w:val="943634" w:themeColor="accent2" w:themeShade="BF"/>
      <w:spacing w:val="10"/>
    </w:rPr>
  </w:style>
  <w:style w:type="character" w:customStyle="1" w:styleId="Heading8Char">
    <w:name w:val="Heading 8 Char"/>
    <w:basedOn w:val="DefaultParagraphFont"/>
    <w:link w:val="Heading8"/>
    <w:uiPriority w:val="9"/>
    <w:semiHidden/>
    <w:rsid w:val="00D71C45"/>
    <w:rPr>
      <w:caps/>
      <w:spacing w:val="10"/>
      <w:sz w:val="20"/>
      <w:szCs w:val="20"/>
    </w:rPr>
  </w:style>
  <w:style w:type="character" w:customStyle="1" w:styleId="Heading9Char">
    <w:name w:val="Heading 9 Char"/>
    <w:basedOn w:val="DefaultParagraphFont"/>
    <w:link w:val="Heading9"/>
    <w:uiPriority w:val="9"/>
    <w:semiHidden/>
    <w:rsid w:val="00D71C45"/>
    <w:rPr>
      <w:i/>
      <w:iCs/>
      <w:caps/>
      <w:spacing w:val="10"/>
      <w:sz w:val="20"/>
      <w:szCs w:val="20"/>
    </w:rPr>
  </w:style>
  <w:style w:type="paragraph" w:styleId="Caption">
    <w:name w:val="caption"/>
    <w:basedOn w:val="Normal"/>
    <w:next w:val="Normal"/>
    <w:uiPriority w:val="35"/>
    <w:semiHidden/>
    <w:unhideWhenUsed/>
    <w:qFormat/>
    <w:rsid w:val="00D71C45"/>
    <w:rPr>
      <w:caps/>
      <w:spacing w:val="10"/>
      <w:sz w:val="18"/>
      <w:szCs w:val="18"/>
    </w:rPr>
  </w:style>
  <w:style w:type="paragraph" w:styleId="Title">
    <w:name w:val="Title"/>
    <w:basedOn w:val="Normal"/>
    <w:next w:val="Normal"/>
    <w:link w:val="TitleChar"/>
    <w:uiPriority w:val="10"/>
    <w:qFormat/>
    <w:rsid w:val="00D71C4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71C45"/>
    <w:rPr>
      <w:caps/>
      <w:color w:val="632423" w:themeColor="accent2" w:themeShade="80"/>
      <w:spacing w:val="50"/>
      <w:sz w:val="44"/>
      <w:szCs w:val="44"/>
    </w:rPr>
  </w:style>
  <w:style w:type="paragraph" w:styleId="Subtitle">
    <w:name w:val="Subtitle"/>
    <w:basedOn w:val="Normal"/>
    <w:next w:val="Normal"/>
    <w:link w:val="SubtitleChar"/>
    <w:uiPriority w:val="11"/>
    <w:qFormat/>
    <w:rsid w:val="00D71C4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71C45"/>
    <w:rPr>
      <w:caps/>
      <w:spacing w:val="20"/>
      <w:sz w:val="18"/>
      <w:szCs w:val="18"/>
    </w:rPr>
  </w:style>
  <w:style w:type="character" w:styleId="Strong">
    <w:name w:val="Strong"/>
    <w:uiPriority w:val="22"/>
    <w:qFormat/>
    <w:rsid w:val="00D71C45"/>
    <w:rPr>
      <w:b/>
      <w:bCs/>
      <w:color w:val="943634" w:themeColor="accent2" w:themeShade="BF"/>
      <w:spacing w:val="5"/>
    </w:rPr>
  </w:style>
  <w:style w:type="character" w:styleId="Emphasis">
    <w:name w:val="Emphasis"/>
    <w:uiPriority w:val="20"/>
    <w:qFormat/>
    <w:rsid w:val="00D71C45"/>
    <w:rPr>
      <w:caps/>
      <w:spacing w:val="5"/>
      <w:sz w:val="20"/>
      <w:szCs w:val="20"/>
    </w:rPr>
  </w:style>
  <w:style w:type="character" w:customStyle="1" w:styleId="NoSpacingChar">
    <w:name w:val="No Spacing Char"/>
    <w:basedOn w:val="DefaultParagraphFont"/>
    <w:link w:val="NoSpacing"/>
    <w:uiPriority w:val="1"/>
    <w:rsid w:val="00113106"/>
    <w:rPr>
      <w:rFonts w:ascii="Times New Roman" w:hAnsi="Times New Roman"/>
      <w:sz w:val="24"/>
    </w:rPr>
  </w:style>
  <w:style w:type="paragraph" w:styleId="Quote">
    <w:name w:val="Quote"/>
    <w:basedOn w:val="Normal"/>
    <w:next w:val="Normal"/>
    <w:link w:val="QuoteChar"/>
    <w:uiPriority w:val="29"/>
    <w:qFormat/>
    <w:rsid w:val="00D71C45"/>
    <w:rPr>
      <w:i/>
      <w:iCs/>
    </w:rPr>
  </w:style>
  <w:style w:type="character" w:customStyle="1" w:styleId="QuoteChar">
    <w:name w:val="Quote Char"/>
    <w:basedOn w:val="DefaultParagraphFont"/>
    <w:link w:val="Quote"/>
    <w:uiPriority w:val="29"/>
    <w:rsid w:val="00D71C45"/>
    <w:rPr>
      <w:i/>
      <w:iCs/>
    </w:rPr>
  </w:style>
  <w:style w:type="paragraph" w:styleId="IntenseQuote">
    <w:name w:val="Intense Quote"/>
    <w:basedOn w:val="Normal"/>
    <w:next w:val="Normal"/>
    <w:link w:val="IntenseQuoteChar"/>
    <w:uiPriority w:val="30"/>
    <w:qFormat/>
    <w:rsid w:val="00D71C4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71C45"/>
    <w:rPr>
      <w:caps/>
      <w:color w:val="622423" w:themeColor="accent2" w:themeShade="7F"/>
      <w:spacing w:val="5"/>
      <w:sz w:val="20"/>
      <w:szCs w:val="20"/>
    </w:rPr>
  </w:style>
  <w:style w:type="character" w:styleId="SubtleEmphasis">
    <w:name w:val="Subtle Emphasis"/>
    <w:uiPriority w:val="19"/>
    <w:qFormat/>
    <w:rsid w:val="00D71C45"/>
    <w:rPr>
      <w:i/>
      <w:iCs/>
    </w:rPr>
  </w:style>
  <w:style w:type="character" w:styleId="IntenseEmphasis">
    <w:name w:val="Intense Emphasis"/>
    <w:uiPriority w:val="21"/>
    <w:qFormat/>
    <w:rsid w:val="00D71C45"/>
    <w:rPr>
      <w:i/>
      <w:iCs/>
      <w:caps/>
      <w:spacing w:val="10"/>
      <w:sz w:val="20"/>
      <w:szCs w:val="20"/>
    </w:rPr>
  </w:style>
  <w:style w:type="character" w:styleId="SubtleReference">
    <w:name w:val="Subtle Reference"/>
    <w:basedOn w:val="DefaultParagraphFont"/>
    <w:uiPriority w:val="31"/>
    <w:qFormat/>
    <w:rsid w:val="00D71C4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71C4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71C45"/>
    <w:rPr>
      <w:caps/>
      <w:color w:val="622423" w:themeColor="accent2" w:themeShade="7F"/>
      <w:spacing w:val="5"/>
      <w:u w:color="622423" w:themeColor="accent2" w:themeShade="7F"/>
    </w:rPr>
  </w:style>
  <w:style w:type="paragraph" w:customStyle="1" w:styleId="Default">
    <w:name w:val="Default"/>
    <w:rsid w:val="003A1509"/>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character" w:customStyle="1" w:styleId="bodytext0">
    <w:name w:val="bodytext"/>
    <w:basedOn w:val="DefaultParagraphFont"/>
    <w:rsid w:val="00D91E0D"/>
    <w:rPr>
      <w:sz w:val="17"/>
      <w:szCs w:val="17"/>
    </w:rPr>
  </w:style>
  <w:style w:type="character" w:customStyle="1" w:styleId="divisionheadertext3">
    <w:name w:val="divisionheadertext3"/>
    <w:basedOn w:val="DefaultParagraphFont"/>
    <w:rsid w:val="00D91E0D"/>
    <w:rPr>
      <w:rFonts w:ascii="Arial" w:hAnsi="Arial" w:cs="Arial" w:hint="default"/>
      <w:b w:val="0"/>
      <w:bCs w:val="0"/>
      <w:i w:val="0"/>
      <w:iCs w:val="0"/>
      <w:strike w:val="0"/>
      <w:dstrike w:val="0"/>
      <w:color w:val="000000"/>
      <w:sz w:val="27"/>
      <w:szCs w:val="27"/>
      <w:u w:val="none"/>
      <w:effect w:val="none"/>
    </w:rPr>
  </w:style>
  <w:style w:type="paragraph" w:styleId="PlainText">
    <w:name w:val="Plain Text"/>
    <w:basedOn w:val="Normal"/>
    <w:link w:val="PlainTextChar"/>
    <w:uiPriority w:val="99"/>
    <w:unhideWhenUsed/>
    <w:rsid w:val="006829EA"/>
    <w:pPr>
      <w:spacing w:after="0" w:line="240" w:lineRule="auto"/>
    </w:pPr>
    <w:rPr>
      <w:rFonts w:ascii="Calibri" w:eastAsiaTheme="minorHAnsi" w:hAnsi="Calibri" w:cs="Times New Roman"/>
      <w:sz w:val="22"/>
    </w:rPr>
  </w:style>
  <w:style w:type="character" w:customStyle="1" w:styleId="PlainTextChar">
    <w:name w:val="Plain Text Char"/>
    <w:basedOn w:val="DefaultParagraphFont"/>
    <w:link w:val="PlainText"/>
    <w:uiPriority w:val="99"/>
    <w:rsid w:val="006829EA"/>
    <w:rPr>
      <w:rFonts w:ascii="Calibri" w:eastAsiaTheme="minorHAnsi" w:hAnsi="Calibri" w:cs="Times New Roman"/>
    </w:rPr>
  </w:style>
  <w:style w:type="table" w:customStyle="1" w:styleId="TableGrid1">
    <w:name w:val="Table Grid1"/>
    <w:basedOn w:val="TableNormal"/>
    <w:next w:val="TableGrid"/>
    <w:uiPriority w:val="59"/>
    <w:rsid w:val="00BA7E31"/>
    <w:pPr>
      <w:widowControl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F0D93"/>
    <w:pPr>
      <w:spacing w:after="100"/>
      <w:ind w:left="240"/>
    </w:pPr>
  </w:style>
  <w:style w:type="character" w:styleId="UnresolvedMention">
    <w:name w:val="Unresolved Mention"/>
    <w:basedOn w:val="DefaultParagraphFont"/>
    <w:uiPriority w:val="99"/>
    <w:semiHidden/>
    <w:unhideWhenUsed/>
    <w:rsid w:val="00C8533D"/>
    <w:rPr>
      <w:color w:val="808080"/>
      <w:shd w:val="clear" w:color="auto" w:fill="E6E6E6"/>
    </w:rPr>
  </w:style>
  <w:style w:type="paragraph" w:customStyle="1" w:styleId="ng-scope">
    <w:name w:val="ng-scope"/>
    <w:basedOn w:val="Normal"/>
    <w:rsid w:val="00BD2335"/>
    <w:pPr>
      <w:spacing w:before="100" w:beforeAutospacing="1" w:after="100" w:afterAutospacing="1" w:line="240" w:lineRule="auto"/>
    </w:pPr>
    <w:rPr>
      <w:rFonts w:eastAsia="Times New Roman" w:cs="Times New Roman"/>
      <w:szCs w:val="24"/>
    </w:rPr>
  </w:style>
  <w:style w:type="character" w:customStyle="1" w:styleId="ListParagraphChar">
    <w:name w:val="List Paragraph Char"/>
    <w:link w:val="ListParagraph"/>
    <w:uiPriority w:val="34"/>
    <w:locked/>
    <w:rsid w:val="00B06081"/>
    <w:rPr>
      <w:rFonts w:ascii="Times New Roman" w:hAnsi="Times New Roman"/>
      <w:sz w:val="24"/>
    </w:rPr>
  </w:style>
  <w:style w:type="paragraph" w:styleId="TOC3">
    <w:name w:val="toc 3"/>
    <w:basedOn w:val="Normal"/>
    <w:next w:val="Normal"/>
    <w:autoRedefine/>
    <w:uiPriority w:val="39"/>
    <w:unhideWhenUsed/>
    <w:rsid w:val="00A47A5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2323">
      <w:bodyDiv w:val="1"/>
      <w:marLeft w:val="0"/>
      <w:marRight w:val="0"/>
      <w:marTop w:val="0"/>
      <w:marBottom w:val="0"/>
      <w:divBdr>
        <w:top w:val="none" w:sz="0" w:space="0" w:color="auto"/>
        <w:left w:val="none" w:sz="0" w:space="0" w:color="auto"/>
        <w:bottom w:val="none" w:sz="0" w:space="0" w:color="auto"/>
        <w:right w:val="none" w:sz="0" w:space="0" w:color="auto"/>
      </w:divBdr>
    </w:div>
    <w:div w:id="118257932">
      <w:bodyDiv w:val="1"/>
      <w:marLeft w:val="0"/>
      <w:marRight w:val="0"/>
      <w:marTop w:val="0"/>
      <w:marBottom w:val="0"/>
      <w:divBdr>
        <w:top w:val="none" w:sz="0" w:space="0" w:color="auto"/>
        <w:left w:val="none" w:sz="0" w:space="0" w:color="auto"/>
        <w:bottom w:val="none" w:sz="0" w:space="0" w:color="auto"/>
        <w:right w:val="none" w:sz="0" w:space="0" w:color="auto"/>
      </w:divBdr>
    </w:div>
    <w:div w:id="118846020">
      <w:bodyDiv w:val="1"/>
      <w:marLeft w:val="0"/>
      <w:marRight w:val="0"/>
      <w:marTop w:val="0"/>
      <w:marBottom w:val="0"/>
      <w:divBdr>
        <w:top w:val="none" w:sz="0" w:space="0" w:color="auto"/>
        <w:left w:val="none" w:sz="0" w:space="0" w:color="auto"/>
        <w:bottom w:val="none" w:sz="0" w:space="0" w:color="auto"/>
        <w:right w:val="none" w:sz="0" w:space="0" w:color="auto"/>
      </w:divBdr>
    </w:div>
    <w:div w:id="154079540">
      <w:bodyDiv w:val="1"/>
      <w:marLeft w:val="0"/>
      <w:marRight w:val="0"/>
      <w:marTop w:val="0"/>
      <w:marBottom w:val="0"/>
      <w:divBdr>
        <w:top w:val="none" w:sz="0" w:space="0" w:color="auto"/>
        <w:left w:val="none" w:sz="0" w:space="0" w:color="auto"/>
        <w:bottom w:val="none" w:sz="0" w:space="0" w:color="auto"/>
        <w:right w:val="none" w:sz="0" w:space="0" w:color="auto"/>
      </w:divBdr>
    </w:div>
    <w:div w:id="216936123">
      <w:bodyDiv w:val="1"/>
      <w:marLeft w:val="0"/>
      <w:marRight w:val="0"/>
      <w:marTop w:val="0"/>
      <w:marBottom w:val="0"/>
      <w:divBdr>
        <w:top w:val="none" w:sz="0" w:space="0" w:color="auto"/>
        <w:left w:val="none" w:sz="0" w:space="0" w:color="auto"/>
        <w:bottom w:val="none" w:sz="0" w:space="0" w:color="auto"/>
        <w:right w:val="none" w:sz="0" w:space="0" w:color="auto"/>
      </w:divBdr>
    </w:div>
    <w:div w:id="217403930">
      <w:bodyDiv w:val="1"/>
      <w:marLeft w:val="0"/>
      <w:marRight w:val="0"/>
      <w:marTop w:val="0"/>
      <w:marBottom w:val="0"/>
      <w:divBdr>
        <w:top w:val="none" w:sz="0" w:space="0" w:color="auto"/>
        <w:left w:val="none" w:sz="0" w:space="0" w:color="auto"/>
        <w:bottom w:val="none" w:sz="0" w:space="0" w:color="auto"/>
        <w:right w:val="none" w:sz="0" w:space="0" w:color="auto"/>
      </w:divBdr>
    </w:div>
    <w:div w:id="219948072">
      <w:bodyDiv w:val="1"/>
      <w:marLeft w:val="0"/>
      <w:marRight w:val="0"/>
      <w:marTop w:val="0"/>
      <w:marBottom w:val="0"/>
      <w:divBdr>
        <w:top w:val="none" w:sz="0" w:space="0" w:color="auto"/>
        <w:left w:val="none" w:sz="0" w:space="0" w:color="auto"/>
        <w:bottom w:val="none" w:sz="0" w:space="0" w:color="auto"/>
        <w:right w:val="none" w:sz="0" w:space="0" w:color="auto"/>
      </w:divBdr>
    </w:div>
    <w:div w:id="233248277">
      <w:bodyDiv w:val="1"/>
      <w:marLeft w:val="0"/>
      <w:marRight w:val="0"/>
      <w:marTop w:val="0"/>
      <w:marBottom w:val="0"/>
      <w:divBdr>
        <w:top w:val="none" w:sz="0" w:space="0" w:color="auto"/>
        <w:left w:val="none" w:sz="0" w:space="0" w:color="auto"/>
        <w:bottom w:val="none" w:sz="0" w:space="0" w:color="auto"/>
        <w:right w:val="none" w:sz="0" w:space="0" w:color="auto"/>
      </w:divBdr>
    </w:div>
    <w:div w:id="278223682">
      <w:bodyDiv w:val="1"/>
      <w:marLeft w:val="0"/>
      <w:marRight w:val="0"/>
      <w:marTop w:val="0"/>
      <w:marBottom w:val="0"/>
      <w:divBdr>
        <w:top w:val="none" w:sz="0" w:space="0" w:color="auto"/>
        <w:left w:val="none" w:sz="0" w:space="0" w:color="auto"/>
        <w:bottom w:val="none" w:sz="0" w:space="0" w:color="auto"/>
        <w:right w:val="none" w:sz="0" w:space="0" w:color="auto"/>
      </w:divBdr>
    </w:div>
    <w:div w:id="322777250">
      <w:bodyDiv w:val="1"/>
      <w:marLeft w:val="0"/>
      <w:marRight w:val="0"/>
      <w:marTop w:val="0"/>
      <w:marBottom w:val="0"/>
      <w:divBdr>
        <w:top w:val="none" w:sz="0" w:space="0" w:color="auto"/>
        <w:left w:val="none" w:sz="0" w:space="0" w:color="auto"/>
        <w:bottom w:val="none" w:sz="0" w:space="0" w:color="auto"/>
        <w:right w:val="none" w:sz="0" w:space="0" w:color="auto"/>
      </w:divBdr>
    </w:div>
    <w:div w:id="336155522">
      <w:bodyDiv w:val="1"/>
      <w:marLeft w:val="0"/>
      <w:marRight w:val="0"/>
      <w:marTop w:val="0"/>
      <w:marBottom w:val="0"/>
      <w:divBdr>
        <w:top w:val="none" w:sz="0" w:space="0" w:color="auto"/>
        <w:left w:val="none" w:sz="0" w:space="0" w:color="auto"/>
        <w:bottom w:val="none" w:sz="0" w:space="0" w:color="auto"/>
        <w:right w:val="none" w:sz="0" w:space="0" w:color="auto"/>
      </w:divBdr>
    </w:div>
    <w:div w:id="340664015">
      <w:bodyDiv w:val="1"/>
      <w:marLeft w:val="0"/>
      <w:marRight w:val="0"/>
      <w:marTop w:val="0"/>
      <w:marBottom w:val="0"/>
      <w:divBdr>
        <w:top w:val="none" w:sz="0" w:space="0" w:color="auto"/>
        <w:left w:val="none" w:sz="0" w:space="0" w:color="auto"/>
        <w:bottom w:val="none" w:sz="0" w:space="0" w:color="auto"/>
        <w:right w:val="none" w:sz="0" w:space="0" w:color="auto"/>
      </w:divBdr>
    </w:div>
    <w:div w:id="361706831">
      <w:bodyDiv w:val="1"/>
      <w:marLeft w:val="0"/>
      <w:marRight w:val="0"/>
      <w:marTop w:val="0"/>
      <w:marBottom w:val="0"/>
      <w:divBdr>
        <w:top w:val="none" w:sz="0" w:space="0" w:color="auto"/>
        <w:left w:val="none" w:sz="0" w:space="0" w:color="auto"/>
        <w:bottom w:val="none" w:sz="0" w:space="0" w:color="auto"/>
        <w:right w:val="none" w:sz="0" w:space="0" w:color="auto"/>
      </w:divBdr>
    </w:div>
    <w:div w:id="374163442">
      <w:bodyDiv w:val="1"/>
      <w:marLeft w:val="0"/>
      <w:marRight w:val="0"/>
      <w:marTop w:val="0"/>
      <w:marBottom w:val="0"/>
      <w:divBdr>
        <w:top w:val="none" w:sz="0" w:space="0" w:color="auto"/>
        <w:left w:val="none" w:sz="0" w:space="0" w:color="auto"/>
        <w:bottom w:val="none" w:sz="0" w:space="0" w:color="auto"/>
        <w:right w:val="none" w:sz="0" w:space="0" w:color="auto"/>
      </w:divBdr>
    </w:div>
    <w:div w:id="385180797">
      <w:bodyDiv w:val="1"/>
      <w:marLeft w:val="0"/>
      <w:marRight w:val="0"/>
      <w:marTop w:val="0"/>
      <w:marBottom w:val="0"/>
      <w:divBdr>
        <w:top w:val="none" w:sz="0" w:space="0" w:color="auto"/>
        <w:left w:val="none" w:sz="0" w:space="0" w:color="auto"/>
        <w:bottom w:val="none" w:sz="0" w:space="0" w:color="auto"/>
        <w:right w:val="none" w:sz="0" w:space="0" w:color="auto"/>
      </w:divBdr>
    </w:div>
    <w:div w:id="401678093">
      <w:bodyDiv w:val="1"/>
      <w:marLeft w:val="0"/>
      <w:marRight w:val="0"/>
      <w:marTop w:val="0"/>
      <w:marBottom w:val="0"/>
      <w:divBdr>
        <w:top w:val="none" w:sz="0" w:space="0" w:color="auto"/>
        <w:left w:val="none" w:sz="0" w:space="0" w:color="auto"/>
        <w:bottom w:val="none" w:sz="0" w:space="0" w:color="auto"/>
        <w:right w:val="none" w:sz="0" w:space="0" w:color="auto"/>
      </w:divBdr>
    </w:div>
    <w:div w:id="422259228">
      <w:bodyDiv w:val="1"/>
      <w:marLeft w:val="0"/>
      <w:marRight w:val="0"/>
      <w:marTop w:val="0"/>
      <w:marBottom w:val="0"/>
      <w:divBdr>
        <w:top w:val="none" w:sz="0" w:space="0" w:color="auto"/>
        <w:left w:val="none" w:sz="0" w:space="0" w:color="auto"/>
        <w:bottom w:val="none" w:sz="0" w:space="0" w:color="auto"/>
        <w:right w:val="none" w:sz="0" w:space="0" w:color="auto"/>
      </w:divBdr>
    </w:div>
    <w:div w:id="511801452">
      <w:bodyDiv w:val="1"/>
      <w:marLeft w:val="0"/>
      <w:marRight w:val="0"/>
      <w:marTop w:val="0"/>
      <w:marBottom w:val="0"/>
      <w:divBdr>
        <w:top w:val="none" w:sz="0" w:space="0" w:color="auto"/>
        <w:left w:val="none" w:sz="0" w:space="0" w:color="auto"/>
        <w:bottom w:val="none" w:sz="0" w:space="0" w:color="auto"/>
        <w:right w:val="none" w:sz="0" w:space="0" w:color="auto"/>
      </w:divBdr>
    </w:div>
    <w:div w:id="537008506">
      <w:bodyDiv w:val="1"/>
      <w:marLeft w:val="0"/>
      <w:marRight w:val="0"/>
      <w:marTop w:val="0"/>
      <w:marBottom w:val="0"/>
      <w:divBdr>
        <w:top w:val="none" w:sz="0" w:space="0" w:color="auto"/>
        <w:left w:val="none" w:sz="0" w:space="0" w:color="auto"/>
        <w:bottom w:val="none" w:sz="0" w:space="0" w:color="auto"/>
        <w:right w:val="none" w:sz="0" w:space="0" w:color="auto"/>
      </w:divBdr>
    </w:div>
    <w:div w:id="548347532">
      <w:bodyDiv w:val="1"/>
      <w:marLeft w:val="0"/>
      <w:marRight w:val="0"/>
      <w:marTop w:val="0"/>
      <w:marBottom w:val="0"/>
      <w:divBdr>
        <w:top w:val="none" w:sz="0" w:space="0" w:color="auto"/>
        <w:left w:val="none" w:sz="0" w:space="0" w:color="auto"/>
        <w:bottom w:val="none" w:sz="0" w:space="0" w:color="auto"/>
        <w:right w:val="none" w:sz="0" w:space="0" w:color="auto"/>
      </w:divBdr>
    </w:div>
    <w:div w:id="571046399">
      <w:bodyDiv w:val="1"/>
      <w:marLeft w:val="0"/>
      <w:marRight w:val="0"/>
      <w:marTop w:val="0"/>
      <w:marBottom w:val="0"/>
      <w:divBdr>
        <w:top w:val="none" w:sz="0" w:space="0" w:color="auto"/>
        <w:left w:val="none" w:sz="0" w:space="0" w:color="auto"/>
        <w:bottom w:val="none" w:sz="0" w:space="0" w:color="auto"/>
        <w:right w:val="none" w:sz="0" w:space="0" w:color="auto"/>
      </w:divBdr>
    </w:div>
    <w:div w:id="627247275">
      <w:bodyDiv w:val="1"/>
      <w:marLeft w:val="0"/>
      <w:marRight w:val="0"/>
      <w:marTop w:val="0"/>
      <w:marBottom w:val="0"/>
      <w:divBdr>
        <w:top w:val="none" w:sz="0" w:space="0" w:color="auto"/>
        <w:left w:val="none" w:sz="0" w:space="0" w:color="auto"/>
        <w:bottom w:val="none" w:sz="0" w:space="0" w:color="auto"/>
        <w:right w:val="none" w:sz="0" w:space="0" w:color="auto"/>
      </w:divBdr>
    </w:div>
    <w:div w:id="655187533">
      <w:bodyDiv w:val="1"/>
      <w:marLeft w:val="0"/>
      <w:marRight w:val="0"/>
      <w:marTop w:val="0"/>
      <w:marBottom w:val="0"/>
      <w:divBdr>
        <w:top w:val="none" w:sz="0" w:space="0" w:color="auto"/>
        <w:left w:val="none" w:sz="0" w:space="0" w:color="auto"/>
        <w:bottom w:val="none" w:sz="0" w:space="0" w:color="auto"/>
        <w:right w:val="none" w:sz="0" w:space="0" w:color="auto"/>
      </w:divBdr>
    </w:div>
    <w:div w:id="657415830">
      <w:bodyDiv w:val="1"/>
      <w:marLeft w:val="0"/>
      <w:marRight w:val="0"/>
      <w:marTop w:val="0"/>
      <w:marBottom w:val="0"/>
      <w:divBdr>
        <w:top w:val="none" w:sz="0" w:space="0" w:color="auto"/>
        <w:left w:val="none" w:sz="0" w:space="0" w:color="auto"/>
        <w:bottom w:val="none" w:sz="0" w:space="0" w:color="auto"/>
        <w:right w:val="none" w:sz="0" w:space="0" w:color="auto"/>
      </w:divBdr>
    </w:div>
    <w:div w:id="689112553">
      <w:bodyDiv w:val="1"/>
      <w:marLeft w:val="0"/>
      <w:marRight w:val="0"/>
      <w:marTop w:val="0"/>
      <w:marBottom w:val="0"/>
      <w:divBdr>
        <w:top w:val="none" w:sz="0" w:space="0" w:color="auto"/>
        <w:left w:val="none" w:sz="0" w:space="0" w:color="auto"/>
        <w:bottom w:val="none" w:sz="0" w:space="0" w:color="auto"/>
        <w:right w:val="none" w:sz="0" w:space="0" w:color="auto"/>
      </w:divBdr>
    </w:div>
    <w:div w:id="693923075">
      <w:bodyDiv w:val="1"/>
      <w:marLeft w:val="0"/>
      <w:marRight w:val="0"/>
      <w:marTop w:val="0"/>
      <w:marBottom w:val="0"/>
      <w:divBdr>
        <w:top w:val="none" w:sz="0" w:space="0" w:color="auto"/>
        <w:left w:val="none" w:sz="0" w:space="0" w:color="auto"/>
        <w:bottom w:val="none" w:sz="0" w:space="0" w:color="auto"/>
        <w:right w:val="none" w:sz="0" w:space="0" w:color="auto"/>
      </w:divBdr>
    </w:div>
    <w:div w:id="696741182">
      <w:bodyDiv w:val="1"/>
      <w:marLeft w:val="0"/>
      <w:marRight w:val="0"/>
      <w:marTop w:val="0"/>
      <w:marBottom w:val="0"/>
      <w:divBdr>
        <w:top w:val="none" w:sz="0" w:space="0" w:color="auto"/>
        <w:left w:val="none" w:sz="0" w:space="0" w:color="auto"/>
        <w:bottom w:val="none" w:sz="0" w:space="0" w:color="auto"/>
        <w:right w:val="none" w:sz="0" w:space="0" w:color="auto"/>
      </w:divBdr>
    </w:div>
    <w:div w:id="725954091">
      <w:bodyDiv w:val="1"/>
      <w:marLeft w:val="0"/>
      <w:marRight w:val="0"/>
      <w:marTop w:val="0"/>
      <w:marBottom w:val="0"/>
      <w:divBdr>
        <w:top w:val="none" w:sz="0" w:space="0" w:color="auto"/>
        <w:left w:val="none" w:sz="0" w:space="0" w:color="auto"/>
        <w:bottom w:val="none" w:sz="0" w:space="0" w:color="auto"/>
        <w:right w:val="none" w:sz="0" w:space="0" w:color="auto"/>
      </w:divBdr>
    </w:div>
    <w:div w:id="762065535">
      <w:bodyDiv w:val="1"/>
      <w:marLeft w:val="0"/>
      <w:marRight w:val="0"/>
      <w:marTop w:val="0"/>
      <w:marBottom w:val="0"/>
      <w:divBdr>
        <w:top w:val="none" w:sz="0" w:space="0" w:color="auto"/>
        <w:left w:val="none" w:sz="0" w:space="0" w:color="auto"/>
        <w:bottom w:val="none" w:sz="0" w:space="0" w:color="auto"/>
        <w:right w:val="none" w:sz="0" w:space="0" w:color="auto"/>
      </w:divBdr>
    </w:div>
    <w:div w:id="776754808">
      <w:bodyDiv w:val="1"/>
      <w:marLeft w:val="0"/>
      <w:marRight w:val="0"/>
      <w:marTop w:val="0"/>
      <w:marBottom w:val="0"/>
      <w:divBdr>
        <w:top w:val="none" w:sz="0" w:space="0" w:color="auto"/>
        <w:left w:val="none" w:sz="0" w:space="0" w:color="auto"/>
        <w:bottom w:val="none" w:sz="0" w:space="0" w:color="auto"/>
        <w:right w:val="none" w:sz="0" w:space="0" w:color="auto"/>
      </w:divBdr>
    </w:div>
    <w:div w:id="789714167">
      <w:bodyDiv w:val="1"/>
      <w:marLeft w:val="0"/>
      <w:marRight w:val="0"/>
      <w:marTop w:val="0"/>
      <w:marBottom w:val="0"/>
      <w:divBdr>
        <w:top w:val="none" w:sz="0" w:space="0" w:color="auto"/>
        <w:left w:val="none" w:sz="0" w:space="0" w:color="auto"/>
        <w:bottom w:val="none" w:sz="0" w:space="0" w:color="auto"/>
        <w:right w:val="none" w:sz="0" w:space="0" w:color="auto"/>
      </w:divBdr>
    </w:div>
    <w:div w:id="799495312">
      <w:bodyDiv w:val="1"/>
      <w:marLeft w:val="0"/>
      <w:marRight w:val="0"/>
      <w:marTop w:val="0"/>
      <w:marBottom w:val="0"/>
      <w:divBdr>
        <w:top w:val="none" w:sz="0" w:space="0" w:color="auto"/>
        <w:left w:val="none" w:sz="0" w:space="0" w:color="auto"/>
        <w:bottom w:val="none" w:sz="0" w:space="0" w:color="auto"/>
        <w:right w:val="none" w:sz="0" w:space="0" w:color="auto"/>
      </w:divBdr>
    </w:div>
    <w:div w:id="806358553">
      <w:bodyDiv w:val="1"/>
      <w:marLeft w:val="0"/>
      <w:marRight w:val="0"/>
      <w:marTop w:val="0"/>
      <w:marBottom w:val="0"/>
      <w:divBdr>
        <w:top w:val="none" w:sz="0" w:space="0" w:color="auto"/>
        <w:left w:val="none" w:sz="0" w:space="0" w:color="auto"/>
        <w:bottom w:val="none" w:sz="0" w:space="0" w:color="auto"/>
        <w:right w:val="none" w:sz="0" w:space="0" w:color="auto"/>
      </w:divBdr>
    </w:div>
    <w:div w:id="846867800">
      <w:bodyDiv w:val="1"/>
      <w:marLeft w:val="0"/>
      <w:marRight w:val="0"/>
      <w:marTop w:val="0"/>
      <w:marBottom w:val="0"/>
      <w:divBdr>
        <w:top w:val="none" w:sz="0" w:space="0" w:color="auto"/>
        <w:left w:val="none" w:sz="0" w:space="0" w:color="auto"/>
        <w:bottom w:val="none" w:sz="0" w:space="0" w:color="auto"/>
        <w:right w:val="none" w:sz="0" w:space="0" w:color="auto"/>
      </w:divBdr>
    </w:div>
    <w:div w:id="869879895">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24218113">
      <w:bodyDiv w:val="1"/>
      <w:marLeft w:val="0"/>
      <w:marRight w:val="0"/>
      <w:marTop w:val="0"/>
      <w:marBottom w:val="0"/>
      <w:divBdr>
        <w:top w:val="none" w:sz="0" w:space="0" w:color="auto"/>
        <w:left w:val="none" w:sz="0" w:space="0" w:color="auto"/>
        <w:bottom w:val="none" w:sz="0" w:space="0" w:color="auto"/>
        <w:right w:val="none" w:sz="0" w:space="0" w:color="auto"/>
      </w:divBdr>
    </w:div>
    <w:div w:id="929044590">
      <w:bodyDiv w:val="1"/>
      <w:marLeft w:val="0"/>
      <w:marRight w:val="0"/>
      <w:marTop w:val="0"/>
      <w:marBottom w:val="0"/>
      <w:divBdr>
        <w:top w:val="none" w:sz="0" w:space="0" w:color="auto"/>
        <w:left w:val="none" w:sz="0" w:space="0" w:color="auto"/>
        <w:bottom w:val="none" w:sz="0" w:space="0" w:color="auto"/>
        <w:right w:val="none" w:sz="0" w:space="0" w:color="auto"/>
      </w:divBdr>
    </w:div>
    <w:div w:id="939487105">
      <w:bodyDiv w:val="1"/>
      <w:marLeft w:val="0"/>
      <w:marRight w:val="0"/>
      <w:marTop w:val="0"/>
      <w:marBottom w:val="0"/>
      <w:divBdr>
        <w:top w:val="none" w:sz="0" w:space="0" w:color="auto"/>
        <w:left w:val="none" w:sz="0" w:space="0" w:color="auto"/>
        <w:bottom w:val="none" w:sz="0" w:space="0" w:color="auto"/>
        <w:right w:val="none" w:sz="0" w:space="0" w:color="auto"/>
      </w:divBdr>
    </w:div>
    <w:div w:id="939797321">
      <w:bodyDiv w:val="1"/>
      <w:marLeft w:val="0"/>
      <w:marRight w:val="0"/>
      <w:marTop w:val="0"/>
      <w:marBottom w:val="0"/>
      <w:divBdr>
        <w:top w:val="none" w:sz="0" w:space="0" w:color="auto"/>
        <w:left w:val="none" w:sz="0" w:space="0" w:color="auto"/>
        <w:bottom w:val="none" w:sz="0" w:space="0" w:color="auto"/>
        <w:right w:val="none" w:sz="0" w:space="0" w:color="auto"/>
      </w:divBdr>
    </w:div>
    <w:div w:id="952251253">
      <w:bodyDiv w:val="1"/>
      <w:marLeft w:val="0"/>
      <w:marRight w:val="0"/>
      <w:marTop w:val="0"/>
      <w:marBottom w:val="0"/>
      <w:divBdr>
        <w:top w:val="none" w:sz="0" w:space="0" w:color="auto"/>
        <w:left w:val="none" w:sz="0" w:space="0" w:color="auto"/>
        <w:bottom w:val="none" w:sz="0" w:space="0" w:color="auto"/>
        <w:right w:val="none" w:sz="0" w:space="0" w:color="auto"/>
      </w:divBdr>
    </w:div>
    <w:div w:id="952439402">
      <w:bodyDiv w:val="1"/>
      <w:marLeft w:val="0"/>
      <w:marRight w:val="0"/>
      <w:marTop w:val="0"/>
      <w:marBottom w:val="0"/>
      <w:divBdr>
        <w:top w:val="none" w:sz="0" w:space="0" w:color="auto"/>
        <w:left w:val="none" w:sz="0" w:space="0" w:color="auto"/>
        <w:bottom w:val="none" w:sz="0" w:space="0" w:color="auto"/>
        <w:right w:val="none" w:sz="0" w:space="0" w:color="auto"/>
      </w:divBdr>
    </w:div>
    <w:div w:id="963460338">
      <w:bodyDiv w:val="1"/>
      <w:marLeft w:val="0"/>
      <w:marRight w:val="0"/>
      <w:marTop w:val="0"/>
      <w:marBottom w:val="0"/>
      <w:divBdr>
        <w:top w:val="none" w:sz="0" w:space="0" w:color="auto"/>
        <w:left w:val="none" w:sz="0" w:space="0" w:color="auto"/>
        <w:bottom w:val="none" w:sz="0" w:space="0" w:color="auto"/>
        <w:right w:val="none" w:sz="0" w:space="0" w:color="auto"/>
      </w:divBdr>
    </w:div>
    <w:div w:id="976766563">
      <w:bodyDiv w:val="1"/>
      <w:marLeft w:val="0"/>
      <w:marRight w:val="0"/>
      <w:marTop w:val="0"/>
      <w:marBottom w:val="0"/>
      <w:divBdr>
        <w:top w:val="none" w:sz="0" w:space="0" w:color="auto"/>
        <w:left w:val="none" w:sz="0" w:space="0" w:color="auto"/>
        <w:bottom w:val="none" w:sz="0" w:space="0" w:color="auto"/>
        <w:right w:val="none" w:sz="0" w:space="0" w:color="auto"/>
      </w:divBdr>
    </w:div>
    <w:div w:id="978993673">
      <w:bodyDiv w:val="1"/>
      <w:marLeft w:val="0"/>
      <w:marRight w:val="0"/>
      <w:marTop w:val="0"/>
      <w:marBottom w:val="0"/>
      <w:divBdr>
        <w:top w:val="none" w:sz="0" w:space="0" w:color="auto"/>
        <w:left w:val="none" w:sz="0" w:space="0" w:color="auto"/>
        <w:bottom w:val="none" w:sz="0" w:space="0" w:color="auto"/>
        <w:right w:val="none" w:sz="0" w:space="0" w:color="auto"/>
      </w:divBdr>
    </w:div>
    <w:div w:id="990331005">
      <w:bodyDiv w:val="1"/>
      <w:marLeft w:val="0"/>
      <w:marRight w:val="0"/>
      <w:marTop w:val="0"/>
      <w:marBottom w:val="0"/>
      <w:divBdr>
        <w:top w:val="none" w:sz="0" w:space="0" w:color="auto"/>
        <w:left w:val="none" w:sz="0" w:space="0" w:color="auto"/>
        <w:bottom w:val="none" w:sz="0" w:space="0" w:color="auto"/>
        <w:right w:val="none" w:sz="0" w:space="0" w:color="auto"/>
      </w:divBdr>
    </w:div>
    <w:div w:id="1018695956">
      <w:bodyDiv w:val="1"/>
      <w:marLeft w:val="0"/>
      <w:marRight w:val="0"/>
      <w:marTop w:val="0"/>
      <w:marBottom w:val="0"/>
      <w:divBdr>
        <w:top w:val="none" w:sz="0" w:space="0" w:color="auto"/>
        <w:left w:val="none" w:sz="0" w:space="0" w:color="auto"/>
        <w:bottom w:val="none" w:sz="0" w:space="0" w:color="auto"/>
        <w:right w:val="none" w:sz="0" w:space="0" w:color="auto"/>
      </w:divBdr>
    </w:div>
    <w:div w:id="1036081600">
      <w:bodyDiv w:val="1"/>
      <w:marLeft w:val="0"/>
      <w:marRight w:val="0"/>
      <w:marTop w:val="0"/>
      <w:marBottom w:val="0"/>
      <w:divBdr>
        <w:top w:val="none" w:sz="0" w:space="0" w:color="auto"/>
        <w:left w:val="none" w:sz="0" w:space="0" w:color="auto"/>
        <w:bottom w:val="none" w:sz="0" w:space="0" w:color="auto"/>
        <w:right w:val="none" w:sz="0" w:space="0" w:color="auto"/>
      </w:divBdr>
    </w:div>
    <w:div w:id="1039160342">
      <w:bodyDiv w:val="1"/>
      <w:marLeft w:val="0"/>
      <w:marRight w:val="0"/>
      <w:marTop w:val="0"/>
      <w:marBottom w:val="0"/>
      <w:divBdr>
        <w:top w:val="none" w:sz="0" w:space="0" w:color="auto"/>
        <w:left w:val="none" w:sz="0" w:space="0" w:color="auto"/>
        <w:bottom w:val="none" w:sz="0" w:space="0" w:color="auto"/>
        <w:right w:val="none" w:sz="0" w:space="0" w:color="auto"/>
      </w:divBdr>
    </w:div>
    <w:div w:id="1055277383">
      <w:bodyDiv w:val="1"/>
      <w:marLeft w:val="0"/>
      <w:marRight w:val="0"/>
      <w:marTop w:val="0"/>
      <w:marBottom w:val="0"/>
      <w:divBdr>
        <w:top w:val="none" w:sz="0" w:space="0" w:color="auto"/>
        <w:left w:val="none" w:sz="0" w:space="0" w:color="auto"/>
        <w:bottom w:val="none" w:sz="0" w:space="0" w:color="auto"/>
        <w:right w:val="none" w:sz="0" w:space="0" w:color="auto"/>
      </w:divBdr>
    </w:div>
    <w:div w:id="1056003402">
      <w:bodyDiv w:val="1"/>
      <w:marLeft w:val="0"/>
      <w:marRight w:val="0"/>
      <w:marTop w:val="0"/>
      <w:marBottom w:val="0"/>
      <w:divBdr>
        <w:top w:val="none" w:sz="0" w:space="0" w:color="auto"/>
        <w:left w:val="none" w:sz="0" w:space="0" w:color="auto"/>
        <w:bottom w:val="none" w:sz="0" w:space="0" w:color="auto"/>
        <w:right w:val="none" w:sz="0" w:space="0" w:color="auto"/>
      </w:divBdr>
    </w:div>
    <w:div w:id="1057239401">
      <w:bodyDiv w:val="1"/>
      <w:marLeft w:val="0"/>
      <w:marRight w:val="0"/>
      <w:marTop w:val="0"/>
      <w:marBottom w:val="0"/>
      <w:divBdr>
        <w:top w:val="none" w:sz="0" w:space="0" w:color="auto"/>
        <w:left w:val="none" w:sz="0" w:space="0" w:color="auto"/>
        <w:bottom w:val="none" w:sz="0" w:space="0" w:color="auto"/>
        <w:right w:val="none" w:sz="0" w:space="0" w:color="auto"/>
      </w:divBdr>
    </w:div>
    <w:div w:id="1061252325">
      <w:bodyDiv w:val="1"/>
      <w:marLeft w:val="0"/>
      <w:marRight w:val="0"/>
      <w:marTop w:val="0"/>
      <w:marBottom w:val="0"/>
      <w:divBdr>
        <w:top w:val="none" w:sz="0" w:space="0" w:color="auto"/>
        <w:left w:val="none" w:sz="0" w:space="0" w:color="auto"/>
        <w:bottom w:val="none" w:sz="0" w:space="0" w:color="auto"/>
        <w:right w:val="none" w:sz="0" w:space="0" w:color="auto"/>
      </w:divBdr>
    </w:div>
    <w:div w:id="1104615725">
      <w:bodyDiv w:val="1"/>
      <w:marLeft w:val="0"/>
      <w:marRight w:val="0"/>
      <w:marTop w:val="0"/>
      <w:marBottom w:val="0"/>
      <w:divBdr>
        <w:top w:val="none" w:sz="0" w:space="0" w:color="auto"/>
        <w:left w:val="none" w:sz="0" w:space="0" w:color="auto"/>
        <w:bottom w:val="none" w:sz="0" w:space="0" w:color="auto"/>
        <w:right w:val="none" w:sz="0" w:space="0" w:color="auto"/>
      </w:divBdr>
    </w:div>
    <w:div w:id="1121463375">
      <w:bodyDiv w:val="1"/>
      <w:marLeft w:val="0"/>
      <w:marRight w:val="0"/>
      <w:marTop w:val="0"/>
      <w:marBottom w:val="0"/>
      <w:divBdr>
        <w:top w:val="none" w:sz="0" w:space="0" w:color="auto"/>
        <w:left w:val="none" w:sz="0" w:space="0" w:color="auto"/>
        <w:bottom w:val="none" w:sz="0" w:space="0" w:color="auto"/>
        <w:right w:val="none" w:sz="0" w:space="0" w:color="auto"/>
      </w:divBdr>
    </w:div>
    <w:div w:id="1133325359">
      <w:bodyDiv w:val="1"/>
      <w:marLeft w:val="0"/>
      <w:marRight w:val="0"/>
      <w:marTop w:val="0"/>
      <w:marBottom w:val="0"/>
      <w:divBdr>
        <w:top w:val="none" w:sz="0" w:space="0" w:color="auto"/>
        <w:left w:val="none" w:sz="0" w:space="0" w:color="auto"/>
        <w:bottom w:val="none" w:sz="0" w:space="0" w:color="auto"/>
        <w:right w:val="none" w:sz="0" w:space="0" w:color="auto"/>
      </w:divBdr>
    </w:div>
    <w:div w:id="1134566222">
      <w:bodyDiv w:val="1"/>
      <w:marLeft w:val="0"/>
      <w:marRight w:val="0"/>
      <w:marTop w:val="0"/>
      <w:marBottom w:val="0"/>
      <w:divBdr>
        <w:top w:val="none" w:sz="0" w:space="0" w:color="auto"/>
        <w:left w:val="none" w:sz="0" w:space="0" w:color="auto"/>
        <w:bottom w:val="none" w:sz="0" w:space="0" w:color="auto"/>
        <w:right w:val="none" w:sz="0" w:space="0" w:color="auto"/>
      </w:divBdr>
    </w:div>
    <w:div w:id="1158112243">
      <w:bodyDiv w:val="1"/>
      <w:marLeft w:val="0"/>
      <w:marRight w:val="0"/>
      <w:marTop w:val="0"/>
      <w:marBottom w:val="0"/>
      <w:divBdr>
        <w:top w:val="none" w:sz="0" w:space="0" w:color="auto"/>
        <w:left w:val="none" w:sz="0" w:space="0" w:color="auto"/>
        <w:bottom w:val="none" w:sz="0" w:space="0" w:color="auto"/>
        <w:right w:val="none" w:sz="0" w:space="0" w:color="auto"/>
      </w:divBdr>
    </w:div>
    <w:div w:id="1176185520">
      <w:bodyDiv w:val="1"/>
      <w:marLeft w:val="0"/>
      <w:marRight w:val="0"/>
      <w:marTop w:val="0"/>
      <w:marBottom w:val="0"/>
      <w:divBdr>
        <w:top w:val="none" w:sz="0" w:space="0" w:color="auto"/>
        <w:left w:val="none" w:sz="0" w:space="0" w:color="auto"/>
        <w:bottom w:val="none" w:sz="0" w:space="0" w:color="auto"/>
        <w:right w:val="none" w:sz="0" w:space="0" w:color="auto"/>
      </w:divBdr>
      <w:divsChild>
        <w:div w:id="1232888447">
          <w:marLeft w:val="0"/>
          <w:marRight w:val="0"/>
          <w:marTop w:val="0"/>
          <w:marBottom w:val="0"/>
          <w:divBdr>
            <w:top w:val="none" w:sz="0" w:space="0" w:color="auto"/>
            <w:left w:val="none" w:sz="0" w:space="0" w:color="auto"/>
            <w:bottom w:val="none" w:sz="0" w:space="0" w:color="auto"/>
            <w:right w:val="none" w:sz="0" w:space="0" w:color="auto"/>
          </w:divBdr>
          <w:divsChild>
            <w:div w:id="2510852">
              <w:marLeft w:val="0"/>
              <w:marRight w:val="0"/>
              <w:marTop w:val="0"/>
              <w:marBottom w:val="0"/>
              <w:divBdr>
                <w:top w:val="none" w:sz="0" w:space="0" w:color="auto"/>
                <w:left w:val="none" w:sz="0" w:space="0" w:color="auto"/>
                <w:bottom w:val="none" w:sz="0" w:space="0" w:color="auto"/>
                <w:right w:val="none" w:sz="0" w:space="0" w:color="auto"/>
              </w:divBdr>
              <w:divsChild>
                <w:div w:id="993872965">
                  <w:marLeft w:val="0"/>
                  <w:marRight w:val="0"/>
                  <w:marTop w:val="0"/>
                  <w:marBottom w:val="0"/>
                  <w:divBdr>
                    <w:top w:val="none" w:sz="0" w:space="0" w:color="auto"/>
                    <w:left w:val="none" w:sz="0" w:space="0" w:color="auto"/>
                    <w:bottom w:val="none" w:sz="0" w:space="0" w:color="auto"/>
                    <w:right w:val="none" w:sz="0" w:space="0" w:color="auto"/>
                  </w:divBdr>
                  <w:divsChild>
                    <w:div w:id="1742021603">
                      <w:marLeft w:val="0"/>
                      <w:marRight w:val="0"/>
                      <w:marTop w:val="0"/>
                      <w:marBottom w:val="0"/>
                      <w:divBdr>
                        <w:top w:val="none" w:sz="0" w:space="0" w:color="auto"/>
                        <w:left w:val="none" w:sz="0" w:space="0" w:color="auto"/>
                        <w:bottom w:val="none" w:sz="0" w:space="0" w:color="auto"/>
                        <w:right w:val="none" w:sz="0" w:space="0" w:color="auto"/>
                      </w:divBdr>
                      <w:divsChild>
                        <w:div w:id="1139415675">
                          <w:marLeft w:val="0"/>
                          <w:marRight w:val="0"/>
                          <w:marTop w:val="0"/>
                          <w:marBottom w:val="0"/>
                          <w:divBdr>
                            <w:top w:val="none" w:sz="0" w:space="0" w:color="auto"/>
                            <w:left w:val="none" w:sz="0" w:space="0" w:color="auto"/>
                            <w:bottom w:val="none" w:sz="0" w:space="0" w:color="auto"/>
                            <w:right w:val="none" w:sz="0" w:space="0" w:color="auto"/>
                          </w:divBdr>
                          <w:divsChild>
                            <w:div w:id="64573387">
                              <w:marLeft w:val="0"/>
                              <w:marRight w:val="0"/>
                              <w:marTop w:val="0"/>
                              <w:marBottom w:val="0"/>
                              <w:divBdr>
                                <w:top w:val="none" w:sz="0" w:space="0" w:color="auto"/>
                                <w:left w:val="none" w:sz="0" w:space="0" w:color="auto"/>
                                <w:bottom w:val="none" w:sz="0" w:space="0" w:color="auto"/>
                                <w:right w:val="none" w:sz="0" w:space="0" w:color="auto"/>
                              </w:divBdr>
                              <w:divsChild>
                                <w:div w:id="1385251698">
                                  <w:marLeft w:val="0"/>
                                  <w:marRight w:val="0"/>
                                  <w:marTop w:val="0"/>
                                  <w:marBottom w:val="0"/>
                                  <w:divBdr>
                                    <w:top w:val="none" w:sz="0" w:space="0" w:color="auto"/>
                                    <w:left w:val="none" w:sz="0" w:space="0" w:color="auto"/>
                                    <w:bottom w:val="none" w:sz="0" w:space="0" w:color="auto"/>
                                    <w:right w:val="none" w:sz="0" w:space="0" w:color="auto"/>
                                  </w:divBdr>
                                  <w:divsChild>
                                    <w:div w:id="1375346909">
                                      <w:marLeft w:val="0"/>
                                      <w:marRight w:val="0"/>
                                      <w:marTop w:val="0"/>
                                      <w:marBottom w:val="0"/>
                                      <w:divBdr>
                                        <w:top w:val="none" w:sz="0" w:space="0" w:color="auto"/>
                                        <w:left w:val="none" w:sz="0" w:space="0" w:color="auto"/>
                                        <w:bottom w:val="none" w:sz="0" w:space="0" w:color="auto"/>
                                        <w:right w:val="none" w:sz="0" w:space="0" w:color="auto"/>
                                      </w:divBdr>
                                      <w:divsChild>
                                        <w:div w:id="1062870947">
                                          <w:marLeft w:val="0"/>
                                          <w:marRight w:val="0"/>
                                          <w:marTop w:val="0"/>
                                          <w:marBottom w:val="0"/>
                                          <w:divBdr>
                                            <w:top w:val="none" w:sz="0" w:space="0" w:color="auto"/>
                                            <w:left w:val="none" w:sz="0" w:space="0" w:color="auto"/>
                                            <w:bottom w:val="none" w:sz="0" w:space="0" w:color="auto"/>
                                            <w:right w:val="none" w:sz="0" w:space="0" w:color="auto"/>
                                          </w:divBdr>
                                          <w:divsChild>
                                            <w:div w:id="238096920">
                                              <w:marLeft w:val="0"/>
                                              <w:marRight w:val="0"/>
                                              <w:marTop w:val="0"/>
                                              <w:marBottom w:val="0"/>
                                              <w:divBdr>
                                                <w:top w:val="none" w:sz="0" w:space="0" w:color="auto"/>
                                                <w:left w:val="none" w:sz="0" w:space="0" w:color="auto"/>
                                                <w:bottom w:val="none" w:sz="0" w:space="0" w:color="auto"/>
                                                <w:right w:val="none" w:sz="0" w:space="0" w:color="auto"/>
                                              </w:divBdr>
                                              <w:divsChild>
                                                <w:div w:id="1585382854">
                                                  <w:marLeft w:val="0"/>
                                                  <w:marRight w:val="0"/>
                                                  <w:marTop w:val="0"/>
                                                  <w:marBottom w:val="0"/>
                                                  <w:divBdr>
                                                    <w:top w:val="none" w:sz="0" w:space="0" w:color="auto"/>
                                                    <w:left w:val="none" w:sz="0" w:space="0" w:color="auto"/>
                                                    <w:bottom w:val="none" w:sz="0" w:space="0" w:color="auto"/>
                                                    <w:right w:val="none" w:sz="0" w:space="0" w:color="auto"/>
                                                  </w:divBdr>
                                                  <w:divsChild>
                                                    <w:div w:id="1189567343">
                                                      <w:marLeft w:val="0"/>
                                                      <w:marRight w:val="0"/>
                                                      <w:marTop w:val="0"/>
                                                      <w:marBottom w:val="0"/>
                                                      <w:divBdr>
                                                        <w:top w:val="none" w:sz="0" w:space="0" w:color="auto"/>
                                                        <w:left w:val="none" w:sz="0" w:space="0" w:color="auto"/>
                                                        <w:bottom w:val="none" w:sz="0" w:space="0" w:color="auto"/>
                                                        <w:right w:val="none" w:sz="0" w:space="0" w:color="auto"/>
                                                      </w:divBdr>
                                                      <w:divsChild>
                                                        <w:div w:id="400762604">
                                                          <w:marLeft w:val="0"/>
                                                          <w:marRight w:val="0"/>
                                                          <w:marTop w:val="0"/>
                                                          <w:marBottom w:val="0"/>
                                                          <w:divBdr>
                                                            <w:top w:val="none" w:sz="0" w:space="0" w:color="auto"/>
                                                            <w:left w:val="none" w:sz="0" w:space="0" w:color="auto"/>
                                                            <w:bottom w:val="none" w:sz="0" w:space="0" w:color="auto"/>
                                                            <w:right w:val="none" w:sz="0" w:space="0" w:color="auto"/>
                                                          </w:divBdr>
                                                          <w:divsChild>
                                                            <w:div w:id="447699468">
                                                              <w:marLeft w:val="0"/>
                                                              <w:marRight w:val="0"/>
                                                              <w:marTop w:val="0"/>
                                                              <w:marBottom w:val="0"/>
                                                              <w:divBdr>
                                                                <w:top w:val="none" w:sz="0" w:space="0" w:color="auto"/>
                                                                <w:left w:val="none" w:sz="0" w:space="0" w:color="auto"/>
                                                                <w:bottom w:val="none" w:sz="0" w:space="0" w:color="auto"/>
                                                                <w:right w:val="none" w:sz="0" w:space="0" w:color="auto"/>
                                                              </w:divBdr>
                                                              <w:divsChild>
                                                                <w:div w:id="1641885937">
                                                                  <w:marLeft w:val="0"/>
                                                                  <w:marRight w:val="0"/>
                                                                  <w:marTop w:val="0"/>
                                                                  <w:marBottom w:val="0"/>
                                                                  <w:divBdr>
                                                                    <w:top w:val="none" w:sz="0" w:space="0" w:color="auto"/>
                                                                    <w:left w:val="none" w:sz="0" w:space="0" w:color="auto"/>
                                                                    <w:bottom w:val="none" w:sz="0" w:space="0" w:color="auto"/>
                                                                    <w:right w:val="none" w:sz="0" w:space="0" w:color="auto"/>
                                                                  </w:divBdr>
                                                                  <w:divsChild>
                                                                    <w:div w:id="9922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9563577">
      <w:bodyDiv w:val="1"/>
      <w:marLeft w:val="0"/>
      <w:marRight w:val="0"/>
      <w:marTop w:val="0"/>
      <w:marBottom w:val="0"/>
      <w:divBdr>
        <w:top w:val="none" w:sz="0" w:space="0" w:color="auto"/>
        <w:left w:val="none" w:sz="0" w:space="0" w:color="auto"/>
        <w:bottom w:val="none" w:sz="0" w:space="0" w:color="auto"/>
        <w:right w:val="none" w:sz="0" w:space="0" w:color="auto"/>
      </w:divBdr>
    </w:div>
    <w:div w:id="1266113022">
      <w:bodyDiv w:val="1"/>
      <w:marLeft w:val="0"/>
      <w:marRight w:val="0"/>
      <w:marTop w:val="0"/>
      <w:marBottom w:val="0"/>
      <w:divBdr>
        <w:top w:val="none" w:sz="0" w:space="0" w:color="auto"/>
        <w:left w:val="none" w:sz="0" w:space="0" w:color="auto"/>
        <w:bottom w:val="none" w:sz="0" w:space="0" w:color="auto"/>
        <w:right w:val="none" w:sz="0" w:space="0" w:color="auto"/>
      </w:divBdr>
    </w:div>
    <w:div w:id="1406223227">
      <w:bodyDiv w:val="1"/>
      <w:marLeft w:val="0"/>
      <w:marRight w:val="0"/>
      <w:marTop w:val="0"/>
      <w:marBottom w:val="0"/>
      <w:divBdr>
        <w:top w:val="none" w:sz="0" w:space="0" w:color="auto"/>
        <w:left w:val="none" w:sz="0" w:space="0" w:color="auto"/>
        <w:bottom w:val="none" w:sz="0" w:space="0" w:color="auto"/>
        <w:right w:val="none" w:sz="0" w:space="0" w:color="auto"/>
      </w:divBdr>
    </w:div>
    <w:div w:id="1415322058">
      <w:bodyDiv w:val="1"/>
      <w:marLeft w:val="0"/>
      <w:marRight w:val="0"/>
      <w:marTop w:val="0"/>
      <w:marBottom w:val="0"/>
      <w:divBdr>
        <w:top w:val="none" w:sz="0" w:space="0" w:color="auto"/>
        <w:left w:val="none" w:sz="0" w:space="0" w:color="auto"/>
        <w:bottom w:val="none" w:sz="0" w:space="0" w:color="auto"/>
        <w:right w:val="none" w:sz="0" w:space="0" w:color="auto"/>
      </w:divBdr>
    </w:div>
    <w:div w:id="1460954946">
      <w:bodyDiv w:val="1"/>
      <w:marLeft w:val="0"/>
      <w:marRight w:val="0"/>
      <w:marTop w:val="0"/>
      <w:marBottom w:val="0"/>
      <w:divBdr>
        <w:top w:val="none" w:sz="0" w:space="0" w:color="auto"/>
        <w:left w:val="none" w:sz="0" w:space="0" w:color="auto"/>
        <w:bottom w:val="none" w:sz="0" w:space="0" w:color="auto"/>
        <w:right w:val="none" w:sz="0" w:space="0" w:color="auto"/>
      </w:divBdr>
    </w:div>
    <w:div w:id="1461144852">
      <w:bodyDiv w:val="1"/>
      <w:marLeft w:val="0"/>
      <w:marRight w:val="0"/>
      <w:marTop w:val="0"/>
      <w:marBottom w:val="0"/>
      <w:divBdr>
        <w:top w:val="none" w:sz="0" w:space="0" w:color="auto"/>
        <w:left w:val="none" w:sz="0" w:space="0" w:color="auto"/>
        <w:bottom w:val="none" w:sz="0" w:space="0" w:color="auto"/>
        <w:right w:val="none" w:sz="0" w:space="0" w:color="auto"/>
      </w:divBdr>
    </w:div>
    <w:div w:id="1494682867">
      <w:bodyDiv w:val="1"/>
      <w:marLeft w:val="0"/>
      <w:marRight w:val="0"/>
      <w:marTop w:val="0"/>
      <w:marBottom w:val="0"/>
      <w:divBdr>
        <w:top w:val="none" w:sz="0" w:space="0" w:color="auto"/>
        <w:left w:val="none" w:sz="0" w:space="0" w:color="auto"/>
        <w:bottom w:val="none" w:sz="0" w:space="0" w:color="auto"/>
        <w:right w:val="none" w:sz="0" w:space="0" w:color="auto"/>
      </w:divBdr>
    </w:div>
    <w:div w:id="1504856851">
      <w:bodyDiv w:val="1"/>
      <w:marLeft w:val="0"/>
      <w:marRight w:val="0"/>
      <w:marTop w:val="0"/>
      <w:marBottom w:val="0"/>
      <w:divBdr>
        <w:top w:val="none" w:sz="0" w:space="0" w:color="auto"/>
        <w:left w:val="none" w:sz="0" w:space="0" w:color="auto"/>
        <w:bottom w:val="none" w:sz="0" w:space="0" w:color="auto"/>
        <w:right w:val="none" w:sz="0" w:space="0" w:color="auto"/>
      </w:divBdr>
    </w:div>
    <w:div w:id="1519543056">
      <w:bodyDiv w:val="1"/>
      <w:marLeft w:val="0"/>
      <w:marRight w:val="0"/>
      <w:marTop w:val="0"/>
      <w:marBottom w:val="0"/>
      <w:divBdr>
        <w:top w:val="none" w:sz="0" w:space="0" w:color="auto"/>
        <w:left w:val="none" w:sz="0" w:space="0" w:color="auto"/>
        <w:bottom w:val="none" w:sz="0" w:space="0" w:color="auto"/>
        <w:right w:val="none" w:sz="0" w:space="0" w:color="auto"/>
      </w:divBdr>
    </w:div>
    <w:div w:id="1538471628">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3420002">
      <w:bodyDiv w:val="1"/>
      <w:marLeft w:val="0"/>
      <w:marRight w:val="0"/>
      <w:marTop w:val="0"/>
      <w:marBottom w:val="0"/>
      <w:divBdr>
        <w:top w:val="none" w:sz="0" w:space="0" w:color="auto"/>
        <w:left w:val="none" w:sz="0" w:space="0" w:color="auto"/>
        <w:bottom w:val="none" w:sz="0" w:space="0" w:color="auto"/>
        <w:right w:val="none" w:sz="0" w:space="0" w:color="auto"/>
      </w:divBdr>
    </w:div>
    <w:div w:id="1568957517">
      <w:bodyDiv w:val="1"/>
      <w:marLeft w:val="0"/>
      <w:marRight w:val="0"/>
      <w:marTop w:val="0"/>
      <w:marBottom w:val="0"/>
      <w:divBdr>
        <w:top w:val="none" w:sz="0" w:space="0" w:color="auto"/>
        <w:left w:val="none" w:sz="0" w:space="0" w:color="auto"/>
        <w:bottom w:val="none" w:sz="0" w:space="0" w:color="auto"/>
        <w:right w:val="none" w:sz="0" w:space="0" w:color="auto"/>
      </w:divBdr>
    </w:div>
    <w:div w:id="1581669505">
      <w:bodyDiv w:val="1"/>
      <w:marLeft w:val="0"/>
      <w:marRight w:val="0"/>
      <w:marTop w:val="0"/>
      <w:marBottom w:val="0"/>
      <w:divBdr>
        <w:top w:val="none" w:sz="0" w:space="0" w:color="auto"/>
        <w:left w:val="none" w:sz="0" w:space="0" w:color="auto"/>
        <w:bottom w:val="none" w:sz="0" w:space="0" w:color="auto"/>
        <w:right w:val="none" w:sz="0" w:space="0" w:color="auto"/>
      </w:divBdr>
    </w:div>
    <w:div w:id="1589584034">
      <w:bodyDiv w:val="1"/>
      <w:marLeft w:val="0"/>
      <w:marRight w:val="0"/>
      <w:marTop w:val="0"/>
      <w:marBottom w:val="0"/>
      <w:divBdr>
        <w:top w:val="none" w:sz="0" w:space="0" w:color="auto"/>
        <w:left w:val="none" w:sz="0" w:space="0" w:color="auto"/>
        <w:bottom w:val="none" w:sz="0" w:space="0" w:color="auto"/>
        <w:right w:val="none" w:sz="0" w:space="0" w:color="auto"/>
      </w:divBdr>
    </w:div>
    <w:div w:id="1592736411">
      <w:bodyDiv w:val="1"/>
      <w:marLeft w:val="0"/>
      <w:marRight w:val="0"/>
      <w:marTop w:val="0"/>
      <w:marBottom w:val="0"/>
      <w:divBdr>
        <w:top w:val="none" w:sz="0" w:space="0" w:color="auto"/>
        <w:left w:val="none" w:sz="0" w:space="0" w:color="auto"/>
        <w:bottom w:val="none" w:sz="0" w:space="0" w:color="auto"/>
        <w:right w:val="none" w:sz="0" w:space="0" w:color="auto"/>
      </w:divBdr>
    </w:div>
    <w:div w:id="1617911367">
      <w:bodyDiv w:val="1"/>
      <w:marLeft w:val="0"/>
      <w:marRight w:val="0"/>
      <w:marTop w:val="0"/>
      <w:marBottom w:val="0"/>
      <w:divBdr>
        <w:top w:val="none" w:sz="0" w:space="0" w:color="auto"/>
        <w:left w:val="none" w:sz="0" w:space="0" w:color="auto"/>
        <w:bottom w:val="none" w:sz="0" w:space="0" w:color="auto"/>
        <w:right w:val="none" w:sz="0" w:space="0" w:color="auto"/>
      </w:divBdr>
    </w:div>
    <w:div w:id="1620992387">
      <w:bodyDiv w:val="1"/>
      <w:marLeft w:val="0"/>
      <w:marRight w:val="0"/>
      <w:marTop w:val="0"/>
      <w:marBottom w:val="0"/>
      <w:divBdr>
        <w:top w:val="none" w:sz="0" w:space="0" w:color="auto"/>
        <w:left w:val="none" w:sz="0" w:space="0" w:color="auto"/>
        <w:bottom w:val="none" w:sz="0" w:space="0" w:color="auto"/>
        <w:right w:val="none" w:sz="0" w:space="0" w:color="auto"/>
      </w:divBdr>
      <w:divsChild>
        <w:div w:id="1804734838">
          <w:marLeft w:val="0"/>
          <w:marRight w:val="0"/>
          <w:marTop w:val="0"/>
          <w:marBottom w:val="0"/>
          <w:divBdr>
            <w:top w:val="none" w:sz="0" w:space="0" w:color="auto"/>
            <w:left w:val="none" w:sz="0" w:space="0" w:color="auto"/>
            <w:bottom w:val="none" w:sz="0" w:space="0" w:color="auto"/>
            <w:right w:val="none" w:sz="0" w:space="0" w:color="auto"/>
          </w:divBdr>
          <w:divsChild>
            <w:div w:id="393703094">
              <w:marLeft w:val="0"/>
              <w:marRight w:val="0"/>
              <w:marTop w:val="0"/>
              <w:marBottom w:val="0"/>
              <w:divBdr>
                <w:top w:val="none" w:sz="0" w:space="0" w:color="auto"/>
                <w:left w:val="none" w:sz="0" w:space="0" w:color="auto"/>
                <w:bottom w:val="none" w:sz="0" w:space="0" w:color="auto"/>
                <w:right w:val="none" w:sz="0" w:space="0" w:color="auto"/>
              </w:divBdr>
              <w:divsChild>
                <w:div w:id="57560307">
                  <w:marLeft w:val="0"/>
                  <w:marRight w:val="0"/>
                  <w:marTop w:val="0"/>
                  <w:marBottom w:val="0"/>
                  <w:divBdr>
                    <w:top w:val="none" w:sz="0" w:space="0" w:color="auto"/>
                    <w:left w:val="none" w:sz="0" w:space="0" w:color="auto"/>
                    <w:bottom w:val="none" w:sz="0" w:space="0" w:color="auto"/>
                    <w:right w:val="none" w:sz="0" w:space="0" w:color="auto"/>
                  </w:divBdr>
                  <w:divsChild>
                    <w:div w:id="954679961">
                      <w:marLeft w:val="0"/>
                      <w:marRight w:val="0"/>
                      <w:marTop w:val="0"/>
                      <w:marBottom w:val="0"/>
                      <w:divBdr>
                        <w:top w:val="none" w:sz="0" w:space="0" w:color="auto"/>
                        <w:left w:val="none" w:sz="0" w:space="0" w:color="auto"/>
                        <w:bottom w:val="none" w:sz="0" w:space="0" w:color="auto"/>
                        <w:right w:val="none" w:sz="0" w:space="0" w:color="auto"/>
                      </w:divBdr>
                      <w:divsChild>
                        <w:div w:id="302347534">
                          <w:marLeft w:val="0"/>
                          <w:marRight w:val="0"/>
                          <w:marTop w:val="0"/>
                          <w:marBottom w:val="0"/>
                          <w:divBdr>
                            <w:top w:val="none" w:sz="0" w:space="0" w:color="auto"/>
                            <w:left w:val="none" w:sz="0" w:space="0" w:color="auto"/>
                            <w:bottom w:val="none" w:sz="0" w:space="0" w:color="auto"/>
                            <w:right w:val="none" w:sz="0" w:space="0" w:color="auto"/>
                          </w:divBdr>
                          <w:divsChild>
                            <w:div w:id="137957885">
                              <w:marLeft w:val="0"/>
                              <w:marRight w:val="0"/>
                              <w:marTop w:val="0"/>
                              <w:marBottom w:val="0"/>
                              <w:divBdr>
                                <w:top w:val="none" w:sz="0" w:space="0" w:color="auto"/>
                                <w:left w:val="none" w:sz="0" w:space="0" w:color="auto"/>
                                <w:bottom w:val="none" w:sz="0" w:space="0" w:color="auto"/>
                                <w:right w:val="none" w:sz="0" w:space="0" w:color="auto"/>
                              </w:divBdr>
                              <w:divsChild>
                                <w:div w:id="2046059093">
                                  <w:marLeft w:val="0"/>
                                  <w:marRight w:val="0"/>
                                  <w:marTop w:val="0"/>
                                  <w:marBottom w:val="0"/>
                                  <w:divBdr>
                                    <w:top w:val="none" w:sz="0" w:space="0" w:color="auto"/>
                                    <w:left w:val="none" w:sz="0" w:space="0" w:color="auto"/>
                                    <w:bottom w:val="none" w:sz="0" w:space="0" w:color="auto"/>
                                    <w:right w:val="none" w:sz="0" w:space="0" w:color="auto"/>
                                  </w:divBdr>
                                  <w:divsChild>
                                    <w:div w:id="2117409457">
                                      <w:marLeft w:val="0"/>
                                      <w:marRight w:val="0"/>
                                      <w:marTop w:val="0"/>
                                      <w:marBottom w:val="0"/>
                                      <w:divBdr>
                                        <w:top w:val="none" w:sz="0" w:space="0" w:color="auto"/>
                                        <w:left w:val="none" w:sz="0" w:space="0" w:color="auto"/>
                                        <w:bottom w:val="none" w:sz="0" w:space="0" w:color="auto"/>
                                        <w:right w:val="none" w:sz="0" w:space="0" w:color="auto"/>
                                      </w:divBdr>
                                      <w:divsChild>
                                        <w:div w:id="1740590412">
                                          <w:marLeft w:val="0"/>
                                          <w:marRight w:val="0"/>
                                          <w:marTop w:val="0"/>
                                          <w:marBottom w:val="0"/>
                                          <w:divBdr>
                                            <w:top w:val="none" w:sz="0" w:space="0" w:color="auto"/>
                                            <w:left w:val="none" w:sz="0" w:space="0" w:color="auto"/>
                                            <w:bottom w:val="none" w:sz="0" w:space="0" w:color="auto"/>
                                            <w:right w:val="none" w:sz="0" w:space="0" w:color="auto"/>
                                          </w:divBdr>
                                          <w:divsChild>
                                            <w:div w:id="293099986">
                                              <w:marLeft w:val="0"/>
                                              <w:marRight w:val="0"/>
                                              <w:marTop w:val="0"/>
                                              <w:marBottom w:val="0"/>
                                              <w:divBdr>
                                                <w:top w:val="none" w:sz="0" w:space="0" w:color="auto"/>
                                                <w:left w:val="none" w:sz="0" w:space="0" w:color="auto"/>
                                                <w:bottom w:val="none" w:sz="0" w:space="0" w:color="auto"/>
                                                <w:right w:val="none" w:sz="0" w:space="0" w:color="auto"/>
                                              </w:divBdr>
                                              <w:divsChild>
                                                <w:div w:id="352921596">
                                                  <w:marLeft w:val="0"/>
                                                  <w:marRight w:val="0"/>
                                                  <w:marTop w:val="0"/>
                                                  <w:marBottom w:val="0"/>
                                                  <w:divBdr>
                                                    <w:top w:val="none" w:sz="0" w:space="0" w:color="auto"/>
                                                    <w:left w:val="none" w:sz="0" w:space="0" w:color="auto"/>
                                                    <w:bottom w:val="none" w:sz="0" w:space="0" w:color="auto"/>
                                                    <w:right w:val="none" w:sz="0" w:space="0" w:color="auto"/>
                                                  </w:divBdr>
                                                  <w:divsChild>
                                                    <w:div w:id="1957835907">
                                                      <w:marLeft w:val="0"/>
                                                      <w:marRight w:val="0"/>
                                                      <w:marTop w:val="0"/>
                                                      <w:marBottom w:val="0"/>
                                                      <w:divBdr>
                                                        <w:top w:val="none" w:sz="0" w:space="0" w:color="auto"/>
                                                        <w:left w:val="none" w:sz="0" w:space="0" w:color="auto"/>
                                                        <w:bottom w:val="none" w:sz="0" w:space="0" w:color="auto"/>
                                                        <w:right w:val="none" w:sz="0" w:space="0" w:color="auto"/>
                                                      </w:divBdr>
                                                      <w:divsChild>
                                                        <w:div w:id="211385749">
                                                          <w:marLeft w:val="0"/>
                                                          <w:marRight w:val="0"/>
                                                          <w:marTop w:val="0"/>
                                                          <w:marBottom w:val="0"/>
                                                          <w:divBdr>
                                                            <w:top w:val="none" w:sz="0" w:space="0" w:color="auto"/>
                                                            <w:left w:val="none" w:sz="0" w:space="0" w:color="auto"/>
                                                            <w:bottom w:val="none" w:sz="0" w:space="0" w:color="auto"/>
                                                            <w:right w:val="none" w:sz="0" w:space="0" w:color="auto"/>
                                                          </w:divBdr>
                                                          <w:divsChild>
                                                            <w:div w:id="286393401">
                                                              <w:marLeft w:val="0"/>
                                                              <w:marRight w:val="0"/>
                                                              <w:marTop w:val="0"/>
                                                              <w:marBottom w:val="0"/>
                                                              <w:divBdr>
                                                                <w:top w:val="none" w:sz="0" w:space="0" w:color="auto"/>
                                                                <w:left w:val="none" w:sz="0" w:space="0" w:color="auto"/>
                                                                <w:bottom w:val="none" w:sz="0" w:space="0" w:color="auto"/>
                                                                <w:right w:val="none" w:sz="0" w:space="0" w:color="auto"/>
                                                              </w:divBdr>
                                                              <w:divsChild>
                                                                <w:div w:id="806364426">
                                                                  <w:marLeft w:val="0"/>
                                                                  <w:marRight w:val="0"/>
                                                                  <w:marTop w:val="0"/>
                                                                  <w:marBottom w:val="0"/>
                                                                  <w:divBdr>
                                                                    <w:top w:val="none" w:sz="0" w:space="0" w:color="auto"/>
                                                                    <w:left w:val="none" w:sz="0" w:space="0" w:color="auto"/>
                                                                    <w:bottom w:val="none" w:sz="0" w:space="0" w:color="auto"/>
                                                                    <w:right w:val="none" w:sz="0" w:space="0" w:color="auto"/>
                                                                  </w:divBdr>
                                                                  <w:divsChild>
                                                                    <w:div w:id="13418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1641997">
      <w:bodyDiv w:val="1"/>
      <w:marLeft w:val="0"/>
      <w:marRight w:val="0"/>
      <w:marTop w:val="0"/>
      <w:marBottom w:val="0"/>
      <w:divBdr>
        <w:top w:val="none" w:sz="0" w:space="0" w:color="auto"/>
        <w:left w:val="none" w:sz="0" w:space="0" w:color="auto"/>
        <w:bottom w:val="none" w:sz="0" w:space="0" w:color="auto"/>
        <w:right w:val="none" w:sz="0" w:space="0" w:color="auto"/>
      </w:divBdr>
    </w:div>
    <w:div w:id="1632975227">
      <w:bodyDiv w:val="1"/>
      <w:marLeft w:val="0"/>
      <w:marRight w:val="0"/>
      <w:marTop w:val="0"/>
      <w:marBottom w:val="0"/>
      <w:divBdr>
        <w:top w:val="none" w:sz="0" w:space="0" w:color="auto"/>
        <w:left w:val="none" w:sz="0" w:space="0" w:color="auto"/>
        <w:bottom w:val="none" w:sz="0" w:space="0" w:color="auto"/>
        <w:right w:val="none" w:sz="0" w:space="0" w:color="auto"/>
      </w:divBdr>
    </w:div>
    <w:div w:id="1669627365">
      <w:bodyDiv w:val="1"/>
      <w:marLeft w:val="0"/>
      <w:marRight w:val="0"/>
      <w:marTop w:val="0"/>
      <w:marBottom w:val="0"/>
      <w:divBdr>
        <w:top w:val="none" w:sz="0" w:space="0" w:color="auto"/>
        <w:left w:val="none" w:sz="0" w:space="0" w:color="auto"/>
        <w:bottom w:val="none" w:sz="0" w:space="0" w:color="auto"/>
        <w:right w:val="none" w:sz="0" w:space="0" w:color="auto"/>
      </w:divBdr>
    </w:div>
    <w:div w:id="1694459964">
      <w:bodyDiv w:val="1"/>
      <w:marLeft w:val="0"/>
      <w:marRight w:val="0"/>
      <w:marTop w:val="0"/>
      <w:marBottom w:val="0"/>
      <w:divBdr>
        <w:top w:val="none" w:sz="0" w:space="0" w:color="auto"/>
        <w:left w:val="none" w:sz="0" w:space="0" w:color="auto"/>
        <w:bottom w:val="none" w:sz="0" w:space="0" w:color="auto"/>
        <w:right w:val="none" w:sz="0" w:space="0" w:color="auto"/>
      </w:divBdr>
    </w:div>
    <w:div w:id="1708406973">
      <w:bodyDiv w:val="1"/>
      <w:marLeft w:val="0"/>
      <w:marRight w:val="0"/>
      <w:marTop w:val="0"/>
      <w:marBottom w:val="0"/>
      <w:divBdr>
        <w:top w:val="none" w:sz="0" w:space="0" w:color="auto"/>
        <w:left w:val="none" w:sz="0" w:space="0" w:color="auto"/>
        <w:bottom w:val="none" w:sz="0" w:space="0" w:color="auto"/>
        <w:right w:val="none" w:sz="0" w:space="0" w:color="auto"/>
      </w:divBdr>
    </w:div>
    <w:div w:id="1799644259">
      <w:bodyDiv w:val="1"/>
      <w:marLeft w:val="0"/>
      <w:marRight w:val="0"/>
      <w:marTop w:val="0"/>
      <w:marBottom w:val="0"/>
      <w:divBdr>
        <w:top w:val="none" w:sz="0" w:space="0" w:color="auto"/>
        <w:left w:val="none" w:sz="0" w:space="0" w:color="auto"/>
        <w:bottom w:val="none" w:sz="0" w:space="0" w:color="auto"/>
        <w:right w:val="none" w:sz="0" w:space="0" w:color="auto"/>
      </w:divBdr>
    </w:div>
    <w:div w:id="1842551222">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9372297">
      <w:bodyDiv w:val="1"/>
      <w:marLeft w:val="0"/>
      <w:marRight w:val="0"/>
      <w:marTop w:val="0"/>
      <w:marBottom w:val="0"/>
      <w:divBdr>
        <w:top w:val="none" w:sz="0" w:space="0" w:color="auto"/>
        <w:left w:val="none" w:sz="0" w:space="0" w:color="auto"/>
        <w:bottom w:val="none" w:sz="0" w:space="0" w:color="auto"/>
        <w:right w:val="none" w:sz="0" w:space="0" w:color="auto"/>
      </w:divBdr>
    </w:div>
    <w:div w:id="1851096587">
      <w:bodyDiv w:val="1"/>
      <w:marLeft w:val="0"/>
      <w:marRight w:val="0"/>
      <w:marTop w:val="0"/>
      <w:marBottom w:val="0"/>
      <w:divBdr>
        <w:top w:val="none" w:sz="0" w:space="0" w:color="auto"/>
        <w:left w:val="none" w:sz="0" w:space="0" w:color="auto"/>
        <w:bottom w:val="none" w:sz="0" w:space="0" w:color="auto"/>
        <w:right w:val="none" w:sz="0" w:space="0" w:color="auto"/>
      </w:divBdr>
    </w:div>
    <w:div w:id="1852182936">
      <w:bodyDiv w:val="1"/>
      <w:marLeft w:val="0"/>
      <w:marRight w:val="0"/>
      <w:marTop w:val="0"/>
      <w:marBottom w:val="0"/>
      <w:divBdr>
        <w:top w:val="none" w:sz="0" w:space="0" w:color="auto"/>
        <w:left w:val="none" w:sz="0" w:space="0" w:color="auto"/>
        <w:bottom w:val="none" w:sz="0" w:space="0" w:color="auto"/>
        <w:right w:val="none" w:sz="0" w:space="0" w:color="auto"/>
      </w:divBdr>
    </w:div>
    <w:div w:id="1870995785">
      <w:bodyDiv w:val="1"/>
      <w:marLeft w:val="0"/>
      <w:marRight w:val="0"/>
      <w:marTop w:val="0"/>
      <w:marBottom w:val="0"/>
      <w:divBdr>
        <w:top w:val="none" w:sz="0" w:space="0" w:color="auto"/>
        <w:left w:val="none" w:sz="0" w:space="0" w:color="auto"/>
        <w:bottom w:val="none" w:sz="0" w:space="0" w:color="auto"/>
        <w:right w:val="none" w:sz="0" w:space="0" w:color="auto"/>
      </w:divBdr>
    </w:div>
    <w:div w:id="1882671584">
      <w:bodyDiv w:val="1"/>
      <w:marLeft w:val="0"/>
      <w:marRight w:val="0"/>
      <w:marTop w:val="0"/>
      <w:marBottom w:val="0"/>
      <w:divBdr>
        <w:top w:val="none" w:sz="0" w:space="0" w:color="auto"/>
        <w:left w:val="none" w:sz="0" w:space="0" w:color="auto"/>
        <w:bottom w:val="none" w:sz="0" w:space="0" w:color="auto"/>
        <w:right w:val="none" w:sz="0" w:space="0" w:color="auto"/>
      </w:divBdr>
    </w:div>
    <w:div w:id="1910310066">
      <w:bodyDiv w:val="1"/>
      <w:marLeft w:val="0"/>
      <w:marRight w:val="0"/>
      <w:marTop w:val="0"/>
      <w:marBottom w:val="0"/>
      <w:divBdr>
        <w:top w:val="none" w:sz="0" w:space="0" w:color="auto"/>
        <w:left w:val="none" w:sz="0" w:space="0" w:color="auto"/>
        <w:bottom w:val="none" w:sz="0" w:space="0" w:color="auto"/>
        <w:right w:val="none" w:sz="0" w:space="0" w:color="auto"/>
      </w:divBdr>
    </w:div>
    <w:div w:id="1936134824">
      <w:bodyDiv w:val="1"/>
      <w:marLeft w:val="0"/>
      <w:marRight w:val="0"/>
      <w:marTop w:val="0"/>
      <w:marBottom w:val="0"/>
      <w:divBdr>
        <w:top w:val="none" w:sz="0" w:space="0" w:color="auto"/>
        <w:left w:val="none" w:sz="0" w:space="0" w:color="auto"/>
        <w:bottom w:val="none" w:sz="0" w:space="0" w:color="auto"/>
        <w:right w:val="none" w:sz="0" w:space="0" w:color="auto"/>
      </w:divBdr>
    </w:div>
    <w:div w:id="1937516997">
      <w:bodyDiv w:val="1"/>
      <w:marLeft w:val="0"/>
      <w:marRight w:val="0"/>
      <w:marTop w:val="0"/>
      <w:marBottom w:val="0"/>
      <w:divBdr>
        <w:top w:val="none" w:sz="0" w:space="0" w:color="auto"/>
        <w:left w:val="none" w:sz="0" w:space="0" w:color="auto"/>
        <w:bottom w:val="none" w:sz="0" w:space="0" w:color="auto"/>
        <w:right w:val="none" w:sz="0" w:space="0" w:color="auto"/>
      </w:divBdr>
    </w:div>
    <w:div w:id="1957563560">
      <w:bodyDiv w:val="1"/>
      <w:marLeft w:val="0"/>
      <w:marRight w:val="0"/>
      <w:marTop w:val="0"/>
      <w:marBottom w:val="0"/>
      <w:divBdr>
        <w:top w:val="none" w:sz="0" w:space="0" w:color="auto"/>
        <w:left w:val="none" w:sz="0" w:space="0" w:color="auto"/>
        <w:bottom w:val="none" w:sz="0" w:space="0" w:color="auto"/>
        <w:right w:val="none" w:sz="0" w:space="0" w:color="auto"/>
      </w:divBdr>
    </w:div>
    <w:div w:id="1962373409">
      <w:bodyDiv w:val="1"/>
      <w:marLeft w:val="0"/>
      <w:marRight w:val="0"/>
      <w:marTop w:val="0"/>
      <w:marBottom w:val="0"/>
      <w:divBdr>
        <w:top w:val="none" w:sz="0" w:space="0" w:color="auto"/>
        <w:left w:val="none" w:sz="0" w:space="0" w:color="auto"/>
        <w:bottom w:val="none" w:sz="0" w:space="0" w:color="auto"/>
        <w:right w:val="none" w:sz="0" w:space="0" w:color="auto"/>
      </w:divBdr>
    </w:div>
    <w:div w:id="1994214760">
      <w:bodyDiv w:val="1"/>
      <w:marLeft w:val="0"/>
      <w:marRight w:val="0"/>
      <w:marTop w:val="0"/>
      <w:marBottom w:val="0"/>
      <w:divBdr>
        <w:top w:val="none" w:sz="0" w:space="0" w:color="auto"/>
        <w:left w:val="none" w:sz="0" w:space="0" w:color="auto"/>
        <w:bottom w:val="none" w:sz="0" w:space="0" w:color="auto"/>
        <w:right w:val="none" w:sz="0" w:space="0" w:color="auto"/>
      </w:divBdr>
    </w:div>
    <w:div w:id="2035230049">
      <w:bodyDiv w:val="1"/>
      <w:marLeft w:val="0"/>
      <w:marRight w:val="0"/>
      <w:marTop w:val="0"/>
      <w:marBottom w:val="0"/>
      <w:divBdr>
        <w:top w:val="none" w:sz="0" w:space="0" w:color="auto"/>
        <w:left w:val="none" w:sz="0" w:space="0" w:color="auto"/>
        <w:bottom w:val="none" w:sz="0" w:space="0" w:color="auto"/>
        <w:right w:val="none" w:sz="0" w:space="0" w:color="auto"/>
      </w:divBdr>
    </w:div>
    <w:div w:id="2054961417">
      <w:bodyDiv w:val="1"/>
      <w:marLeft w:val="0"/>
      <w:marRight w:val="0"/>
      <w:marTop w:val="0"/>
      <w:marBottom w:val="0"/>
      <w:divBdr>
        <w:top w:val="none" w:sz="0" w:space="0" w:color="auto"/>
        <w:left w:val="none" w:sz="0" w:space="0" w:color="auto"/>
        <w:bottom w:val="none" w:sz="0" w:space="0" w:color="auto"/>
        <w:right w:val="none" w:sz="0" w:space="0" w:color="auto"/>
      </w:divBdr>
    </w:div>
    <w:div w:id="2063630111">
      <w:bodyDiv w:val="1"/>
      <w:marLeft w:val="0"/>
      <w:marRight w:val="0"/>
      <w:marTop w:val="0"/>
      <w:marBottom w:val="0"/>
      <w:divBdr>
        <w:top w:val="none" w:sz="0" w:space="0" w:color="auto"/>
        <w:left w:val="none" w:sz="0" w:space="0" w:color="auto"/>
        <w:bottom w:val="none" w:sz="0" w:space="0" w:color="auto"/>
        <w:right w:val="none" w:sz="0" w:space="0" w:color="auto"/>
      </w:divBdr>
    </w:div>
    <w:div w:id="2087338867">
      <w:bodyDiv w:val="1"/>
      <w:marLeft w:val="0"/>
      <w:marRight w:val="0"/>
      <w:marTop w:val="0"/>
      <w:marBottom w:val="0"/>
      <w:divBdr>
        <w:top w:val="none" w:sz="0" w:space="0" w:color="auto"/>
        <w:left w:val="none" w:sz="0" w:space="0" w:color="auto"/>
        <w:bottom w:val="none" w:sz="0" w:space="0" w:color="auto"/>
        <w:right w:val="none" w:sz="0" w:space="0" w:color="auto"/>
      </w:divBdr>
    </w:div>
    <w:div w:id="2094279656">
      <w:bodyDiv w:val="1"/>
      <w:marLeft w:val="0"/>
      <w:marRight w:val="0"/>
      <w:marTop w:val="0"/>
      <w:marBottom w:val="0"/>
      <w:divBdr>
        <w:top w:val="none" w:sz="0" w:space="0" w:color="auto"/>
        <w:left w:val="none" w:sz="0" w:space="0" w:color="auto"/>
        <w:bottom w:val="none" w:sz="0" w:space="0" w:color="auto"/>
        <w:right w:val="none" w:sz="0" w:space="0" w:color="auto"/>
      </w:divBdr>
    </w:div>
    <w:div w:id="2101561966">
      <w:bodyDiv w:val="1"/>
      <w:marLeft w:val="0"/>
      <w:marRight w:val="0"/>
      <w:marTop w:val="0"/>
      <w:marBottom w:val="0"/>
      <w:divBdr>
        <w:top w:val="none" w:sz="0" w:space="0" w:color="auto"/>
        <w:left w:val="none" w:sz="0" w:space="0" w:color="auto"/>
        <w:bottom w:val="none" w:sz="0" w:space="0" w:color="auto"/>
        <w:right w:val="none" w:sz="0" w:space="0" w:color="auto"/>
      </w:divBdr>
    </w:div>
    <w:div w:id="2114782243">
      <w:bodyDiv w:val="1"/>
      <w:marLeft w:val="0"/>
      <w:marRight w:val="0"/>
      <w:marTop w:val="0"/>
      <w:marBottom w:val="0"/>
      <w:divBdr>
        <w:top w:val="none" w:sz="0" w:space="0" w:color="auto"/>
        <w:left w:val="none" w:sz="0" w:space="0" w:color="auto"/>
        <w:bottom w:val="none" w:sz="0" w:space="0" w:color="auto"/>
        <w:right w:val="none" w:sz="0" w:space="0" w:color="auto"/>
      </w:divBdr>
    </w:div>
    <w:div w:id="2118792716">
      <w:bodyDiv w:val="1"/>
      <w:marLeft w:val="0"/>
      <w:marRight w:val="0"/>
      <w:marTop w:val="0"/>
      <w:marBottom w:val="0"/>
      <w:divBdr>
        <w:top w:val="none" w:sz="0" w:space="0" w:color="auto"/>
        <w:left w:val="none" w:sz="0" w:space="0" w:color="auto"/>
        <w:bottom w:val="none" w:sz="0" w:space="0" w:color="auto"/>
        <w:right w:val="none" w:sz="0" w:space="0" w:color="auto"/>
      </w:divBdr>
    </w:div>
    <w:div w:id="21444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mesdaily.com/news/military-widow-s-tax-repealed-with-passage-of-defense-bill/article_d34224f2-9d25-5b8f-904a-48eeda502ae6.html" TargetMode="External"/><Relationship Id="rId18" Type="http://schemas.openxmlformats.org/officeDocument/2006/relationships/hyperlink" Target="mailto:PFPOLPROC.VBACO@v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aww.vrm.km.va.gov/system/templates/selfservice/va_kanew/help/agent/locale/en-US/portal/554400000001030/content/554400000111443/Changes%20By%20Date"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0/content/554400000051887/FPM-2.A.1-General-Information-on-Field-Examinations" TargetMode="External"/><Relationship Id="rId20" Type="http://schemas.openxmlformats.org/officeDocument/2006/relationships/hyperlink" Target="mailto:PFBUSMGMT.VBAVACO@v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i.fdsys.gov/link?collection=uscode&amp;title=38&amp;year=mostrecent&amp;section=1503&amp;type=usc&amp;link-type=html" TargetMode="External"/><Relationship Id="rId10" Type="http://schemas.openxmlformats.org/officeDocument/2006/relationships/endnotes" Target="endnotes.xml"/><Relationship Id="rId19" Type="http://schemas.openxmlformats.org/officeDocument/2006/relationships/hyperlink" Target="mailto:PFTNGQUALOVRST.VBACO@v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18/09/18/2018-19895/net-worth-asset-transfers-and-income-exclusions-for-needs-based-benef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00D6F14EDD742A3C1269618837B7D" ma:contentTypeVersion="1" ma:contentTypeDescription="Create a new document." ma:contentTypeScope="" ma:versionID="995ba3c4a3bc1d95d75659d45c48ff1c">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464C-7D88-4C48-9CD2-927B1CF0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FEE9A8-2152-4AFD-9E57-6B9AD61778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8B1BE5-206A-41AA-A3A6-AA6D1FF5F164}">
  <ds:schemaRefs>
    <ds:schemaRef ds:uri="http://schemas.microsoft.com/sharepoint/v3/contenttype/forms"/>
  </ds:schemaRefs>
</ds:datastoreItem>
</file>

<file path=customXml/itemProps4.xml><?xml version="1.0" encoding="utf-8"?>
<ds:datastoreItem xmlns:ds="http://schemas.openxmlformats.org/officeDocument/2006/customXml" ds:itemID="{EE0E9A01-9E05-47E4-89C6-A466B4C3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3870</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Pension &amp; Fiduciary Service Inquiry Response Highlights</vt:lpstr>
    </vt:vector>
  </TitlesOfParts>
  <Company>Veterans Benefits Administration</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&amp; Fiduciary Service Inquiry Response Highlights</dc:title>
  <dc:subject>PMC VSR, PMC RVSR, PMC DRO</dc:subject>
  <dc:creator>Department of Veterans Affairs, Veterans Benefits Administration, Pension Service, STAFF</dc:creator>
  <cp:lastModifiedBy>Kathy Poole</cp:lastModifiedBy>
  <cp:revision>9</cp:revision>
  <cp:lastPrinted>2019-03-18T19:38:00Z</cp:lastPrinted>
  <dcterms:created xsi:type="dcterms:W3CDTF">2020-02-14T14:05:00Z</dcterms:created>
  <dcterms:modified xsi:type="dcterms:W3CDTF">2020-02-19T19:02:00Z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0x01010098200D6F14EDD742A3C1269618837B7D</vt:lpwstr>
  </property>
  <property fmtid="{D5CDD505-2E9C-101B-9397-08002B2CF9AE}" pid="3" name="Language">
    <vt:lpwstr>en</vt:lpwstr>
  </property>
  <property fmtid="{D5CDD505-2E9C-101B-9397-08002B2CF9AE}" pid="4" name="Type">
    <vt:lpwstr>Reference</vt:lpwstr>
  </property>
</Properties>
</file>