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4390" w14:textId="77777777" w:rsidR="006E7875" w:rsidRPr="00B06081" w:rsidRDefault="009B04C9" w:rsidP="004711E0">
      <w:pPr>
        <w:spacing w:line="276" w:lineRule="auto"/>
        <w:rPr>
          <w:rFonts w:ascii="Arial" w:hAnsi="Arial" w:cs="Arial"/>
          <w:szCs w:val="24"/>
        </w:rPr>
      </w:pPr>
      <w:bookmarkStart w:id="0" w:name="_GoBack"/>
      <w:bookmarkEnd w:id="0"/>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77777777" w:rsidR="00D019B3" w:rsidRPr="009B04C9" w:rsidRDefault="00D24ED7"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Novem</w:t>
                            </w:r>
                            <w:r w:rsidR="009A59FF">
                              <w:rPr>
                                <w:rFonts w:ascii="Arial" w:hAnsi="Arial" w:cs="Arial"/>
                                <w:b/>
                                <w:color w:val="FFFFFF" w:themeColor="background1"/>
                                <w:sz w:val="28"/>
                                <w:szCs w:val="28"/>
                              </w:rPr>
                              <w:t>ber</w:t>
                            </w:r>
                            <w:r w:rsidR="00D019B3">
                              <w:rPr>
                                <w:rFonts w:ascii="Arial" w:hAnsi="Arial" w:cs="Arial"/>
                                <w:b/>
                                <w:color w:val="FFFFFF" w:themeColor="background1"/>
                                <w:sz w:val="28"/>
                                <w:szCs w:val="28"/>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77777777" w:rsidR="00D019B3" w:rsidRPr="009B04C9" w:rsidRDefault="00D24ED7"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Novem</w:t>
                      </w:r>
                      <w:r w:rsidR="009A59FF">
                        <w:rPr>
                          <w:rFonts w:ascii="Arial" w:hAnsi="Arial" w:cs="Arial"/>
                          <w:b/>
                          <w:color w:val="FFFFFF" w:themeColor="background1"/>
                          <w:sz w:val="28"/>
                          <w:szCs w:val="28"/>
                        </w:rPr>
                        <w:t>ber</w:t>
                      </w:r>
                      <w:r w:rsidR="00D019B3">
                        <w:rPr>
                          <w:rFonts w:ascii="Arial" w:hAnsi="Arial" w:cs="Arial"/>
                          <w:b/>
                          <w:color w:val="FFFFFF" w:themeColor="background1"/>
                          <w:sz w:val="28"/>
                          <w:szCs w:val="28"/>
                        </w:rPr>
                        <w:t xml:space="preserve"> 2019</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1" w:name="_Toc26421516"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1"/>
        </w:p>
        <w:p w14:paraId="5305E28B" w14:textId="0774585A" w:rsidR="00B45E6B"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26421516" w:history="1">
            <w:r w:rsidR="00B45E6B" w:rsidRPr="00BD192B">
              <w:rPr>
                <w:rStyle w:val="Hyperlink"/>
              </w:rPr>
              <w:t>Table of Contents</w:t>
            </w:r>
            <w:r w:rsidR="00B45E6B">
              <w:rPr>
                <w:webHidden/>
              </w:rPr>
              <w:tab/>
            </w:r>
            <w:r w:rsidR="00B45E6B">
              <w:rPr>
                <w:webHidden/>
              </w:rPr>
              <w:fldChar w:fldCharType="begin"/>
            </w:r>
            <w:r w:rsidR="00B45E6B">
              <w:rPr>
                <w:webHidden/>
              </w:rPr>
              <w:instrText xml:space="preserve"> PAGEREF _Toc26421516 \h </w:instrText>
            </w:r>
            <w:r w:rsidR="00B45E6B">
              <w:rPr>
                <w:webHidden/>
              </w:rPr>
            </w:r>
            <w:r w:rsidR="00B45E6B">
              <w:rPr>
                <w:webHidden/>
              </w:rPr>
              <w:fldChar w:fldCharType="separate"/>
            </w:r>
            <w:r w:rsidR="00B45E6B">
              <w:rPr>
                <w:webHidden/>
              </w:rPr>
              <w:t>1</w:t>
            </w:r>
            <w:r w:rsidR="00B45E6B">
              <w:rPr>
                <w:webHidden/>
              </w:rPr>
              <w:fldChar w:fldCharType="end"/>
            </w:r>
          </w:hyperlink>
        </w:p>
        <w:p w14:paraId="23D0CFD4" w14:textId="4D5361AE" w:rsidR="00B45E6B" w:rsidRDefault="00A13374">
          <w:pPr>
            <w:pStyle w:val="TOC1"/>
            <w:rPr>
              <w:rFonts w:asciiTheme="minorHAnsi" w:eastAsiaTheme="minorEastAsia" w:hAnsiTheme="minorHAnsi" w:cstheme="minorBidi"/>
              <w:sz w:val="22"/>
            </w:rPr>
          </w:pPr>
          <w:hyperlink w:anchor="_Toc26421517" w:history="1">
            <w:r w:rsidR="00B45E6B" w:rsidRPr="00BD192B">
              <w:rPr>
                <w:rStyle w:val="Hyperlink"/>
                <w:b/>
              </w:rPr>
              <w:t>Pension Management Center Related Inquiries</w:t>
            </w:r>
            <w:r w:rsidR="00B45E6B">
              <w:rPr>
                <w:webHidden/>
              </w:rPr>
              <w:tab/>
            </w:r>
            <w:r w:rsidR="00B45E6B">
              <w:rPr>
                <w:webHidden/>
              </w:rPr>
              <w:fldChar w:fldCharType="begin"/>
            </w:r>
            <w:r w:rsidR="00B45E6B">
              <w:rPr>
                <w:webHidden/>
              </w:rPr>
              <w:instrText xml:space="preserve"> PAGEREF _Toc26421517 \h </w:instrText>
            </w:r>
            <w:r w:rsidR="00B45E6B">
              <w:rPr>
                <w:webHidden/>
              </w:rPr>
            </w:r>
            <w:r w:rsidR="00B45E6B">
              <w:rPr>
                <w:webHidden/>
              </w:rPr>
              <w:fldChar w:fldCharType="separate"/>
            </w:r>
            <w:r w:rsidR="00B45E6B">
              <w:rPr>
                <w:webHidden/>
              </w:rPr>
              <w:t>1</w:t>
            </w:r>
            <w:r w:rsidR="00B45E6B">
              <w:rPr>
                <w:webHidden/>
              </w:rPr>
              <w:fldChar w:fldCharType="end"/>
            </w:r>
          </w:hyperlink>
        </w:p>
        <w:p w14:paraId="1CC1CFFC" w14:textId="6FA6384A" w:rsidR="00B45E6B" w:rsidRDefault="00A13374">
          <w:pPr>
            <w:pStyle w:val="TOC1"/>
            <w:rPr>
              <w:rFonts w:asciiTheme="minorHAnsi" w:eastAsiaTheme="minorEastAsia" w:hAnsiTheme="minorHAnsi" w:cstheme="minorBidi"/>
              <w:sz w:val="22"/>
            </w:rPr>
          </w:pPr>
          <w:hyperlink w:anchor="_Toc26421518" w:history="1">
            <w:r w:rsidR="00B45E6B" w:rsidRPr="00BD192B">
              <w:rPr>
                <w:rStyle w:val="Hyperlink"/>
              </w:rPr>
              <w:t>Running Awards and a Claimants Request to be Reduced to the $90 Rate</w:t>
            </w:r>
            <w:r w:rsidR="00B45E6B">
              <w:rPr>
                <w:webHidden/>
              </w:rPr>
              <w:tab/>
            </w:r>
            <w:r w:rsidR="00B45E6B">
              <w:rPr>
                <w:webHidden/>
              </w:rPr>
              <w:fldChar w:fldCharType="begin"/>
            </w:r>
            <w:r w:rsidR="00B45E6B">
              <w:rPr>
                <w:webHidden/>
              </w:rPr>
              <w:instrText xml:space="preserve"> PAGEREF _Toc26421518 \h </w:instrText>
            </w:r>
            <w:r w:rsidR="00B45E6B">
              <w:rPr>
                <w:webHidden/>
              </w:rPr>
            </w:r>
            <w:r w:rsidR="00B45E6B">
              <w:rPr>
                <w:webHidden/>
              </w:rPr>
              <w:fldChar w:fldCharType="separate"/>
            </w:r>
            <w:r w:rsidR="00B45E6B">
              <w:rPr>
                <w:webHidden/>
              </w:rPr>
              <w:t>1</w:t>
            </w:r>
            <w:r w:rsidR="00B45E6B">
              <w:rPr>
                <w:webHidden/>
              </w:rPr>
              <w:fldChar w:fldCharType="end"/>
            </w:r>
          </w:hyperlink>
        </w:p>
        <w:p w14:paraId="5254B376" w14:textId="41AEE810" w:rsidR="00B45E6B" w:rsidRDefault="00A13374">
          <w:pPr>
            <w:pStyle w:val="TOC1"/>
            <w:rPr>
              <w:rFonts w:asciiTheme="minorHAnsi" w:eastAsiaTheme="minorEastAsia" w:hAnsiTheme="minorHAnsi" w:cstheme="minorBidi"/>
              <w:sz w:val="22"/>
            </w:rPr>
          </w:pPr>
          <w:hyperlink w:anchor="_Toc26421519" w:history="1">
            <w:r w:rsidR="00B45E6B" w:rsidRPr="00BD192B">
              <w:rPr>
                <w:rStyle w:val="Hyperlink"/>
              </w:rPr>
              <w:t>Managing Evidence on Unacceptable Applications</w:t>
            </w:r>
            <w:r w:rsidR="00B45E6B">
              <w:rPr>
                <w:webHidden/>
              </w:rPr>
              <w:tab/>
            </w:r>
            <w:r w:rsidR="00B45E6B">
              <w:rPr>
                <w:webHidden/>
              </w:rPr>
              <w:fldChar w:fldCharType="begin"/>
            </w:r>
            <w:r w:rsidR="00B45E6B">
              <w:rPr>
                <w:webHidden/>
              </w:rPr>
              <w:instrText xml:space="preserve"> PAGEREF _Toc26421519 \h </w:instrText>
            </w:r>
            <w:r w:rsidR="00B45E6B">
              <w:rPr>
                <w:webHidden/>
              </w:rPr>
            </w:r>
            <w:r w:rsidR="00B45E6B">
              <w:rPr>
                <w:webHidden/>
              </w:rPr>
              <w:fldChar w:fldCharType="separate"/>
            </w:r>
            <w:r w:rsidR="00B45E6B">
              <w:rPr>
                <w:webHidden/>
              </w:rPr>
              <w:t>5</w:t>
            </w:r>
            <w:r w:rsidR="00B45E6B">
              <w:rPr>
                <w:webHidden/>
              </w:rPr>
              <w:fldChar w:fldCharType="end"/>
            </w:r>
          </w:hyperlink>
        </w:p>
        <w:p w14:paraId="1675A98F" w14:textId="2E927CCA" w:rsidR="00B45E6B" w:rsidRDefault="00A13374">
          <w:pPr>
            <w:pStyle w:val="TOC1"/>
            <w:rPr>
              <w:rFonts w:asciiTheme="minorHAnsi" w:eastAsiaTheme="minorEastAsia" w:hAnsiTheme="minorHAnsi" w:cstheme="minorBidi"/>
              <w:sz w:val="22"/>
            </w:rPr>
          </w:pPr>
          <w:hyperlink w:anchor="_Toc26421520" w:history="1">
            <w:r w:rsidR="00B45E6B" w:rsidRPr="00BD192B">
              <w:rPr>
                <w:rStyle w:val="Hyperlink"/>
              </w:rPr>
              <w:t>Due Process Inquiry</w:t>
            </w:r>
            <w:r w:rsidR="00B45E6B">
              <w:rPr>
                <w:webHidden/>
              </w:rPr>
              <w:tab/>
            </w:r>
            <w:r w:rsidR="00B45E6B">
              <w:rPr>
                <w:webHidden/>
              </w:rPr>
              <w:fldChar w:fldCharType="begin"/>
            </w:r>
            <w:r w:rsidR="00B45E6B">
              <w:rPr>
                <w:webHidden/>
              </w:rPr>
              <w:instrText xml:space="preserve"> PAGEREF _Toc26421520 \h </w:instrText>
            </w:r>
            <w:r w:rsidR="00B45E6B">
              <w:rPr>
                <w:webHidden/>
              </w:rPr>
            </w:r>
            <w:r w:rsidR="00B45E6B">
              <w:rPr>
                <w:webHidden/>
              </w:rPr>
              <w:fldChar w:fldCharType="separate"/>
            </w:r>
            <w:r w:rsidR="00B45E6B">
              <w:rPr>
                <w:webHidden/>
              </w:rPr>
              <w:t>6</w:t>
            </w:r>
            <w:r w:rsidR="00B45E6B">
              <w:rPr>
                <w:webHidden/>
              </w:rPr>
              <w:fldChar w:fldCharType="end"/>
            </w:r>
          </w:hyperlink>
        </w:p>
        <w:p w14:paraId="3AF697CF" w14:textId="25350B9D" w:rsidR="00B45E6B" w:rsidRDefault="00A13374">
          <w:pPr>
            <w:pStyle w:val="TOC1"/>
            <w:rPr>
              <w:rFonts w:asciiTheme="minorHAnsi" w:eastAsiaTheme="minorEastAsia" w:hAnsiTheme="minorHAnsi" w:cstheme="minorBidi"/>
              <w:sz w:val="22"/>
            </w:rPr>
          </w:pPr>
          <w:hyperlink w:anchor="_Toc26421521" w:history="1">
            <w:r w:rsidR="00B45E6B" w:rsidRPr="00BD192B">
              <w:rPr>
                <w:rStyle w:val="Hyperlink"/>
              </w:rPr>
              <w:t>Clarification Request - EP 140s Intertwined with EP 165s</w:t>
            </w:r>
            <w:r w:rsidR="00B45E6B">
              <w:rPr>
                <w:webHidden/>
              </w:rPr>
              <w:tab/>
            </w:r>
            <w:r w:rsidR="00B45E6B">
              <w:rPr>
                <w:webHidden/>
              </w:rPr>
              <w:fldChar w:fldCharType="begin"/>
            </w:r>
            <w:r w:rsidR="00B45E6B">
              <w:rPr>
                <w:webHidden/>
              </w:rPr>
              <w:instrText xml:space="preserve"> PAGEREF _Toc26421521 \h </w:instrText>
            </w:r>
            <w:r w:rsidR="00B45E6B">
              <w:rPr>
                <w:webHidden/>
              </w:rPr>
            </w:r>
            <w:r w:rsidR="00B45E6B">
              <w:rPr>
                <w:webHidden/>
              </w:rPr>
              <w:fldChar w:fldCharType="separate"/>
            </w:r>
            <w:r w:rsidR="00B45E6B">
              <w:rPr>
                <w:webHidden/>
              </w:rPr>
              <w:t>7</w:t>
            </w:r>
            <w:r w:rsidR="00B45E6B">
              <w:rPr>
                <w:webHidden/>
              </w:rPr>
              <w:fldChar w:fldCharType="end"/>
            </w:r>
          </w:hyperlink>
        </w:p>
        <w:p w14:paraId="212AB745" w14:textId="59EBB90A" w:rsidR="00B45E6B" w:rsidRDefault="00A13374">
          <w:pPr>
            <w:pStyle w:val="TOC1"/>
            <w:rPr>
              <w:rFonts w:asciiTheme="minorHAnsi" w:eastAsiaTheme="minorEastAsia" w:hAnsiTheme="minorHAnsi" w:cstheme="minorBidi"/>
              <w:sz w:val="22"/>
            </w:rPr>
          </w:pPr>
          <w:hyperlink w:anchor="_Toc26421522" w:history="1">
            <w:r w:rsidR="00B45E6B" w:rsidRPr="00BD192B">
              <w:rPr>
                <w:rStyle w:val="Hyperlink"/>
                <w:b/>
              </w:rPr>
              <w:t>Fiduciary HUB Related Inquiries</w:t>
            </w:r>
            <w:r w:rsidR="00B45E6B">
              <w:rPr>
                <w:webHidden/>
              </w:rPr>
              <w:tab/>
            </w:r>
            <w:r w:rsidR="00B45E6B">
              <w:rPr>
                <w:webHidden/>
              </w:rPr>
              <w:fldChar w:fldCharType="begin"/>
            </w:r>
            <w:r w:rsidR="00B45E6B">
              <w:rPr>
                <w:webHidden/>
              </w:rPr>
              <w:instrText xml:space="preserve"> PAGEREF _Toc26421522 \h </w:instrText>
            </w:r>
            <w:r w:rsidR="00B45E6B">
              <w:rPr>
                <w:webHidden/>
              </w:rPr>
            </w:r>
            <w:r w:rsidR="00B45E6B">
              <w:rPr>
                <w:webHidden/>
              </w:rPr>
              <w:fldChar w:fldCharType="separate"/>
            </w:r>
            <w:r w:rsidR="00B45E6B">
              <w:rPr>
                <w:webHidden/>
              </w:rPr>
              <w:t>8</w:t>
            </w:r>
            <w:r w:rsidR="00B45E6B">
              <w:rPr>
                <w:webHidden/>
              </w:rPr>
              <w:fldChar w:fldCharType="end"/>
            </w:r>
          </w:hyperlink>
        </w:p>
        <w:p w14:paraId="7EC58816" w14:textId="7024A3FA" w:rsidR="00B45E6B" w:rsidRDefault="00A13374">
          <w:pPr>
            <w:pStyle w:val="TOC1"/>
            <w:rPr>
              <w:rFonts w:asciiTheme="minorHAnsi" w:eastAsiaTheme="minorEastAsia" w:hAnsiTheme="minorHAnsi" w:cstheme="minorBidi"/>
              <w:sz w:val="22"/>
            </w:rPr>
          </w:pPr>
          <w:hyperlink w:anchor="_Toc26421523" w:history="1">
            <w:r w:rsidR="00B45E6B" w:rsidRPr="00BD192B">
              <w:rPr>
                <w:rStyle w:val="Hyperlink"/>
              </w:rPr>
              <w:t>FPM 2.D.1 10/11/19 update</w:t>
            </w:r>
            <w:r w:rsidR="00B45E6B">
              <w:rPr>
                <w:webHidden/>
              </w:rPr>
              <w:tab/>
            </w:r>
            <w:r w:rsidR="00B45E6B">
              <w:rPr>
                <w:webHidden/>
              </w:rPr>
              <w:fldChar w:fldCharType="begin"/>
            </w:r>
            <w:r w:rsidR="00B45E6B">
              <w:rPr>
                <w:webHidden/>
              </w:rPr>
              <w:instrText xml:space="preserve"> PAGEREF _Toc26421523 \h </w:instrText>
            </w:r>
            <w:r w:rsidR="00B45E6B">
              <w:rPr>
                <w:webHidden/>
              </w:rPr>
            </w:r>
            <w:r w:rsidR="00B45E6B">
              <w:rPr>
                <w:webHidden/>
              </w:rPr>
              <w:fldChar w:fldCharType="separate"/>
            </w:r>
            <w:r w:rsidR="00B45E6B">
              <w:rPr>
                <w:webHidden/>
              </w:rPr>
              <w:t>8</w:t>
            </w:r>
            <w:r w:rsidR="00B45E6B">
              <w:rPr>
                <w:webHidden/>
              </w:rPr>
              <w:fldChar w:fldCharType="end"/>
            </w:r>
          </w:hyperlink>
        </w:p>
        <w:p w14:paraId="7B02B2C4" w14:textId="298C49BA" w:rsidR="00B45E6B" w:rsidRDefault="00A13374">
          <w:pPr>
            <w:pStyle w:val="TOC1"/>
            <w:rPr>
              <w:rFonts w:asciiTheme="minorHAnsi" w:eastAsiaTheme="minorEastAsia" w:hAnsiTheme="minorHAnsi" w:cstheme="minorBidi"/>
              <w:sz w:val="22"/>
            </w:rPr>
          </w:pPr>
          <w:hyperlink w:anchor="_Toc26421524" w:history="1">
            <w:r w:rsidR="00B45E6B" w:rsidRPr="00BD192B">
              <w:rPr>
                <w:rStyle w:val="Hyperlink"/>
              </w:rPr>
              <w:t>FPM 2.D.1, 2.D.4 and 2.D.5 Clarification</w:t>
            </w:r>
            <w:r w:rsidR="00B45E6B">
              <w:rPr>
                <w:webHidden/>
              </w:rPr>
              <w:tab/>
            </w:r>
            <w:r w:rsidR="00B45E6B">
              <w:rPr>
                <w:webHidden/>
              </w:rPr>
              <w:fldChar w:fldCharType="begin"/>
            </w:r>
            <w:r w:rsidR="00B45E6B">
              <w:rPr>
                <w:webHidden/>
              </w:rPr>
              <w:instrText xml:space="preserve"> PAGEREF _Toc26421524 \h </w:instrText>
            </w:r>
            <w:r w:rsidR="00B45E6B">
              <w:rPr>
                <w:webHidden/>
              </w:rPr>
            </w:r>
            <w:r w:rsidR="00B45E6B">
              <w:rPr>
                <w:webHidden/>
              </w:rPr>
              <w:fldChar w:fldCharType="separate"/>
            </w:r>
            <w:r w:rsidR="00B45E6B">
              <w:rPr>
                <w:webHidden/>
              </w:rPr>
              <w:t>9</w:t>
            </w:r>
            <w:r w:rsidR="00B45E6B">
              <w:rPr>
                <w:webHidden/>
              </w:rPr>
              <w:fldChar w:fldCharType="end"/>
            </w:r>
          </w:hyperlink>
        </w:p>
        <w:p w14:paraId="3191164B" w14:textId="70239D18" w:rsidR="00B45E6B" w:rsidRDefault="00A13374">
          <w:pPr>
            <w:pStyle w:val="TOC1"/>
            <w:rPr>
              <w:rFonts w:asciiTheme="minorHAnsi" w:eastAsiaTheme="minorEastAsia" w:hAnsiTheme="minorHAnsi" w:cstheme="minorBidi"/>
              <w:sz w:val="22"/>
            </w:rPr>
          </w:pPr>
          <w:hyperlink w:anchor="_Toc26421525" w:history="1">
            <w:r w:rsidR="00B45E6B" w:rsidRPr="00BD192B">
              <w:rPr>
                <w:rStyle w:val="Hyperlink"/>
              </w:rPr>
              <w:t>Question Regarding Direct Deposit Change Verification</w:t>
            </w:r>
            <w:r w:rsidR="00B45E6B">
              <w:rPr>
                <w:webHidden/>
              </w:rPr>
              <w:tab/>
            </w:r>
            <w:r w:rsidR="00B45E6B">
              <w:rPr>
                <w:webHidden/>
              </w:rPr>
              <w:fldChar w:fldCharType="begin"/>
            </w:r>
            <w:r w:rsidR="00B45E6B">
              <w:rPr>
                <w:webHidden/>
              </w:rPr>
              <w:instrText xml:space="preserve"> PAGEREF _Toc26421525 \h </w:instrText>
            </w:r>
            <w:r w:rsidR="00B45E6B">
              <w:rPr>
                <w:webHidden/>
              </w:rPr>
            </w:r>
            <w:r w:rsidR="00B45E6B">
              <w:rPr>
                <w:webHidden/>
              </w:rPr>
              <w:fldChar w:fldCharType="separate"/>
            </w:r>
            <w:r w:rsidR="00B45E6B">
              <w:rPr>
                <w:webHidden/>
              </w:rPr>
              <w:t>10</w:t>
            </w:r>
            <w:r w:rsidR="00B45E6B">
              <w:rPr>
                <w:webHidden/>
              </w:rPr>
              <w:fldChar w:fldCharType="end"/>
            </w:r>
          </w:hyperlink>
        </w:p>
        <w:p w14:paraId="26111649" w14:textId="247F392C" w:rsidR="00B45E6B" w:rsidRDefault="00A13374">
          <w:pPr>
            <w:pStyle w:val="TOC1"/>
            <w:rPr>
              <w:rFonts w:asciiTheme="minorHAnsi" w:eastAsiaTheme="minorEastAsia" w:hAnsiTheme="minorHAnsi" w:cstheme="minorBidi"/>
              <w:sz w:val="22"/>
            </w:rPr>
          </w:pPr>
          <w:hyperlink w:anchor="_Toc26421526" w:history="1">
            <w:r w:rsidR="00B45E6B" w:rsidRPr="00BD192B">
              <w:rPr>
                <w:rStyle w:val="Hyperlink"/>
                <w:b/>
              </w:rPr>
              <w:t>P&amp;F Service Information</w:t>
            </w:r>
            <w:r w:rsidR="00B45E6B">
              <w:rPr>
                <w:webHidden/>
              </w:rPr>
              <w:tab/>
            </w:r>
            <w:r w:rsidR="00B45E6B">
              <w:rPr>
                <w:webHidden/>
              </w:rPr>
              <w:fldChar w:fldCharType="begin"/>
            </w:r>
            <w:r w:rsidR="00B45E6B">
              <w:rPr>
                <w:webHidden/>
              </w:rPr>
              <w:instrText xml:space="preserve"> PAGEREF _Toc26421526 \h </w:instrText>
            </w:r>
            <w:r w:rsidR="00B45E6B">
              <w:rPr>
                <w:webHidden/>
              </w:rPr>
            </w:r>
            <w:r w:rsidR="00B45E6B">
              <w:rPr>
                <w:webHidden/>
              </w:rPr>
              <w:fldChar w:fldCharType="separate"/>
            </w:r>
            <w:r w:rsidR="00B45E6B">
              <w:rPr>
                <w:webHidden/>
              </w:rPr>
              <w:t>11</w:t>
            </w:r>
            <w:r w:rsidR="00B45E6B">
              <w:rPr>
                <w:webHidden/>
              </w:rPr>
              <w:fldChar w:fldCharType="end"/>
            </w:r>
          </w:hyperlink>
        </w:p>
        <w:p w14:paraId="7890BC97" w14:textId="76E53EFB" w:rsidR="00B45E6B" w:rsidRDefault="00A13374">
          <w:pPr>
            <w:pStyle w:val="TOC1"/>
            <w:rPr>
              <w:rFonts w:asciiTheme="minorHAnsi" w:eastAsiaTheme="minorEastAsia" w:hAnsiTheme="minorHAnsi" w:cstheme="minorBidi"/>
              <w:sz w:val="22"/>
            </w:rPr>
          </w:pPr>
          <w:hyperlink w:anchor="_Toc26421527" w:history="1">
            <w:r w:rsidR="00B45E6B" w:rsidRPr="00BD192B">
              <w:rPr>
                <w:rStyle w:val="Hyperlink"/>
              </w:rPr>
              <w:t>P&amp;F Service Contact Information</w:t>
            </w:r>
            <w:r w:rsidR="00B45E6B">
              <w:rPr>
                <w:webHidden/>
              </w:rPr>
              <w:tab/>
            </w:r>
            <w:r w:rsidR="00B45E6B">
              <w:rPr>
                <w:webHidden/>
              </w:rPr>
              <w:fldChar w:fldCharType="begin"/>
            </w:r>
            <w:r w:rsidR="00B45E6B">
              <w:rPr>
                <w:webHidden/>
              </w:rPr>
              <w:instrText xml:space="preserve"> PAGEREF _Toc26421527 \h </w:instrText>
            </w:r>
            <w:r w:rsidR="00B45E6B">
              <w:rPr>
                <w:webHidden/>
              </w:rPr>
            </w:r>
            <w:r w:rsidR="00B45E6B">
              <w:rPr>
                <w:webHidden/>
              </w:rPr>
              <w:fldChar w:fldCharType="separate"/>
            </w:r>
            <w:r w:rsidR="00B45E6B">
              <w:rPr>
                <w:webHidden/>
              </w:rPr>
              <w:t>11</w:t>
            </w:r>
            <w:r w:rsidR="00B45E6B">
              <w:rPr>
                <w:webHidden/>
              </w:rPr>
              <w:fldChar w:fldCharType="end"/>
            </w:r>
          </w:hyperlink>
        </w:p>
        <w:p w14:paraId="639FF765" w14:textId="5C5446C8" w:rsidR="00B45E6B" w:rsidRDefault="00A13374">
          <w:pPr>
            <w:pStyle w:val="TOC1"/>
            <w:rPr>
              <w:rFonts w:asciiTheme="minorHAnsi" w:eastAsiaTheme="minorEastAsia" w:hAnsiTheme="minorHAnsi" w:cstheme="minorBidi"/>
              <w:sz w:val="22"/>
            </w:rPr>
          </w:pPr>
          <w:hyperlink w:anchor="_Toc26421528" w:history="1">
            <w:r w:rsidR="00B45E6B" w:rsidRPr="00BD192B">
              <w:rPr>
                <w:rStyle w:val="Hyperlink"/>
              </w:rPr>
              <w:t>Disclaimer</w:t>
            </w:r>
            <w:r w:rsidR="00B45E6B">
              <w:rPr>
                <w:webHidden/>
              </w:rPr>
              <w:tab/>
            </w:r>
            <w:r w:rsidR="00B45E6B">
              <w:rPr>
                <w:webHidden/>
              </w:rPr>
              <w:fldChar w:fldCharType="begin"/>
            </w:r>
            <w:r w:rsidR="00B45E6B">
              <w:rPr>
                <w:webHidden/>
              </w:rPr>
              <w:instrText xml:space="preserve"> PAGEREF _Toc26421528 \h </w:instrText>
            </w:r>
            <w:r w:rsidR="00B45E6B">
              <w:rPr>
                <w:webHidden/>
              </w:rPr>
            </w:r>
            <w:r w:rsidR="00B45E6B">
              <w:rPr>
                <w:webHidden/>
              </w:rPr>
              <w:fldChar w:fldCharType="separate"/>
            </w:r>
            <w:r w:rsidR="00B45E6B">
              <w:rPr>
                <w:webHidden/>
              </w:rPr>
              <w:t>12</w:t>
            </w:r>
            <w:r w:rsidR="00B45E6B">
              <w:rPr>
                <w:webHidden/>
              </w:rPr>
              <w:fldChar w:fldCharType="end"/>
            </w:r>
          </w:hyperlink>
        </w:p>
        <w:p w14:paraId="22097C67" w14:textId="7EF68980"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2" w:name="_Toc358798484" w:displacedByCustomXml="prev"/>
    <w:bookmarkStart w:id="3" w:name="_Toc358798235" w:displacedByCustomXml="prev"/>
    <w:bookmarkStart w:id="4" w:name="_Toc358797197" w:displacedByCustomXml="prev"/>
    <w:bookmarkStart w:id="5" w:name="_Toc358794014" w:displacedByCustomXml="prev"/>
    <w:bookmarkStart w:id="6" w:name="_Toc358792455" w:displacedByCustomXml="prev"/>
    <w:p w14:paraId="60F64692" w14:textId="77777777" w:rsidR="00AA74F6" w:rsidRPr="00900D56" w:rsidRDefault="00AA74F6" w:rsidP="00AA74F6">
      <w:pPr>
        <w:pStyle w:val="Heading1"/>
        <w:rPr>
          <w:rFonts w:ascii="Arial" w:hAnsi="Arial" w:cs="Arial"/>
          <w:b/>
          <w:color w:val="auto"/>
          <w:sz w:val="36"/>
        </w:rPr>
      </w:pPr>
      <w:bookmarkStart w:id="7" w:name="_Toc11231410"/>
      <w:bookmarkStart w:id="8" w:name="_Toc26421517"/>
      <w:bookmarkEnd w:id="6"/>
      <w:bookmarkEnd w:id="5"/>
      <w:bookmarkEnd w:id="4"/>
      <w:bookmarkEnd w:id="3"/>
      <w:bookmarkEnd w:id="2"/>
      <w:r w:rsidRPr="00900D56">
        <w:rPr>
          <w:rFonts w:ascii="Arial" w:hAnsi="Arial" w:cs="Arial"/>
          <w:b/>
          <w:color w:val="auto"/>
          <w:sz w:val="36"/>
        </w:rPr>
        <w:t>Pension Management Center Related Inquiries</w:t>
      </w:r>
      <w:bookmarkEnd w:id="7"/>
      <w:bookmarkEnd w:id="8"/>
    </w:p>
    <w:p w14:paraId="62FE2FFF" w14:textId="77777777" w:rsidR="00824543" w:rsidRPr="00824543" w:rsidRDefault="008D1696" w:rsidP="00824543">
      <w:pPr>
        <w:pStyle w:val="Heading1"/>
        <w:rPr>
          <w:rFonts w:ascii="Arial" w:hAnsi="Arial" w:cs="Arial"/>
        </w:rPr>
      </w:pPr>
      <w:bookmarkStart w:id="9" w:name="_Toc26421518"/>
      <w:bookmarkStart w:id="10" w:name="_Hlk26518113"/>
      <w:r w:rsidRPr="008D1696">
        <w:rPr>
          <w:rFonts w:ascii="Arial" w:hAnsi="Arial" w:cs="Arial"/>
        </w:rPr>
        <w:t>Running Awards and a Claimants Request to be Reduced to the $90 Rate</w:t>
      </w:r>
      <w:bookmarkEnd w:id="9"/>
    </w:p>
    <w:bookmarkEnd w:id="10"/>
    <w:p w14:paraId="4C842520" w14:textId="77777777" w:rsidR="00824543" w:rsidRDefault="00824543" w:rsidP="00824543">
      <w:pPr>
        <w:spacing w:after="0" w:line="240" w:lineRule="auto"/>
        <w:rPr>
          <w:rFonts w:ascii="Arial" w:hAnsi="Arial" w:cs="Arial"/>
        </w:rPr>
      </w:pPr>
      <w:r w:rsidRPr="00824543">
        <w:rPr>
          <w:rFonts w:ascii="Arial" w:hAnsi="Arial" w:cs="Arial"/>
          <w:b/>
        </w:rPr>
        <w:t>Target Audience</w:t>
      </w:r>
      <w:r w:rsidRPr="00824543">
        <w:rPr>
          <w:rFonts w:ascii="Arial" w:hAnsi="Arial" w:cs="Arial"/>
        </w:rPr>
        <w:t>:</w:t>
      </w:r>
      <w:r w:rsidR="002B7668">
        <w:rPr>
          <w:rFonts w:ascii="Arial" w:hAnsi="Arial" w:cs="Arial"/>
        </w:rPr>
        <w:t xml:space="preserve"> </w:t>
      </w:r>
      <w:r w:rsidR="00D07CE0">
        <w:rPr>
          <w:rFonts w:ascii="Arial" w:hAnsi="Arial" w:cs="Arial"/>
        </w:rPr>
        <w:t>PMC Claims Processors</w:t>
      </w:r>
      <w:r w:rsidR="00161EB9">
        <w:rPr>
          <w:rFonts w:ascii="Arial" w:hAnsi="Arial" w:cs="Arial"/>
        </w:rPr>
        <w:t xml:space="preserve"> </w:t>
      </w:r>
    </w:p>
    <w:p w14:paraId="04910E27" w14:textId="77777777" w:rsidR="008D1696" w:rsidRDefault="008D1696" w:rsidP="00C65B92">
      <w:pPr>
        <w:spacing w:after="0" w:line="240" w:lineRule="auto"/>
        <w:rPr>
          <w:rFonts w:ascii="Arial" w:eastAsia="Calibri" w:hAnsi="Arial" w:cs="Arial"/>
          <w:szCs w:val="24"/>
        </w:rPr>
      </w:pPr>
    </w:p>
    <w:p w14:paraId="4BD89342" w14:textId="77777777" w:rsidR="008D1696" w:rsidRDefault="008D1696" w:rsidP="008D1696">
      <w:pPr>
        <w:pStyle w:val="PlainText"/>
        <w:rPr>
          <w:rFonts w:ascii="Arial" w:hAnsi="Arial" w:cs="Arial"/>
          <w:sz w:val="24"/>
          <w:szCs w:val="24"/>
        </w:rPr>
      </w:pPr>
      <w:r>
        <w:rPr>
          <w:rFonts w:ascii="Arial" w:hAnsi="Arial" w:cs="Arial"/>
          <w:b/>
          <w:sz w:val="24"/>
          <w:szCs w:val="24"/>
        </w:rPr>
        <w:t>Question 1:</w:t>
      </w:r>
      <w:r>
        <w:rPr>
          <w:rFonts w:ascii="Arial" w:hAnsi="Arial" w:cs="Arial"/>
          <w:sz w:val="24"/>
          <w:szCs w:val="24"/>
        </w:rPr>
        <w:t xml:space="preserve"> Prior to “prescribed form” requirements for any changes in medical expenses, PMCs could just call to verify the claimant was a patient in a Medicaid approved Nursing Home (NH) and what he/she was paying the facility. From there, PMCs could reduce the claimant to the $90 rate right away (date last paid). </w:t>
      </w:r>
    </w:p>
    <w:p w14:paraId="4E962171" w14:textId="77777777" w:rsidR="008D1696" w:rsidRDefault="008D1696" w:rsidP="008D1696">
      <w:pPr>
        <w:pStyle w:val="PlainText"/>
        <w:rPr>
          <w:rFonts w:ascii="Arial" w:hAnsi="Arial" w:cs="Arial"/>
          <w:sz w:val="24"/>
          <w:szCs w:val="24"/>
        </w:rPr>
      </w:pPr>
      <w:r>
        <w:rPr>
          <w:rFonts w:ascii="Arial" w:hAnsi="Arial" w:cs="Arial"/>
          <w:sz w:val="24"/>
          <w:szCs w:val="24"/>
        </w:rPr>
        <w:lastRenderedPageBreak/>
        <w:t> </w:t>
      </w:r>
    </w:p>
    <w:p w14:paraId="708DDD6A" w14:textId="77777777" w:rsidR="008D1696" w:rsidRDefault="008D1696" w:rsidP="008D1696">
      <w:pPr>
        <w:pStyle w:val="PlainText"/>
        <w:rPr>
          <w:rFonts w:ascii="Arial" w:hAnsi="Arial" w:cs="Arial"/>
          <w:sz w:val="24"/>
          <w:szCs w:val="24"/>
        </w:rPr>
      </w:pPr>
      <w:r>
        <w:rPr>
          <w:rFonts w:ascii="Arial" w:hAnsi="Arial" w:cs="Arial"/>
          <w:sz w:val="24"/>
          <w:szCs w:val="24"/>
        </w:rPr>
        <w:t xml:space="preserve">Now PMCs cannot take the NH information over the phone from the claimant and has to request it in a development letter. This holds up the reduction to $90 for another 4-5 months. In that time PMCs could have been paying the claimant $90 instead of the maximum pension rate. This jeopardizes the claimant’s Medicaid status as now he/she may now be over the income limit to qualify for that benefit. </w:t>
      </w:r>
    </w:p>
    <w:p w14:paraId="0D7424E5" w14:textId="77777777" w:rsidR="008D1696" w:rsidRDefault="008D1696" w:rsidP="008D1696">
      <w:pPr>
        <w:pStyle w:val="PlainText"/>
        <w:rPr>
          <w:rFonts w:ascii="Arial" w:hAnsi="Arial" w:cs="Arial"/>
          <w:sz w:val="24"/>
          <w:szCs w:val="24"/>
        </w:rPr>
      </w:pPr>
      <w:r>
        <w:rPr>
          <w:rFonts w:ascii="Arial" w:hAnsi="Arial" w:cs="Arial"/>
          <w:sz w:val="24"/>
          <w:szCs w:val="24"/>
        </w:rPr>
        <w:t> </w:t>
      </w:r>
    </w:p>
    <w:p w14:paraId="3BB8228F" w14:textId="77777777" w:rsidR="008D1696" w:rsidRDefault="008D1696" w:rsidP="008D1696">
      <w:pPr>
        <w:pStyle w:val="PlainText"/>
        <w:rPr>
          <w:rFonts w:ascii="Arial" w:hAnsi="Arial" w:cs="Arial"/>
          <w:sz w:val="24"/>
          <w:szCs w:val="24"/>
        </w:rPr>
      </w:pPr>
      <w:r>
        <w:rPr>
          <w:rFonts w:ascii="Arial" w:hAnsi="Arial" w:cs="Arial"/>
          <w:sz w:val="24"/>
          <w:szCs w:val="24"/>
        </w:rPr>
        <w:t>Lastly, if the claimant unfortunately doesn’t reply to the PMC’s request in the development letter, an adjustment has to be made to remove all unverified medical expenses, which typically terminates the claimant’s award and creates an overpayment. All this is not a good situation for our beneficiaries. Our own rules cause a severe hardship on them.</w:t>
      </w:r>
    </w:p>
    <w:p w14:paraId="221298B9" w14:textId="77777777" w:rsidR="008D1696" w:rsidRDefault="008D1696" w:rsidP="008D1696">
      <w:pPr>
        <w:pStyle w:val="PlainText"/>
        <w:rPr>
          <w:rFonts w:ascii="Arial" w:hAnsi="Arial" w:cs="Arial"/>
          <w:sz w:val="24"/>
          <w:szCs w:val="24"/>
        </w:rPr>
      </w:pPr>
    </w:p>
    <w:p w14:paraId="3E79C3B4" w14:textId="6F4FC086" w:rsidR="008D1696" w:rsidRDefault="008D1696" w:rsidP="008D1696">
      <w:pPr>
        <w:pStyle w:val="PlainText"/>
        <w:rPr>
          <w:rFonts w:ascii="Arial" w:hAnsi="Arial" w:cs="Arial"/>
          <w:sz w:val="24"/>
          <w:szCs w:val="24"/>
        </w:rPr>
      </w:pPr>
      <w:r>
        <w:rPr>
          <w:rFonts w:ascii="Arial" w:hAnsi="Arial" w:cs="Arial"/>
          <w:b/>
          <w:sz w:val="24"/>
          <w:szCs w:val="24"/>
        </w:rPr>
        <w:t>P&amp;F Response:</w:t>
      </w:r>
      <w:r>
        <w:rPr>
          <w:rFonts w:ascii="Arial" w:hAnsi="Arial" w:cs="Arial"/>
          <w:sz w:val="24"/>
          <w:szCs w:val="24"/>
        </w:rPr>
        <w:t xml:space="preserve"> Per M21-1.III.ii.2.B.1.b, VA does not require beneficiaries to use a specific form (i.e. VA Form 21-8416, 21-0779, etc.) to report a change in income</w:t>
      </w:r>
      <w:r w:rsidR="0029487F">
        <w:rPr>
          <w:rFonts w:ascii="Arial" w:hAnsi="Arial" w:cs="Arial"/>
          <w:sz w:val="24"/>
          <w:szCs w:val="24"/>
        </w:rPr>
        <w:t xml:space="preserve"> </w:t>
      </w:r>
      <w:r>
        <w:rPr>
          <w:rFonts w:ascii="Arial" w:hAnsi="Arial" w:cs="Arial"/>
          <w:sz w:val="24"/>
          <w:szCs w:val="24"/>
        </w:rPr>
        <w:t xml:space="preserve">that will result in a decrease in benefits.  A beneficiary may report such changes </w:t>
      </w:r>
    </w:p>
    <w:p w14:paraId="6055A9B4" w14:textId="77777777" w:rsidR="008D1696" w:rsidRDefault="008D1696" w:rsidP="008D1696">
      <w:pPr>
        <w:pStyle w:val="PlainText"/>
        <w:numPr>
          <w:ilvl w:val="0"/>
          <w:numId w:val="35"/>
        </w:numPr>
        <w:rPr>
          <w:rFonts w:ascii="Arial" w:hAnsi="Arial" w:cs="Arial"/>
          <w:sz w:val="24"/>
          <w:szCs w:val="24"/>
        </w:rPr>
      </w:pPr>
      <w:r>
        <w:rPr>
          <w:rFonts w:ascii="Arial" w:hAnsi="Arial" w:cs="Arial"/>
          <w:sz w:val="24"/>
          <w:szCs w:val="24"/>
        </w:rPr>
        <w:t>in writing</w:t>
      </w:r>
    </w:p>
    <w:p w14:paraId="515C4C03" w14:textId="77777777" w:rsidR="008D1696" w:rsidRDefault="008D1696" w:rsidP="008D1696">
      <w:pPr>
        <w:pStyle w:val="PlainText"/>
        <w:numPr>
          <w:ilvl w:val="0"/>
          <w:numId w:val="35"/>
        </w:numPr>
        <w:rPr>
          <w:rFonts w:ascii="Arial" w:hAnsi="Arial" w:cs="Arial"/>
          <w:sz w:val="24"/>
          <w:szCs w:val="24"/>
        </w:rPr>
      </w:pPr>
      <w:r>
        <w:rPr>
          <w:rFonts w:ascii="Arial" w:hAnsi="Arial" w:cs="Arial"/>
          <w:sz w:val="24"/>
          <w:szCs w:val="24"/>
        </w:rPr>
        <w:t>by telephone, email, or fax, or</w:t>
      </w:r>
    </w:p>
    <w:p w14:paraId="5CDCDEF6" w14:textId="77777777" w:rsidR="008D1696" w:rsidRDefault="008D1696" w:rsidP="008D1696">
      <w:pPr>
        <w:pStyle w:val="PlainText"/>
        <w:numPr>
          <w:ilvl w:val="0"/>
          <w:numId w:val="35"/>
        </w:numPr>
        <w:rPr>
          <w:rFonts w:ascii="Arial" w:hAnsi="Arial" w:cs="Arial"/>
          <w:sz w:val="24"/>
          <w:szCs w:val="24"/>
        </w:rPr>
      </w:pPr>
      <w:r>
        <w:rPr>
          <w:rFonts w:ascii="Arial" w:hAnsi="Arial" w:cs="Arial"/>
          <w:sz w:val="24"/>
          <w:szCs w:val="24"/>
        </w:rPr>
        <w:t>through eBenefits.</w:t>
      </w:r>
    </w:p>
    <w:p w14:paraId="20627556" w14:textId="59378AEB" w:rsidR="008D1696" w:rsidRDefault="008D1696" w:rsidP="008D1696">
      <w:pPr>
        <w:pStyle w:val="PlainText"/>
        <w:rPr>
          <w:rFonts w:ascii="Arial" w:hAnsi="Arial" w:cs="Arial"/>
          <w:color w:val="7030A0"/>
          <w:sz w:val="24"/>
          <w:szCs w:val="24"/>
        </w:rPr>
      </w:pPr>
    </w:p>
    <w:p w14:paraId="42D94C29" w14:textId="7DBA4E03" w:rsidR="00814648" w:rsidRPr="002F4789" w:rsidRDefault="00814648" w:rsidP="008D1696">
      <w:pPr>
        <w:pStyle w:val="PlainText"/>
        <w:rPr>
          <w:rFonts w:ascii="Arial" w:hAnsi="Arial" w:cs="Arial"/>
          <w:sz w:val="24"/>
          <w:szCs w:val="24"/>
        </w:rPr>
      </w:pPr>
      <w:r w:rsidRPr="002F4789">
        <w:rPr>
          <w:rFonts w:ascii="Arial" w:hAnsi="Arial" w:cs="Arial"/>
          <w:sz w:val="24"/>
          <w:szCs w:val="24"/>
          <w:highlight w:val="yellow"/>
        </w:rPr>
        <w:t>This guidance</w:t>
      </w:r>
      <w:r w:rsidR="002F4789">
        <w:rPr>
          <w:rFonts w:ascii="Arial" w:hAnsi="Arial" w:cs="Arial"/>
          <w:sz w:val="24"/>
          <w:szCs w:val="24"/>
          <w:highlight w:val="yellow"/>
        </w:rPr>
        <w:t xml:space="preserve"> also</w:t>
      </w:r>
      <w:r w:rsidRPr="002F4789">
        <w:rPr>
          <w:rFonts w:ascii="Arial" w:hAnsi="Arial" w:cs="Arial"/>
          <w:sz w:val="24"/>
          <w:szCs w:val="24"/>
          <w:highlight w:val="yellow"/>
        </w:rPr>
        <w:t xml:space="preserve"> applies to a report of a change in </w:t>
      </w:r>
      <w:r w:rsidRPr="002F4789">
        <w:rPr>
          <w:rFonts w:ascii="Arial" w:hAnsi="Arial" w:cs="Arial"/>
          <w:i/>
          <w:sz w:val="24"/>
          <w:szCs w:val="24"/>
          <w:highlight w:val="yellow"/>
        </w:rPr>
        <w:t>status</w:t>
      </w:r>
      <w:r w:rsidRPr="002F4789">
        <w:rPr>
          <w:rFonts w:ascii="Arial" w:hAnsi="Arial" w:cs="Arial"/>
          <w:sz w:val="24"/>
          <w:szCs w:val="24"/>
          <w:highlight w:val="yellow"/>
        </w:rPr>
        <w:t xml:space="preserve"> that would result in a decrease in benefits, such as when a claimant reports</w:t>
      </w:r>
      <w:r w:rsidR="007828FE" w:rsidRPr="002F4789">
        <w:rPr>
          <w:rFonts w:ascii="Arial" w:hAnsi="Arial" w:cs="Arial"/>
          <w:sz w:val="24"/>
          <w:szCs w:val="24"/>
          <w:highlight w:val="yellow"/>
        </w:rPr>
        <w:t xml:space="preserve"> being admitted to a Medicaid-approved nursing facility. Manual changes are forthcoming to further clarify this guidance.</w:t>
      </w:r>
      <w:r w:rsidR="007828FE" w:rsidRPr="002F4789">
        <w:rPr>
          <w:rFonts w:ascii="Arial" w:hAnsi="Arial" w:cs="Arial"/>
          <w:sz w:val="24"/>
          <w:szCs w:val="24"/>
        </w:rPr>
        <w:t xml:space="preserve">  </w:t>
      </w:r>
    </w:p>
    <w:p w14:paraId="620E5DDD" w14:textId="77777777" w:rsidR="00814648" w:rsidRDefault="00814648" w:rsidP="008D1696">
      <w:pPr>
        <w:pStyle w:val="PlainText"/>
        <w:rPr>
          <w:rFonts w:ascii="Arial" w:hAnsi="Arial" w:cs="Arial"/>
          <w:color w:val="7030A0"/>
          <w:sz w:val="24"/>
          <w:szCs w:val="24"/>
        </w:rPr>
      </w:pPr>
    </w:p>
    <w:p w14:paraId="7C3C2248" w14:textId="77777777" w:rsidR="008D1696" w:rsidRDefault="008D1696" w:rsidP="008D1696">
      <w:pPr>
        <w:pStyle w:val="PlainText"/>
        <w:rPr>
          <w:rFonts w:ascii="Arial" w:hAnsi="Arial" w:cs="Arial"/>
          <w:sz w:val="24"/>
          <w:szCs w:val="24"/>
        </w:rPr>
      </w:pPr>
      <w:r>
        <w:rPr>
          <w:rFonts w:ascii="Arial" w:hAnsi="Arial" w:cs="Arial"/>
          <w:b/>
          <w:sz w:val="24"/>
          <w:szCs w:val="24"/>
        </w:rPr>
        <w:t>Question 2:</w:t>
      </w:r>
      <w:r>
        <w:rPr>
          <w:rFonts w:ascii="Arial" w:hAnsi="Arial" w:cs="Arial"/>
          <w:sz w:val="24"/>
          <w:szCs w:val="24"/>
        </w:rPr>
        <w:t xml:space="preserve"> What should the $90 due process letter look like? (no examples provided) </w:t>
      </w:r>
    </w:p>
    <w:p w14:paraId="29FC0D48" w14:textId="77777777" w:rsidR="008D1696" w:rsidRDefault="008D1696" w:rsidP="008D1696">
      <w:pPr>
        <w:pStyle w:val="PlainText"/>
        <w:rPr>
          <w:rFonts w:ascii="Arial" w:hAnsi="Arial" w:cs="Arial"/>
          <w:sz w:val="24"/>
          <w:szCs w:val="24"/>
        </w:rPr>
      </w:pPr>
      <w:r>
        <w:rPr>
          <w:rFonts w:ascii="Arial" w:hAnsi="Arial" w:cs="Arial"/>
          <w:sz w:val="24"/>
          <w:szCs w:val="24"/>
        </w:rPr>
        <w:t> </w:t>
      </w:r>
    </w:p>
    <w:p w14:paraId="45965700" w14:textId="77777777" w:rsidR="008D1696" w:rsidRDefault="008D1696" w:rsidP="008D1696">
      <w:pPr>
        <w:pStyle w:val="PlainText"/>
        <w:rPr>
          <w:rFonts w:ascii="Arial" w:hAnsi="Arial" w:cs="Arial"/>
          <w:color w:val="7030A0"/>
          <w:sz w:val="24"/>
          <w:szCs w:val="24"/>
        </w:rPr>
      </w:pPr>
      <w:r>
        <w:rPr>
          <w:rFonts w:ascii="Arial" w:hAnsi="Arial" w:cs="Arial"/>
          <w:b/>
          <w:sz w:val="24"/>
          <w:szCs w:val="24"/>
        </w:rPr>
        <w:t>P&amp;F Response:</w:t>
      </w:r>
      <w:r>
        <w:rPr>
          <w:rFonts w:ascii="Arial" w:hAnsi="Arial" w:cs="Arial"/>
          <w:sz w:val="24"/>
          <w:szCs w:val="24"/>
        </w:rPr>
        <w:t xml:space="preserve"> M21-1.I.2.B lists the requirements of a due process letter.  A Medicaid due process letter should utilize the PCGL template PP9 and should be tailored to the specifics of the case and provide the necessary information outlined in M21-1.I.2.B.2.a and b.</w:t>
      </w:r>
    </w:p>
    <w:p w14:paraId="33947EA8" w14:textId="77777777" w:rsidR="008D1696" w:rsidRDefault="008D1696" w:rsidP="008D1696">
      <w:pPr>
        <w:pStyle w:val="PlainText"/>
        <w:rPr>
          <w:rFonts w:ascii="Arial" w:hAnsi="Arial" w:cs="Arial"/>
          <w:sz w:val="24"/>
          <w:szCs w:val="24"/>
        </w:rPr>
      </w:pPr>
    </w:p>
    <w:p w14:paraId="62CBBCD5" w14:textId="77777777" w:rsidR="008D1696" w:rsidRDefault="008D1696" w:rsidP="008D1696">
      <w:pPr>
        <w:pStyle w:val="PlainText"/>
        <w:rPr>
          <w:rFonts w:ascii="Arial" w:hAnsi="Arial" w:cs="Arial"/>
          <w:sz w:val="24"/>
          <w:szCs w:val="24"/>
        </w:rPr>
      </w:pPr>
      <w:r>
        <w:rPr>
          <w:rFonts w:ascii="Arial" w:hAnsi="Arial" w:cs="Arial"/>
          <w:b/>
          <w:sz w:val="24"/>
          <w:szCs w:val="24"/>
        </w:rPr>
        <w:t>Question 3:</w:t>
      </w:r>
      <w:r>
        <w:rPr>
          <w:rFonts w:ascii="Arial" w:hAnsi="Arial" w:cs="Arial"/>
          <w:sz w:val="24"/>
          <w:szCs w:val="24"/>
        </w:rPr>
        <w:t xml:space="preserve"> What specific elements must a $90 due process letter contain? (e.g. 8416/0779 required? They are not mentioned in this reference.</w:t>
      </w:r>
    </w:p>
    <w:p w14:paraId="3D18345C" w14:textId="77777777" w:rsidR="008D1696" w:rsidRDefault="008D1696" w:rsidP="008D1696">
      <w:pPr>
        <w:pStyle w:val="PlainText"/>
        <w:rPr>
          <w:rFonts w:ascii="Arial" w:hAnsi="Arial" w:cs="Arial"/>
          <w:sz w:val="24"/>
          <w:szCs w:val="24"/>
        </w:rPr>
      </w:pPr>
    </w:p>
    <w:p w14:paraId="649D865C" w14:textId="77777777" w:rsidR="008D1696" w:rsidRDefault="008D1696" w:rsidP="008D1696">
      <w:pPr>
        <w:pStyle w:val="PlainText"/>
        <w:rPr>
          <w:rFonts w:ascii="Arial" w:hAnsi="Arial" w:cs="Arial"/>
          <w:sz w:val="24"/>
          <w:szCs w:val="24"/>
        </w:rPr>
      </w:pPr>
      <w:r>
        <w:rPr>
          <w:rFonts w:ascii="Arial" w:hAnsi="Arial" w:cs="Arial"/>
          <w:b/>
          <w:sz w:val="24"/>
          <w:szCs w:val="24"/>
        </w:rPr>
        <w:t>P&amp;F Response:</w:t>
      </w:r>
      <w:r>
        <w:rPr>
          <w:rFonts w:ascii="Arial" w:hAnsi="Arial" w:cs="Arial"/>
          <w:sz w:val="24"/>
          <w:szCs w:val="24"/>
        </w:rPr>
        <w:t xml:space="preserve"> M21-1.I.2.B.2.a and b outline the necessary information a due process letter must contain.  Furthermore, M21-1.I.2.B.2.a notes the attachment of forms to supplement due process does not substitute for the information that must be included within the letter.  Therefore, send any VA Form as an attachment to the due process letter that will provide the requested information to adjudicate the claim.  For your convenience, below are the manual references applicable to this question.  </w:t>
      </w:r>
    </w:p>
    <w:p w14:paraId="0A386891" w14:textId="77777777" w:rsidR="008D1696" w:rsidRDefault="008D1696" w:rsidP="008D1696">
      <w:pPr>
        <w:pStyle w:val="PlainText"/>
        <w:rPr>
          <w:rFonts w:ascii="Arial" w:hAnsi="Arial" w:cs="Arial"/>
          <w:sz w:val="24"/>
          <w:szCs w:val="24"/>
        </w:rPr>
      </w:pPr>
    </w:p>
    <w:tbl>
      <w:tblPr>
        <w:tblW w:w="0" w:type="auto"/>
        <w:tblCellSpacing w:w="0" w:type="dxa"/>
        <w:tblCellMar>
          <w:left w:w="0" w:type="dxa"/>
          <w:right w:w="0" w:type="dxa"/>
        </w:tblCellMar>
        <w:tblLook w:val="04A0" w:firstRow="1" w:lastRow="0" w:firstColumn="1" w:lastColumn="0" w:noHBand="0" w:noVBand="1"/>
      </w:tblPr>
      <w:tblGrid>
        <w:gridCol w:w="1994"/>
        <w:gridCol w:w="205"/>
        <w:gridCol w:w="7161"/>
      </w:tblGrid>
      <w:tr w:rsidR="008D1696" w14:paraId="52A67F9D" w14:textId="77777777" w:rsidTr="008D1696">
        <w:trPr>
          <w:trHeight w:val="120"/>
          <w:tblCellSpacing w:w="0" w:type="dxa"/>
        </w:trPr>
        <w:tc>
          <w:tcPr>
            <w:tcW w:w="1725" w:type="dxa"/>
            <w:hideMark/>
          </w:tcPr>
          <w:p w14:paraId="311040CB" w14:textId="77777777" w:rsidR="008D1696" w:rsidRDefault="008D1696">
            <w:pPr>
              <w:spacing w:before="100" w:beforeAutospacing="1" w:after="100" w:afterAutospacing="1" w:line="276" w:lineRule="auto"/>
              <w:rPr>
                <w:rFonts w:cs="Times New Roman"/>
                <w:b/>
                <w:bCs/>
                <w:szCs w:val="24"/>
              </w:rPr>
            </w:pPr>
            <w:r>
              <w:rPr>
                <w:rFonts w:cs="Times New Roman"/>
                <w:b/>
                <w:bCs/>
                <w:szCs w:val="24"/>
              </w:rPr>
              <w:t>I.2.B.2.a</w:t>
            </w:r>
            <w:bookmarkStart w:id="11" w:name="2a"/>
            <w:r>
              <w:rPr>
                <w:rFonts w:cs="Times New Roman"/>
                <w:b/>
                <w:bCs/>
                <w:szCs w:val="24"/>
              </w:rPr>
              <w:t>.</w:t>
            </w:r>
            <w:bookmarkEnd w:id="11"/>
            <w:r>
              <w:rPr>
                <w:rFonts w:cs="Times New Roman"/>
                <w:b/>
                <w:bCs/>
                <w:szCs w:val="24"/>
              </w:rPr>
              <w:t xml:space="preserve">  Required Elements for </w:t>
            </w:r>
            <w:r>
              <w:rPr>
                <w:rFonts w:cs="Times New Roman"/>
                <w:b/>
                <w:bCs/>
                <w:szCs w:val="24"/>
              </w:rPr>
              <w:lastRenderedPageBreak/>
              <w:t>Notice of Proposed Adverse Action</w:t>
            </w:r>
          </w:p>
          <w:p w14:paraId="57927579" w14:textId="77777777" w:rsidR="00D24ED7" w:rsidRPr="00D24ED7" w:rsidRDefault="00D24ED7" w:rsidP="00D24ED7">
            <w:pPr>
              <w:rPr>
                <w:rFonts w:cs="Times New Roman"/>
                <w:szCs w:val="24"/>
              </w:rPr>
            </w:pPr>
          </w:p>
          <w:p w14:paraId="28B198F9" w14:textId="77777777" w:rsidR="00D24ED7" w:rsidRPr="00D24ED7" w:rsidRDefault="00D24ED7" w:rsidP="00D24ED7">
            <w:pPr>
              <w:ind w:firstLine="720"/>
              <w:rPr>
                <w:rFonts w:cs="Times New Roman"/>
                <w:szCs w:val="24"/>
              </w:rPr>
            </w:pPr>
          </w:p>
          <w:p w14:paraId="40463F28" w14:textId="77777777" w:rsidR="00D24ED7" w:rsidRPr="00D24ED7" w:rsidRDefault="00D24ED7" w:rsidP="00D24ED7">
            <w:pPr>
              <w:rPr>
                <w:rFonts w:cs="Times New Roman"/>
                <w:szCs w:val="24"/>
              </w:rPr>
            </w:pPr>
          </w:p>
        </w:tc>
        <w:tc>
          <w:tcPr>
            <w:tcW w:w="225" w:type="dxa"/>
            <w:vAlign w:val="center"/>
            <w:hideMark/>
          </w:tcPr>
          <w:p w14:paraId="61F1ABEF" w14:textId="77777777" w:rsidR="008D1696" w:rsidRDefault="008D1696">
            <w:pPr>
              <w:spacing w:before="100" w:beforeAutospacing="1" w:after="100" w:afterAutospacing="1" w:line="276" w:lineRule="auto"/>
              <w:rPr>
                <w:rFonts w:cs="Times New Roman"/>
                <w:szCs w:val="24"/>
              </w:rPr>
            </w:pPr>
            <w:r>
              <w:rPr>
                <w:rFonts w:cs="Times New Roman"/>
                <w:szCs w:val="24"/>
              </w:rPr>
              <w:lastRenderedPageBreak/>
              <w:t> </w:t>
            </w:r>
          </w:p>
        </w:tc>
        <w:tc>
          <w:tcPr>
            <w:tcW w:w="7740" w:type="dxa"/>
            <w:vAlign w:val="center"/>
            <w:hideMark/>
          </w:tcPr>
          <w:p w14:paraId="0F5DD7D4" w14:textId="77777777" w:rsidR="008D1696" w:rsidRDefault="008D1696">
            <w:pPr>
              <w:spacing w:line="276" w:lineRule="auto"/>
              <w:rPr>
                <w:rFonts w:cs="Times New Roman"/>
                <w:szCs w:val="24"/>
              </w:rPr>
            </w:pPr>
            <w:r>
              <w:rPr>
                <w:rFonts w:cs="Times New Roman"/>
                <w:szCs w:val="24"/>
              </w:rPr>
              <w:t>Every notice of proposed adverse action must include the following elements:</w:t>
            </w:r>
          </w:p>
          <w:p w14:paraId="1E2D97FD" w14:textId="77777777" w:rsidR="008D1696" w:rsidRDefault="008D1696" w:rsidP="008D1696">
            <w:pPr>
              <w:numPr>
                <w:ilvl w:val="0"/>
                <w:numId w:val="36"/>
              </w:numPr>
              <w:spacing w:before="100" w:beforeAutospacing="1" w:after="100" w:afterAutospacing="1" w:line="276" w:lineRule="auto"/>
              <w:rPr>
                <w:rFonts w:eastAsia="Times New Roman" w:cs="Times New Roman"/>
                <w:szCs w:val="24"/>
              </w:rPr>
            </w:pPr>
            <w:r>
              <w:rPr>
                <w:rFonts w:eastAsia="Times New Roman" w:cs="Times New Roman"/>
                <w:szCs w:val="24"/>
              </w:rPr>
              <w:lastRenderedPageBreak/>
              <w:t>a statement of the proposed decision, including new rates of payment</w:t>
            </w:r>
          </w:p>
          <w:p w14:paraId="562C92AF" w14:textId="77777777" w:rsidR="008D1696" w:rsidRDefault="008D1696" w:rsidP="008D1696">
            <w:pPr>
              <w:numPr>
                <w:ilvl w:val="0"/>
                <w:numId w:val="36"/>
              </w:numPr>
              <w:spacing w:before="100" w:beforeAutospacing="1" w:after="100" w:afterAutospacing="1" w:line="276" w:lineRule="auto"/>
              <w:rPr>
                <w:rFonts w:eastAsia="Times New Roman" w:cs="Times New Roman"/>
                <w:szCs w:val="24"/>
              </w:rPr>
            </w:pPr>
            <w:r>
              <w:rPr>
                <w:rFonts w:eastAsia="Times New Roman" w:cs="Times New Roman"/>
                <w:szCs w:val="24"/>
              </w:rPr>
              <w:t>the proposed effective date of the decision</w:t>
            </w:r>
          </w:p>
          <w:p w14:paraId="0704323F" w14:textId="77777777" w:rsidR="008D1696" w:rsidRDefault="008D1696" w:rsidP="008D1696">
            <w:pPr>
              <w:numPr>
                <w:ilvl w:val="0"/>
                <w:numId w:val="36"/>
              </w:numPr>
              <w:spacing w:before="100" w:beforeAutospacing="1" w:after="100" w:afterAutospacing="1" w:line="276" w:lineRule="auto"/>
              <w:rPr>
                <w:rFonts w:eastAsia="Times New Roman" w:cs="Times New Roman"/>
                <w:szCs w:val="24"/>
              </w:rPr>
            </w:pPr>
            <w:r>
              <w:rPr>
                <w:rFonts w:eastAsia="Times New Roman" w:cs="Times New Roman"/>
                <w:szCs w:val="24"/>
              </w:rPr>
              <w:t>information on the possible creation of an overpayment</w:t>
            </w:r>
          </w:p>
          <w:p w14:paraId="4708593A" w14:textId="77777777" w:rsidR="008D1696" w:rsidRDefault="008D1696" w:rsidP="008D1696">
            <w:pPr>
              <w:numPr>
                <w:ilvl w:val="0"/>
                <w:numId w:val="36"/>
              </w:numPr>
              <w:spacing w:before="100" w:beforeAutospacing="1" w:after="100" w:afterAutospacing="1" w:line="276" w:lineRule="auto"/>
              <w:rPr>
                <w:rFonts w:eastAsia="Times New Roman" w:cs="Times New Roman"/>
                <w:szCs w:val="24"/>
              </w:rPr>
            </w:pPr>
            <w:r>
              <w:rPr>
                <w:rFonts w:eastAsia="Times New Roman" w:cs="Times New Roman"/>
                <w:szCs w:val="24"/>
              </w:rPr>
              <w:t>detailed reasons for the proposed decision, and</w:t>
            </w:r>
          </w:p>
          <w:p w14:paraId="2653E4B5" w14:textId="77777777" w:rsidR="008D1696" w:rsidRDefault="008D1696" w:rsidP="008D1696">
            <w:pPr>
              <w:numPr>
                <w:ilvl w:val="0"/>
                <w:numId w:val="36"/>
              </w:numPr>
              <w:spacing w:before="100" w:beforeAutospacing="1" w:after="100" w:afterAutospacing="1" w:line="276" w:lineRule="auto"/>
              <w:rPr>
                <w:rFonts w:eastAsia="Times New Roman" w:cs="Times New Roman"/>
                <w:szCs w:val="24"/>
              </w:rPr>
            </w:pPr>
            <w:r>
              <w:rPr>
                <w:rFonts w:eastAsia="Times New Roman" w:cs="Times New Roman"/>
                <w:szCs w:val="24"/>
              </w:rPr>
              <w:t>the right to</w:t>
            </w:r>
          </w:p>
          <w:p w14:paraId="7B79B709" w14:textId="77777777" w:rsidR="008D1696" w:rsidRDefault="008D1696" w:rsidP="008D1696">
            <w:pPr>
              <w:numPr>
                <w:ilvl w:val="1"/>
                <w:numId w:val="36"/>
              </w:numPr>
              <w:spacing w:before="100" w:beforeAutospacing="1" w:after="100" w:afterAutospacing="1" w:line="276" w:lineRule="auto"/>
              <w:rPr>
                <w:rFonts w:eastAsia="Times New Roman" w:cs="Times New Roman"/>
                <w:szCs w:val="24"/>
              </w:rPr>
            </w:pPr>
            <w:r>
              <w:rPr>
                <w:rFonts w:eastAsia="Times New Roman" w:cs="Times New Roman"/>
                <w:szCs w:val="24"/>
              </w:rPr>
              <w:t>present evidence</w:t>
            </w:r>
          </w:p>
          <w:p w14:paraId="076FD8D2" w14:textId="77777777" w:rsidR="008D1696" w:rsidRDefault="008D1696" w:rsidP="008D1696">
            <w:pPr>
              <w:numPr>
                <w:ilvl w:val="1"/>
                <w:numId w:val="36"/>
              </w:numPr>
              <w:spacing w:before="100" w:beforeAutospacing="1" w:after="100" w:afterAutospacing="1" w:line="276" w:lineRule="auto"/>
              <w:rPr>
                <w:rFonts w:eastAsia="Times New Roman" w:cs="Times New Roman"/>
                <w:szCs w:val="24"/>
              </w:rPr>
            </w:pPr>
            <w:r>
              <w:rPr>
                <w:rFonts w:eastAsia="Times New Roman" w:cs="Times New Roman"/>
                <w:szCs w:val="24"/>
              </w:rPr>
              <w:t>request a personal hearing, and</w:t>
            </w:r>
          </w:p>
          <w:p w14:paraId="68DDB033" w14:textId="77777777" w:rsidR="008D1696" w:rsidRDefault="008D1696" w:rsidP="008D1696">
            <w:pPr>
              <w:numPr>
                <w:ilvl w:val="1"/>
                <w:numId w:val="36"/>
              </w:numPr>
              <w:spacing w:before="100" w:beforeAutospacing="1" w:after="100" w:afterAutospacing="1" w:line="276" w:lineRule="auto"/>
              <w:rPr>
                <w:rFonts w:eastAsia="Times New Roman" w:cs="Times New Roman"/>
                <w:szCs w:val="24"/>
              </w:rPr>
            </w:pPr>
            <w:r>
              <w:rPr>
                <w:rFonts w:eastAsia="Times New Roman" w:cs="Times New Roman"/>
                <w:szCs w:val="24"/>
              </w:rPr>
              <w:t>have representation.</w:t>
            </w:r>
          </w:p>
          <w:p w14:paraId="1BBD9269" w14:textId="77777777" w:rsidR="008D1696" w:rsidRDefault="008D1696">
            <w:pPr>
              <w:spacing w:line="276" w:lineRule="auto"/>
              <w:rPr>
                <w:rFonts w:eastAsiaTheme="minorHAnsi" w:cs="Times New Roman"/>
                <w:szCs w:val="24"/>
              </w:rPr>
            </w:pPr>
            <w:r>
              <w:rPr>
                <w:rFonts w:cs="Times New Roman"/>
                <w:b/>
                <w:bCs/>
                <w:i/>
                <w:iCs/>
                <w:szCs w:val="24"/>
              </w:rPr>
              <w:t>Note</w:t>
            </w:r>
            <w:r>
              <w:rPr>
                <w:rFonts w:cs="Times New Roman"/>
                <w:szCs w:val="24"/>
              </w:rPr>
              <w:t xml:space="preserve">:  The attachment of forms to supplement the notice of proposed adverse action does not substitute for the information that must be included within the letter itself. </w:t>
            </w:r>
          </w:p>
        </w:tc>
      </w:tr>
    </w:tbl>
    <w:p w14:paraId="587A9016" w14:textId="77777777" w:rsidR="008D1696" w:rsidRDefault="00A13374" w:rsidP="008D1696">
      <w:pPr>
        <w:jc w:val="center"/>
        <w:rPr>
          <w:rFonts w:eastAsia="Times New Roman" w:cs="Times New Roman"/>
          <w:szCs w:val="24"/>
        </w:rPr>
      </w:pPr>
      <w:r>
        <w:rPr>
          <w:rFonts w:eastAsia="Times New Roman" w:cs="Times New Roman"/>
          <w:szCs w:val="24"/>
        </w:rPr>
        <w:lastRenderedPageBreak/>
        <w:pict w14:anchorId="78E35F71">
          <v:rect id="_x0000_i1025" style="width:468pt;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34"/>
        <w:gridCol w:w="190"/>
        <w:gridCol w:w="6936"/>
      </w:tblGrid>
      <w:tr w:rsidR="008D1696" w14:paraId="057B2952" w14:textId="77777777" w:rsidTr="008D1696">
        <w:trPr>
          <w:trHeight w:val="120"/>
          <w:tblCellSpacing w:w="0" w:type="dxa"/>
        </w:trPr>
        <w:tc>
          <w:tcPr>
            <w:tcW w:w="1725" w:type="dxa"/>
            <w:hideMark/>
          </w:tcPr>
          <w:p w14:paraId="70F684F7" w14:textId="77777777" w:rsidR="008D1696" w:rsidRDefault="008D1696">
            <w:pPr>
              <w:spacing w:before="100" w:beforeAutospacing="1" w:after="100" w:afterAutospacing="1" w:line="276" w:lineRule="auto"/>
              <w:rPr>
                <w:rFonts w:eastAsiaTheme="minorHAnsi" w:cs="Times New Roman"/>
                <w:b/>
                <w:bCs/>
                <w:szCs w:val="24"/>
              </w:rPr>
            </w:pPr>
            <w:r>
              <w:rPr>
                <w:rFonts w:cs="Times New Roman"/>
                <w:b/>
                <w:bCs/>
                <w:szCs w:val="24"/>
              </w:rPr>
              <w:t>I.2.B.2.b</w:t>
            </w:r>
            <w:bookmarkStart w:id="12" w:name="2b"/>
            <w:r>
              <w:rPr>
                <w:rFonts w:cs="Times New Roman"/>
                <w:b/>
                <w:bCs/>
                <w:szCs w:val="24"/>
              </w:rPr>
              <w:t>.</w:t>
            </w:r>
            <w:bookmarkEnd w:id="12"/>
            <w:r>
              <w:rPr>
                <w:rFonts w:cs="Times New Roman"/>
                <w:b/>
                <w:bCs/>
                <w:szCs w:val="24"/>
              </w:rPr>
              <w:t>  Description of Elements in Notice of Proposed Adverse Action</w:t>
            </w:r>
          </w:p>
        </w:tc>
        <w:tc>
          <w:tcPr>
            <w:tcW w:w="225" w:type="dxa"/>
            <w:vAlign w:val="center"/>
            <w:hideMark/>
          </w:tcPr>
          <w:p w14:paraId="3C57E3ED" w14:textId="77777777" w:rsidR="008D1696" w:rsidRDefault="008D1696">
            <w:pPr>
              <w:spacing w:before="100" w:beforeAutospacing="1" w:after="100" w:afterAutospacing="1" w:line="276" w:lineRule="auto"/>
              <w:rPr>
                <w:rFonts w:cs="Times New Roman"/>
                <w:szCs w:val="24"/>
              </w:rPr>
            </w:pPr>
            <w:r>
              <w:rPr>
                <w:rFonts w:cs="Times New Roman"/>
                <w:szCs w:val="24"/>
              </w:rPr>
              <w:t> </w:t>
            </w:r>
          </w:p>
        </w:tc>
        <w:tc>
          <w:tcPr>
            <w:tcW w:w="7740" w:type="dxa"/>
            <w:vAlign w:val="center"/>
            <w:hideMark/>
          </w:tcPr>
          <w:p w14:paraId="12CFE007" w14:textId="77777777" w:rsidR="008D1696" w:rsidRDefault="008D1696">
            <w:pPr>
              <w:spacing w:line="276" w:lineRule="auto"/>
              <w:rPr>
                <w:rFonts w:cs="Times New Roman"/>
                <w:szCs w:val="24"/>
              </w:rPr>
            </w:pPr>
            <w:r>
              <w:rPr>
                <w:rFonts w:cs="Times New Roman"/>
                <w:szCs w:val="24"/>
              </w:rPr>
              <w:t>The table below describes each of the elements in a notice of proposed adverse action.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olumn 1 provides the eletment and column 2 provides a description of the element in a notice of proposed adverse action."/>
            </w:tblPr>
            <w:tblGrid>
              <w:gridCol w:w="1772"/>
              <w:gridCol w:w="5148"/>
            </w:tblGrid>
            <w:tr w:rsidR="008D1696" w14:paraId="3C86424C" w14:textId="77777777">
              <w:trPr>
                <w:tblHeade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BD239B8" w14:textId="77777777" w:rsidR="008D1696" w:rsidRDefault="008D1696">
                  <w:pPr>
                    <w:spacing w:line="276" w:lineRule="auto"/>
                    <w:jc w:val="center"/>
                    <w:rPr>
                      <w:rFonts w:cs="Times New Roman"/>
                      <w:b/>
                      <w:bCs/>
                      <w:szCs w:val="24"/>
                    </w:rPr>
                  </w:pPr>
                  <w:r>
                    <w:rPr>
                      <w:rFonts w:cs="Times New Roman"/>
                      <w:b/>
                      <w:bCs/>
                      <w:szCs w:val="24"/>
                    </w:rPr>
                    <w:t>Element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5AFD2521" w14:textId="77777777" w:rsidR="008D1696" w:rsidRDefault="008D1696">
                  <w:pPr>
                    <w:spacing w:line="276" w:lineRule="auto"/>
                    <w:jc w:val="center"/>
                    <w:rPr>
                      <w:rFonts w:cs="Times New Roman"/>
                      <w:b/>
                      <w:bCs/>
                      <w:szCs w:val="24"/>
                    </w:rPr>
                  </w:pPr>
                  <w:r>
                    <w:rPr>
                      <w:rFonts w:cs="Times New Roman"/>
                      <w:b/>
                      <w:bCs/>
                      <w:szCs w:val="24"/>
                    </w:rPr>
                    <w:t>Description</w:t>
                  </w:r>
                </w:p>
              </w:tc>
            </w:tr>
            <w:tr w:rsidR="008D1696" w14:paraId="0C9C445E" w14:textId="77777777">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14:paraId="05AA3940" w14:textId="77777777" w:rsidR="008D1696" w:rsidRDefault="008D1696">
                  <w:pPr>
                    <w:spacing w:line="276" w:lineRule="auto"/>
                    <w:rPr>
                      <w:rFonts w:cs="Times New Roman"/>
                      <w:szCs w:val="24"/>
                    </w:rPr>
                  </w:pPr>
                  <w:r>
                    <w:rPr>
                      <w:rFonts w:cs="Times New Roman"/>
                      <w:szCs w:val="24"/>
                    </w:rPr>
                    <w:t>Statement of proposed decision</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E630558" w14:textId="77777777" w:rsidR="008D1696" w:rsidRDefault="008D1696" w:rsidP="008D1696">
                  <w:pPr>
                    <w:numPr>
                      <w:ilvl w:val="0"/>
                      <w:numId w:val="37"/>
                    </w:numPr>
                    <w:spacing w:before="100" w:beforeAutospacing="1" w:after="100" w:afterAutospacing="1" w:line="276" w:lineRule="auto"/>
                    <w:rPr>
                      <w:rFonts w:eastAsia="Times New Roman" w:cs="Times New Roman"/>
                      <w:szCs w:val="24"/>
                    </w:rPr>
                  </w:pPr>
                  <w:r>
                    <w:rPr>
                      <w:rFonts w:eastAsia="Times New Roman" w:cs="Times New Roman"/>
                      <w:szCs w:val="24"/>
                    </w:rPr>
                    <w:t>Fully and clearly states the proposed decision to</w:t>
                  </w:r>
                </w:p>
                <w:p w14:paraId="67D0EA8A" w14:textId="77777777" w:rsidR="008D1696" w:rsidRDefault="008D1696" w:rsidP="008D1696">
                  <w:pPr>
                    <w:numPr>
                      <w:ilvl w:val="1"/>
                      <w:numId w:val="37"/>
                    </w:numPr>
                    <w:spacing w:before="100" w:beforeAutospacing="1" w:after="100" w:afterAutospacing="1" w:line="276" w:lineRule="auto"/>
                    <w:rPr>
                      <w:rFonts w:eastAsia="Times New Roman" w:cs="Times New Roman"/>
                      <w:szCs w:val="24"/>
                    </w:rPr>
                  </w:pPr>
                  <w:r>
                    <w:rPr>
                      <w:rFonts w:eastAsia="Times New Roman" w:cs="Times New Roman"/>
                      <w:szCs w:val="24"/>
                    </w:rPr>
                    <w:t>reduce</w:t>
                  </w:r>
                </w:p>
                <w:p w14:paraId="54C2ADC9" w14:textId="77777777" w:rsidR="008D1696" w:rsidRDefault="008D1696" w:rsidP="008D1696">
                  <w:pPr>
                    <w:numPr>
                      <w:ilvl w:val="1"/>
                      <w:numId w:val="37"/>
                    </w:numPr>
                    <w:spacing w:before="100" w:beforeAutospacing="1" w:after="100" w:afterAutospacing="1" w:line="276" w:lineRule="auto"/>
                    <w:rPr>
                      <w:rFonts w:eastAsia="Times New Roman" w:cs="Times New Roman"/>
                      <w:szCs w:val="24"/>
                    </w:rPr>
                  </w:pPr>
                  <w:r>
                    <w:rPr>
                      <w:rFonts w:eastAsia="Times New Roman" w:cs="Times New Roman"/>
                      <w:szCs w:val="24"/>
                    </w:rPr>
                    <w:t>suspend, or</w:t>
                  </w:r>
                </w:p>
                <w:p w14:paraId="4B91E950" w14:textId="77777777" w:rsidR="008D1696" w:rsidRDefault="008D1696" w:rsidP="008D1696">
                  <w:pPr>
                    <w:numPr>
                      <w:ilvl w:val="1"/>
                      <w:numId w:val="37"/>
                    </w:numPr>
                    <w:spacing w:before="100" w:beforeAutospacing="1" w:after="100" w:afterAutospacing="1" w:line="276" w:lineRule="auto"/>
                    <w:rPr>
                      <w:rFonts w:eastAsia="Times New Roman" w:cs="Times New Roman"/>
                      <w:szCs w:val="24"/>
                    </w:rPr>
                  </w:pPr>
                  <w:r>
                    <w:rPr>
                      <w:rFonts w:eastAsia="Times New Roman" w:cs="Times New Roman"/>
                      <w:szCs w:val="24"/>
                    </w:rPr>
                    <w:t>terminate benefits, and</w:t>
                  </w:r>
                </w:p>
                <w:p w14:paraId="37B06E1E" w14:textId="77777777" w:rsidR="008D1696" w:rsidRDefault="008D1696" w:rsidP="008D1696">
                  <w:pPr>
                    <w:numPr>
                      <w:ilvl w:val="0"/>
                      <w:numId w:val="37"/>
                    </w:numPr>
                    <w:spacing w:before="100" w:beforeAutospacing="1" w:after="100" w:afterAutospacing="1" w:line="276" w:lineRule="auto"/>
                    <w:rPr>
                      <w:rFonts w:eastAsia="Times New Roman" w:cs="Times New Roman"/>
                      <w:szCs w:val="24"/>
                    </w:rPr>
                  </w:pPr>
                  <w:r>
                    <w:rPr>
                      <w:rFonts w:eastAsia="Times New Roman" w:cs="Times New Roman"/>
                      <w:szCs w:val="24"/>
                    </w:rPr>
                    <w:t>provides new rate information for each rate change.</w:t>
                  </w:r>
                </w:p>
                <w:p w14:paraId="067D3664" w14:textId="77777777" w:rsidR="008D1696" w:rsidRDefault="008D1696">
                  <w:pPr>
                    <w:spacing w:line="276" w:lineRule="auto"/>
                    <w:rPr>
                      <w:rFonts w:eastAsiaTheme="minorHAnsi" w:cs="Times New Roman"/>
                      <w:szCs w:val="24"/>
                    </w:rPr>
                  </w:pPr>
                  <w:r>
                    <w:rPr>
                      <w:rFonts w:cs="Times New Roman"/>
                      <w:b/>
                      <w:bCs/>
                      <w:i/>
                      <w:iCs/>
                      <w:szCs w:val="24"/>
                    </w:rPr>
                    <w:t>Exception</w:t>
                  </w:r>
                  <w:r>
                    <w:rPr>
                      <w:rFonts w:cs="Times New Roman"/>
                      <w:szCs w:val="24"/>
                    </w:rPr>
                    <w:t>:  Rate change information is not required in automated drill pay notice of proposed adverse action letters.</w:t>
                  </w:r>
                </w:p>
              </w:tc>
            </w:tr>
            <w:tr w:rsidR="008D1696" w14:paraId="28B0EAF9" w14:textId="77777777">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14:paraId="61F779CD" w14:textId="77777777" w:rsidR="008D1696" w:rsidRDefault="008D1696">
                  <w:pPr>
                    <w:spacing w:line="276" w:lineRule="auto"/>
                    <w:rPr>
                      <w:rFonts w:cs="Times New Roman"/>
                      <w:szCs w:val="24"/>
                    </w:rPr>
                  </w:pPr>
                  <w:r>
                    <w:rPr>
                      <w:rFonts w:cs="Times New Roman"/>
                      <w:szCs w:val="24"/>
                    </w:rPr>
                    <w:t>Statement of proposed effective date</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E089B64" w14:textId="77777777" w:rsidR="008D1696" w:rsidRDefault="008D1696" w:rsidP="008D1696">
                  <w:pPr>
                    <w:numPr>
                      <w:ilvl w:val="0"/>
                      <w:numId w:val="38"/>
                    </w:numPr>
                    <w:spacing w:before="100" w:beforeAutospacing="1" w:after="100" w:afterAutospacing="1" w:line="276" w:lineRule="auto"/>
                    <w:rPr>
                      <w:rFonts w:eastAsia="Times New Roman" w:cs="Times New Roman"/>
                      <w:szCs w:val="24"/>
                    </w:rPr>
                  </w:pPr>
                  <w:r>
                    <w:rPr>
                      <w:rFonts w:eastAsia="Times New Roman" w:cs="Times New Roman"/>
                      <w:szCs w:val="24"/>
                    </w:rPr>
                    <w:t xml:space="preserve">States the proposed effective date, and </w:t>
                  </w:r>
                </w:p>
                <w:p w14:paraId="5B3E3713" w14:textId="77777777" w:rsidR="008D1696" w:rsidRDefault="008D1696" w:rsidP="008D1696">
                  <w:pPr>
                    <w:numPr>
                      <w:ilvl w:val="0"/>
                      <w:numId w:val="38"/>
                    </w:numPr>
                    <w:spacing w:before="100" w:beforeAutospacing="1" w:after="100" w:afterAutospacing="1" w:line="276" w:lineRule="auto"/>
                    <w:rPr>
                      <w:rFonts w:eastAsia="Times New Roman" w:cs="Times New Roman"/>
                      <w:szCs w:val="24"/>
                    </w:rPr>
                  </w:pPr>
                  <w:r>
                    <w:rPr>
                      <w:rFonts w:eastAsia="Times New Roman" w:cs="Times New Roman"/>
                      <w:szCs w:val="24"/>
                    </w:rPr>
                    <w:t>informs the beneficiary that</w:t>
                  </w:r>
                </w:p>
                <w:p w14:paraId="7CD3B588" w14:textId="77777777" w:rsidR="008D1696" w:rsidRDefault="008D1696" w:rsidP="008D1696">
                  <w:pPr>
                    <w:numPr>
                      <w:ilvl w:val="1"/>
                      <w:numId w:val="38"/>
                    </w:numPr>
                    <w:spacing w:before="100" w:beforeAutospacing="1" w:after="100" w:afterAutospacing="1" w:line="276" w:lineRule="auto"/>
                    <w:rPr>
                      <w:rFonts w:eastAsia="Times New Roman" w:cs="Times New Roman"/>
                      <w:szCs w:val="24"/>
                    </w:rPr>
                  </w:pPr>
                  <w:r>
                    <w:rPr>
                      <w:rFonts w:eastAsia="Times New Roman" w:cs="Times New Roman"/>
                      <w:szCs w:val="24"/>
                    </w:rPr>
                    <w:t>he/she has 60 days to respond to the proposed decision, and</w:t>
                  </w:r>
                </w:p>
                <w:p w14:paraId="60E8163E" w14:textId="77777777" w:rsidR="008D1696" w:rsidRDefault="008D1696" w:rsidP="008D1696">
                  <w:pPr>
                    <w:numPr>
                      <w:ilvl w:val="1"/>
                      <w:numId w:val="38"/>
                    </w:numPr>
                    <w:spacing w:before="100" w:beforeAutospacing="1" w:after="100" w:afterAutospacing="1" w:line="276" w:lineRule="auto"/>
                    <w:rPr>
                      <w:rFonts w:eastAsia="Times New Roman" w:cs="Times New Roman"/>
                      <w:szCs w:val="24"/>
                    </w:rPr>
                  </w:pPr>
                  <w:r>
                    <w:rPr>
                      <w:rFonts w:eastAsia="Times New Roman" w:cs="Times New Roman"/>
                      <w:szCs w:val="24"/>
                    </w:rPr>
                    <w:t xml:space="preserve">the payment of benefits will continue through the 60-day period. </w:t>
                  </w:r>
                </w:p>
                <w:p w14:paraId="42AA41D5" w14:textId="77777777" w:rsidR="008D1696" w:rsidRDefault="008D1696">
                  <w:pPr>
                    <w:spacing w:line="276" w:lineRule="auto"/>
                    <w:rPr>
                      <w:rFonts w:eastAsiaTheme="minorHAnsi" w:cs="Times New Roman"/>
                      <w:szCs w:val="24"/>
                    </w:rPr>
                  </w:pPr>
                  <w:r>
                    <w:rPr>
                      <w:rFonts w:cs="Times New Roman"/>
                      <w:b/>
                      <w:bCs/>
                      <w:i/>
                      <w:iCs/>
                      <w:szCs w:val="24"/>
                    </w:rPr>
                    <w:lastRenderedPageBreak/>
                    <w:t>Note</w:t>
                  </w:r>
                  <w:r>
                    <w:rPr>
                      <w:rFonts w:cs="Times New Roman"/>
                      <w:szCs w:val="24"/>
                    </w:rPr>
                    <w:t>:  The requirement that payments be continued through the 60-day period does not alter the effective date of the proposed reduction or termination.</w:t>
                  </w:r>
                </w:p>
                <w:p w14:paraId="18AC6525" w14:textId="77777777" w:rsidR="008D1696" w:rsidRDefault="008D1696">
                  <w:pPr>
                    <w:spacing w:line="276" w:lineRule="auto"/>
                    <w:rPr>
                      <w:rFonts w:cs="Times New Roman"/>
                      <w:szCs w:val="24"/>
                    </w:rPr>
                  </w:pPr>
                  <w:r>
                    <w:rPr>
                      <w:rFonts w:cs="Times New Roman"/>
                      <w:b/>
                      <w:bCs/>
                      <w:i/>
                      <w:iCs/>
                      <w:szCs w:val="24"/>
                    </w:rPr>
                    <w:t>Reference</w:t>
                  </w:r>
                  <w:r>
                    <w:rPr>
                      <w:rFonts w:cs="Times New Roman"/>
                      <w:szCs w:val="24"/>
                    </w:rPr>
                    <w:t xml:space="preserve">:  For more information on effective dates for reduced benefits, see </w:t>
                  </w:r>
                  <w:hyperlink r:id="rId13" w:tgtFrame="_blank" w:history="1">
                    <w:r>
                      <w:rPr>
                        <w:rStyle w:val="Hyperlink"/>
                        <w:rFonts w:cs="Times New Roman"/>
                        <w:szCs w:val="24"/>
                      </w:rPr>
                      <w:t>38 CFR 3.500 to 3.505</w:t>
                    </w:r>
                  </w:hyperlink>
                  <w:r>
                    <w:rPr>
                      <w:rFonts w:cs="Times New Roman"/>
                      <w:szCs w:val="24"/>
                    </w:rPr>
                    <w:t>.</w:t>
                  </w:r>
                </w:p>
              </w:tc>
            </w:tr>
            <w:tr w:rsidR="008D1696" w14:paraId="15C6DC01" w14:textId="77777777">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14:paraId="26332495" w14:textId="77777777" w:rsidR="008D1696" w:rsidRDefault="008D1696">
                  <w:pPr>
                    <w:spacing w:line="276" w:lineRule="auto"/>
                    <w:rPr>
                      <w:rFonts w:cs="Times New Roman"/>
                      <w:szCs w:val="24"/>
                    </w:rPr>
                  </w:pPr>
                  <w:r>
                    <w:rPr>
                      <w:rFonts w:cs="Times New Roman"/>
                      <w:szCs w:val="24"/>
                    </w:rPr>
                    <w:lastRenderedPageBreak/>
                    <w:t>Statement advising beneficiary of potential overpayment</w:t>
                  </w:r>
                </w:p>
              </w:tc>
              <w:tc>
                <w:tcPr>
                  <w:tcW w:w="5670" w:type="dxa"/>
                  <w:tcBorders>
                    <w:top w:val="outset" w:sz="6" w:space="0" w:color="auto"/>
                    <w:left w:val="outset" w:sz="6" w:space="0" w:color="auto"/>
                    <w:bottom w:val="outset" w:sz="6" w:space="0" w:color="auto"/>
                    <w:right w:val="outset" w:sz="6" w:space="0" w:color="auto"/>
                  </w:tcBorders>
                  <w:vAlign w:val="center"/>
                  <w:hideMark/>
                </w:tcPr>
                <w:p w14:paraId="130F1E9B" w14:textId="77777777" w:rsidR="008D1696" w:rsidRDefault="008D1696" w:rsidP="008D1696">
                  <w:pPr>
                    <w:numPr>
                      <w:ilvl w:val="0"/>
                      <w:numId w:val="39"/>
                    </w:numPr>
                    <w:spacing w:before="100" w:beforeAutospacing="1" w:after="100" w:afterAutospacing="1" w:line="276" w:lineRule="auto"/>
                    <w:rPr>
                      <w:rFonts w:eastAsia="Times New Roman" w:cs="Times New Roman"/>
                      <w:szCs w:val="24"/>
                    </w:rPr>
                  </w:pPr>
                  <w:r>
                    <w:rPr>
                      <w:rFonts w:eastAsia="Times New Roman" w:cs="Times New Roman"/>
                      <w:szCs w:val="24"/>
                    </w:rPr>
                    <w:t xml:space="preserve">Advises the beneficiary that if the proposed adverse action is implemented, he/she must repay any overpayment resulting from the </w:t>
                  </w:r>
                </w:p>
                <w:p w14:paraId="4615D5CF" w14:textId="77777777" w:rsidR="008D1696" w:rsidRDefault="008D1696" w:rsidP="008D1696">
                  <w:pPr>
                    <w:numPr>
                      <w:ilvl w:val="1"/>
                      <w:numId w:val="39"/>
                    </w:numPr>
                    <w:spacing w:before="100" w:beforeAutospacing="1" w:after="100" w:afterAutospacing="1" w:line="276" w:lineRule="auto"/>
                    <w:rPr>
                      <w:rFonts w:eastAsia="Times New Roman" w:cs="Times New Roman"/>
                      <w:szCs w:val="24"/>
                    </w:rPr>
                  </w:pPr>
                  <w:r>
                    <w:rPr>
                      <w:rFonts w:eastAsia="Times New Roman" w:cs="Times New Roman"/>
                      <w:szCs w:val="24"/>
                    </w:rPr>
                    <w:t>proposed adverse action, and/or</w:t>
                  </w:r>
                </w:p>
                <w:p w14:paraId="4EB83433" w14:textId="77777777" w:rsidR="008D1696" w:rsidRDefault="008D1696" w:rsidP="008D1696">
                  <w:pPr>
                    <w:numPr>
                      <w:ilvl w:val="1"/>
                      <w:numId w:val="39"/>
                    </w:numPr>
                    <w:spacing w:before="100" w:beforeAutospacing="1" w:after="100" w:afterAutospacing="1" w:line="276" w:lineRule="auto"/>
                    <w:rPr>
                      <w:rFonts w:eastAsia="Times New Roman" w:cs="Times New Roman"/>
                      <w:szCs w:val="24"/>
                    </w:rPr>
                  </w:pPr>
                  <w:r>
                    <w:rPr>
                      <w:rFonts w:eastAsia="Times New Roman" w:cs="Times New Roman"/>
                      <w:szCs w:val="24"/>
                    </w:rPr>
                    <w:t>continuation of payments during the proposed adverse action period, and</w:t>
                  </w:r>
                </w:p>
                <w:p w14:paraId="0BB765BE" w14:textId="77777777" w:rsidR="008D1696" w:rsidRDefault="008D1696" w:rsidP="008D1696">
                  <w:pPr>
                    <w:numPr>
                      <w:ilvl w:val="0"/>
                      <w:numId w:val="39"/>
                    </w:numPr>
                    <w:spacing w:before="100" w:beforeAutospacing="1" w:after="100" w:afterAutospacing="1" w:line="276" w:lineRule="auto"/>
                    <w:rPr>
                      <w:rFonts w:eastAsia="Times New Roman" w:cs="Times New Roman"/>
                      <w:szCs w:val="24"/>
                    </w:rPr>
                  </w:pPr>
                  <w:r>
                    <w:rPr>
                      <w:rFonts w:eastAsia="Times New Roman" w:cs="Times New Roman"/>
                      <w:szCs w:val="24"/>
                    </w:rPr>
                    <w:t>informs the beneficiary that he/she may minimize any potential overpayment by requesting that the award be adjusted without awaiting expiration of the due process period.</w:t>
                  </w:r>
                </w:p>
              </w:tc>
            </w:tr>
            <w:tr w:rsidR="008D1696" w14:paraId="561A8687" w14:textId="77777777">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14:paraId="08F2CBC3" w14:textId="77777777" w:rsidR="008D1696" w:rsidRDefault="008D1696">
                  <w:pPr>
                    <w:spacing w:line="276" w:lineRule="auto"/>
                    <w:rPr>
                      <w:rFonts w:eastAsiaTheme="minorHAnsi" w:cs="Times New Roman"/>
                      <w:szCs w:val="24"/>
                    </w:rPr>
                  </w:pPr>
                  <w:r>
                    <w:rPr>
                      <w:rFonts w:cs="Times New Roman"/>
                      <w:szCs w:val="24"/>
                    </w:rPr>
                    <w:t>Basis for proposed decision</w:t>
                  </w:r>
                </w:p>
              </w:tc>
              <w:tc>
                <w:tcPr>
                  <w:tcW w:w="5670" w:type="dxa"/>
                  <w:tcBorders>
                    <w:top w:val="outset" w:sz="6" w:space="0" w:color="auto"/>
                    <w:left w:val="outset" w:sz="6" w:space="0" w:color="auto"/>
                    <w:bottom w:val="outset" w:sz="6" w:space="0" w:color="auto"/>
                    <w:right w:val="outset" w:sz="6" w:space="0" w:color="auto"/>
                  </w:tcBorders>
                  <w:vAlign w:val="center"/>
                  <w:hideMark/>
                </w:tcPr>
                <w:p w14:paraId="657FB08F" w14:textId="77777777" w:rsidR="008D1696" w:rsidRDefault="008D1696">
                  <w:pPr>
                    <w:spacing w:line="276" w:lineRule="auto"/>
                    <w:rPr>
                      <w:rFonts w:cs="Times New Roman"/>
                      <w:szCs w:val="24"/>
                    </w:rPr>
                  </w:pPr>
                  <w:r>
                    <w:rPr>
                      <w:rFonts w:cs="Times New Roman"/>
                      <w:szCs w:val="24"/>
                    </w:rPr>
                    <w:t>States the</w:t>
                  </w:r>
                </w:p>
                <w:p w14:paraId="6EA54B0B" w14:textId="77777777" w:rsidR="008D1696" w:rsidRDefault="008D1696" w:rsidP="008D1696">
                  <w:pPr>
                    <w:numPr>
                      <w:ilvl w:val="0"/>
                      <w:numId w:val="40"/>
                    </w:numPr>
                    <w:spacing w:before="100" w:beforeAutospacing="1" w:after="100" w:afterAutospacing="1" w:line="276" w:lineRule="auto"/>
                    <w:rPr>
                      <w:rFonts w:eastAsia="Times New Roman" w:cs="Times New Roman"/>
                      <w:szCs w:val="24"/>
                    </w:rPr>
                  </w:pPr>
                  <w:r>
                    <w:rPr>
                      <w:rFonts w:eastAsia="Times New Roman" w:cs="Times New Roman"/>
                      <w:szCs w:val="24"/>
                    </w:rPr>
                    <w:t>evidence under consideration</w:t>
                  </w:r>
                </w:p>
                <w:p w14:paraId="563CD0D1" w14:textId="77777777" w:rsidR="008D1696" w:rsidRDefault="008D1696" w:rsidP="008D1696">
                  <w:pPr>
                    <w:numPr>
                      <w:ilvl w:val="0"/>
                      <w:numId w:val="40"/>
                    </w:numPr>
                    <w:spacing w:before="100" w:beforeAutospacing="1" w:after="100" w:afterAutospacing="1" w:line="276" w:lineRule="auto"/>
                    <w:rPr>
                      <w:rFonts w:eastAsia="Times New Roman" w:cs="Times New Roman"/>
                      <w:szCs w:val="24"/>
                    </w:rPr>
                  </w:pPr>
                  <w:r>
                    <w:rPr>
                      <w:rFonts w:eastAsia="Times New Roman" w:cs="Times New Roman"/>
                      <w:szCs w:val="24"/>
                    </w:rPr>
                    <w:t>facts and reasons for the proposal, and</w:t>
                  </w:r>
                </w:p>
                <w:p w14:paraId="7623CA73" w14:textId="77777777" w:rsidR="008D1696" w:rsidRDefault="008D1696" w:rsidP="008D1696">
                  <w:pPr>
                    <w:numPr>
                      <w:ilvl w:val="0"/>
                      <w:numId w:val="40"/>
                    </w:numPr>
                    <w:spacing w:before="100" w:beforeAutospacing="1" w:after="100" w:afterAutospacing="1" w:line="276" w:lineRule="auto"/>
                    <w:rPr>
                      <w:rFonts w:eastAsia="Times New Roman" w:cs="Times New Roman"/>
                      <w:szCs w:val="24"/>
                    </w:rPr>
                  </w:pPr>
                  <w:r>
                    <w:rPr>
                      <w:rFonts w:eastAsia="Times New Roman" w:cs="Times New Roman"/>
                      <w:szCs w:val="24"/>
                    </w:rPr>
                    <w:t>proposed rates and any calculations used to arrive at the proposed rates.</w:t>
                  </w:r>
                </w:p>
              </w:tc>
            </w:tr>
            <w:tr w:rsidR="008D1696" w14:paraId="609CFB39" w14:textId="77777777">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14:paraId="52A7C07C" w14:textId="77777777" w:rsidR="008D1696" w:rsidRDefault="008D1696">
                  <w:pPr>
                    <w:spacing w:line="276" w:lineRule="auto"/>
                    <w:rPr>
                      <w:rFonts w:eastAsiaTheme="minorHAnsi" w:cs="Times New Roman"/>
                      <w:szCs w:val="24"/>
                    </w:rPr>
                  </w:pPr>
                  <w:r>
                    <w:rPr>
                      <w:rFonts w:cs="Times New Roman"/>
                      <w:szCs w:val="24"/>
                    </w:rPr>
                    <w:t>Rights of beneficiary</w:t>
                  </w:r>
                </w:p>
              </w:tc>
              <w:tc>
                <w:tcPr>
                  <w:tcW w:w="5670" w:type="dxa"/>
                  <w:tcBorders>
                    <w:top w:val="outset" w:sz="6" w:space="0" w:color="auto"/>
                    <w:left w:val="outset" w:sz="6" w:space="0" w:color="auto"/>
                    <w:bottom w:val="outset" w:sz="6" w:space="0" w:color="auto"/>
                    <w:right w:val="outset" w:sz="6" w:space="0" w:color="auto"/>
                  </w:tcBorders>
                  <w:vAlign w:val="center"/>
                  <w:hideMark/>
                </w:tcPr>
                <w:p w14:paraId="08902DEA" w14:textId="77777777" w:rsidR="008D1696" w:rsidRDefault="008D1696">
                  <w:pPr>
                    <w:spacing w:line="276" w:lineRule="auto"/>
                    <w:rPr>
                      <w:rFonts w:cs="Times New Roman"/>
                      <w:szCs w:val="24"/>
                    </w:rPr>
                  </w:pPr>
                  <w:r>
                    <w:rPr>
                      <w:rFonts w:cs="Times New Roman"/>
                      <w:szCs w:val="24"/>
                    </w:rPr>
                    <w:t>Informs the beneficiary of the right to</w:t>
                  </w:r>
                </w:p>
                <w:p w14:paraId="1E3E2DD2" w14:textId="77777777" w:rsidR="008D1696" w:rsidRDefault="008D1696" w:rsidP="008D1696">
                  <w:pPr>
                    <w:numPr>
                      <w:ilvl w:val="0"/>
                      <w:numId w:val="41"/>
                    </w:numPr>
                    <w:spacing w:before="100" w:beforeAutospacing="1" w:after="100" w:afterAutospacing="1" w:line="276" w:lineRule="auto"/>
                    <w:rPr>
                      <w:rFonts w:eastAsia="Times New Roman" w:cs="Times New Roman"/>
                      <w:szCs w:val="24"/>
                    </w:rPr>
                  </w:pPr>
                  <w:r>
                    <w:rPr>
                      <w:rFonts w:eastAsia="Times New Roman" w:cs="Times New Roman"/>
                      <w:szCs w:val="24"/>
                    </w:rPr>
                    <w:t>present evidence</w:t>
                  </w:r>
                </w:p>
                <w:p w14:paraId="52709386" w14:textId="77777777" w:rsidR="008D1696" w:rsidRDefault="008D1696" w:rsidP="008D1696">
                  <w:pPr>
                    <w:numPr>
                      <w:ilvl w:val="0"/>
                      <w:numId w:val="41"/>
                    </w:numPr>
                    <w:spacing w:before="100" w:beforeAutospacing="1" w:after="100" w:afterAutospacing="1" w:line="276" w:lineRule="auto"/>
                    <w:rPr>
                      <w:rFonts w:eastAsia="Times New Roman" w:cs="Times New Roman"/>
                      <w:szCs w:val="24"/>
                    </w:rPr>
                  </w:pPr>
                  <w:r>
                    <w:rPr>
                      <w:rFonts w:eastAsia="Times New Roman" w:cs="Times New Roman"/>
                      <w:szCs w:val="24"/>
                    </w:rPr>
                    <w:t>request a personal hearing, and</w:t>
                  </w:r>
                </w:p>
                <w:p w14:paraId="43D86B66" w14:textId="77777777" w:rsidR="008D1696" w:rsidRDefault="008D1696" w:rsidP="008D1696">
                  <w:pPr>
                    <w:numPr>
                      <w:ilvl w:val="0"/>
                      <w:numId w:val="41"/>
                    </w:numPr>
                    <w:spacing w:before="100" w:beforeAutospacing="1" w:after="100" w:afterAutospacing="1" w:line="276" w:lineRule="auto"/>
                    <w:rPr>
                      <w:rFonts w:eastAsia="Times New Roman" w:cs="Times New Roman"/>
                      <w:szCs w:val="24"/>
                    </w:rPr>
                  </w:pPr>
                  <w:r>
                    <w:rPr>
                      <w:rFonts w:eastAsia="Times New Roman" w:cs="Times New Roman"/>
                      <w:szCs w:val="24"/>
                    </w:rPr>
                    <w:t>have representation.</w:t>
                  </w:r>
                </w:p>
              </w:tc>
            </w:tr>
          </w:tbl>
          <w:p w14:paraId="015EAB61" w14:textId="77777777" w:rsidR="008D1696" w:rsidRDefault="008D1696">
            <w:pPr>
              <w:spacing w:line="276" w:lineRule="auto"/>
              <w:rPr>
                <w:rFonts w:eastAsiaTheme="minorHAnsi" w:cs="Times New Roman"/>
                <w:szCs w:val="24"/>
              </w:rPr>
            </w:pPr>
            <w:r>
              <w:rPr>
                <w:rFonts w:cs="Times New Roman"/>
                <w:b/>
                <w:bCs/>
                <w:i/>
                <w:iCs/>
                <w:szCs w:val="24"/>
              </w:rPr>
              <w:t>References</w:t>
            </w:r>
            <w:r>
              <w:rPr>
                <w:rFonts w:cs="Times New Roman"/>
                <w:szCs w:val="24"/>
              </w:rPr>
              <w:t>:  For more information on</w:t>
            </w:r>
          </w:p>
          <w:p w14:paraId="27E14A68" w14:textId="77777777" w:rsidR="008D1696" w:rsidRDefault="008D1696" w:rsidP="008D1696">
            <w:pPr>
              <w:numPr>
                <w:ilvl w:val="0"/>
                <w:numId w:val="42"/>
              </w:numPr>
              <w:spacing w:before="100" w:beforeAutospacing="1" w:after="100" w:afterAutospacing="1" w:line="276" w:lineRule="auto"/>
              <w:rPr>
                <w:rFonts w:eastAsia="Times New Roman" w:cs="Times New Roman"/>
                <w:szCs w:val="24"/>
              </w:rPr>
            </w:pPr>
            <w:r>
              <w:rPr>
                <w:rFonts w:eastAsia="Times New Roman" w:cs="Times New Roman"/>
                <w:szCs w:val="24"/>
              </w:rPr>
              <w:t xml:space="preserve">procedural due process requirements, see </w:t>
            </w:r>
            <w:hyperlink r:id="rId14" w:tgtFrame="_blank" w:history="1">
              <w:r>
                <w:rPr>
                  <w:rStyle w:val="Hyperlink"/>
                  <w:rFonts w:eastAsia="Times New Roman" w:cs="Times New Roman"/>
                  <w:szCs w:val="24"/>
                </w:rPr>
                <w:t>38 CFR 3.103</w:t>
              </w:r>
            </w:hyperlink>
            <w:r>
              <w:rPr>
                <w:rFonts w:eastAsia="Times New Roman" w:cs="Times New Roman"/>
                <w:szCs w:val="24"/>
              </w:rPr>
              <w:t>, and</w:t>
            </w:r>
          </w:p>
          <w:p w14:paraId="08F04B08" w14:textId="77777777" w:rsidR="008D1696" w:rsidRDefault="008D1696" w:rsidP="008D1696">
            <w:pPr>
              <w:numPr>
                <w:ilvl w:val="0"/>
                <w:numId w:val="42"/>
              </w:numPr>
              <w:spacing w:before="100" w:beforeAutospacing="1" w:after="100" w:afterAutospacing="1" w:line="276" w:lineRule="auto"/>
              <w:rPr>
                <w:rFonts w:eastAsia="Times New Roman" w:cs="Times New Roman"/>
                <w:szCs w:val="24"/>
              </w:rPr>
            </w:pPr>
            <w:r>
              <w:rPr>
                <w:rFonts w:eastAsia="Times New Roman" w:cs="Times New Roman"/>
                <w:szCs w:val="24"/>
              </w:rPr>
              <w:t xml:space="preserve">the list of references specific to due process, see </w:t>
            </w:r>
            <w:hyperlink r:id="rId15" w:anchor="4" w:tgtFrame="_self" w:history="1">
              <w:r>
                <w:rPr>
                  <w:rStyle w:val="Hyperlink"/>
                  <w:rFonts w:eastAsia="Times New Roman" w:cs="Times New Roman"/>
                  <w:szCs w:val="24"/>
                </w:rPr>
                <w:t>M21-1, Part I, 2.B.4</w:t>
              </w:r>
            </w:hyperlink>
            <w:r>
              <w:rPr>
                <w:rFonts w:eastAsia="Times New Roman" w:cs="Times New Roman"/>
                <w:szCs w:val="24"/>
              </w:rPr>
              <w:t>.</w:t>
            </w:r>
          </w:p>
        </w:tc>
      </w:tr>
    </w:tbl>
    <w:p w14:paraId="60ECDB7B" w14:textId="77777777" w:rsidR="008D1696" w:rsidRDefault="008D1696" w:rsidP="008D1696">
      <w:pPr>
        <w:pStyle w:val="PlainText"/>
        <w:rPr>
          <w:rFonts w:ascii="Arial" w:hAnsi="Arial" w:cs="Arial"/>
          <w:sz w:val="24"/>
          <w:szCs w:val="24"/>
        </w:rPr>
      </w:pPr>
      <w:r>
        <w:rPr>
          <w:rFonts w:ascii="Arial" w:hAnsi="Arial" w:cs="Arial"/>
          <w:b/>
          <w:sz w:val="24"/>
          <w:szCs w:val="24"/>
        </w:rPr>
        <w:lastRenderedPageBreak/>
        <w:t>Question 4:</w:t>
      </w:r>
      <w:r>
        <w:rPr>
          <w:rFonts w:ascii="Arial" w:hAnsi="Arial" w:cs="Arial"/>
          <w:sz w:val="24"/>
          <w:szCs w:val="24"/>
        </w:rPr>
        <w:t xml:space="preserve"> Based on past P&amp;F Q&amp;A’s they have said that ANY change in medical expenses must be claimed on a 21-8416 Medical Expense Report. Therefore, if a claimant moves into a Medicaid Approved Nursing Home it MUST be claimed on a brand new, properly filled-out 8416.  </w:t>
      </w:r>
    </w:p>
    <w:p w14:paraId="79ACF813" w14:textId="77777777" w:rsidR="008D1696" w:rsidRDefault="008D1696" w:rsidP="008D1696">
      <w:pPr>
        <w:pStyle w:val="PlainText"/>
        <w:rPr>
          <w:rFonts w:ascii="Arial" w:hAnsi="Arial" w:cs="Arial"/>
          <w:sz w:val="24"/>
          <w:szCs w:val="24"/>
        </w:rPr>
      </w:pPr>
      <w:r>
        <w:rPr>
          <w:rFonts w:ascii="Arial" w:hAnsi="Arial" w:cs="Arial"/>
          <w:sz w:val="24"/>
          <w:szCs w:val="24"/>
        </w:rPr>
        <w:t> </w:t>
      </w:r>
    </w:p>
    <w:p w14:paraId="7BB5F91E" w14:textId="77777777" w:rsidR="008D1696" w:rsidRDefault="008D1696" w:rsidP="008D1696">
      <w:pPr>
        <w:pStyle w:val="PlainText"/>
        <w:rPr>
          <w:rFonts w:ascii="Arial" w:hAnsi="Arial" w:cs="Arial"/>
          <w:sz w:val="24"/>
          <w:szCs w:val="24"/>
        </w:rPr>
      </w:pPr>
      <w:r>
        <w:rPr>
          <w:rFonts w:ascii="Arial" w:hAnsi="Arial" w:cs="Arial"/>
          <w:b/>
          <w:sz w:val="24"/>
          <w:szCs w:val="24"/>
        </w:rPr>
        <w:lastRenderedPageBreak/>
        <w:t>P&amp;F Response:</w:t>
      </w:r>
      <w:r>
        <w:rPr>
          <w:rFonts w:ascii="Arial" w:hAnsi="Arial" w:cs="Arial"/>
          <w:sz w:val="24"/>
          <w:szCs w:val="24"/>
        </w:rPr>
        <w:t xml:space="preserve"> We were unable to locate the Q&amp;A that you are referencing. Current manual guidance supersedes past Q&amp;A guidance.   Per M21-1.III.ii.2.B.1.b, VA does not require beneficiaries to use a specific form (i.e. VA Form 21-8416, 21-0779, etc.) to report a change in income that will result in a decrease in benefits.  A beneficiary may report such changes </w:t>
      </w:r>
    </w:p>
    <w:p w14:paraId="0F22FCCC" w14:textId="77777777" w:rsidR="008D1696" w:rsidRDefault="008D1696" w:rsidP="008D1696">
      <w:pPr>
        <w:pStyle w:val="PlainText"/>
        <w:numPr>
          <w:ilvl w:val="0"/>
          <w:numId w:val="43"/>
        </w:numPr>
        <w:rPr>
          <w:rFonts w:ascii="Arial" w:hAnsi="Arial" w:cs="Arial"/>
          <w:sz w:val="24"/>
          <w:szCs w:val="24"/>
        </w:rPr>
      </w:pPr>
      <w:r>
        <w:rPr>
          <w:rFonts w:ascii="Arial" w:hAnsi="Arial" w:cs="Arial"/>
          <w:sz w:val="24"/>
          <w:szCs w:val="24"/>
        </w:rPr>
        <w:t>in writing</w:t>
      </w:r>
    </w:p>
    <w:p w14:paraId="4C48CC31" w14:textId="77777777" w:rsidR="008D1696" w:rsidRDefault="008D1696" w:rsidP="008D1696">
      <w:pPr>
        <w:pStyle w:val="PlainText"/>
        <w:numPr>
          <w:ilvl w:val="0"/>
          <w:numId w:val="43"/>
        </w:numPr>
        <w:rPr>
          <w:rFonts w:ascii="Arial" w:hAnsi="Arial" w:cs="Arial"/>
          <w:sz w:val="24"/>
          <w:szCs w:val="24"/>
        </w:rPr>
      </w:pPr>
      <w:r>
        <w:rPr>
          <w:rFonts w:ascii="Arial" w:hAnsi="Arial" w:cs="Arial"/>
          <w:sz w:val="24"/>
          <w:szCs w:val="24"/>
        </w:rPr>
        <w:t>by telephone, email, or fax, or</w:t>
      </w:r>
    </w:p>
    <w:p w14:paraId="1FCE427A" w14:textId="77777777" w:rsidR="008D1696" w:rsidRDefault="008D1696" w:rsidP="008D1696">
      <w:pPr>
        <w:pStyle w:val="PlainText"/>
        <w:numPr>
          <w:ilvl w:val="0"/>
          <w:numId w:val="43"/>
        </w:numPr>
        <w:rPr>
          <w:rFonts w:ascii="Arial" w:hAnsi="Arial" w:cs="Arial"/>
          <w:sz w:val="24"/>
          <w:szCs w:val="24"/>
        </w:rPr>
      </w:pPr>
      <w:r>
        <w:rPr>
          <w:rFonts w:ascii="Arial" w:hAnsi="Arial" w:cs="Arial"/>
          <w:sz w:val="24"/>
          <w:szCs w:val="24"/>
        </w:rPr>
        <w:t>through eBenefits.</w:t>
      </w:r>
    </w:p>
    <w:p w14:paraId="46D91185" w14:textId="77777777" w:rsidR="008D1696" w:rsidRDefault="008D1696" w:rsidP="008D1696">
      <w:pPr>
        <w:pStyle w:val="PlainText"/>
        <w:rPr>
          <w:rFonts w:ascii="Arial" w:hAnsi="Arial" w:cs="Arial"/>
          <w:sz w:val="24"/>
          <w:szCs w:val="24"/>
        </w:rPr>
      </w:pPr>
    </w:p>
    <w:p w14:paraId="1081F4EF" w14:textId="77777777" w:rsidR="008D1696" w:rsidRDefault="008D1696" w:rsidP="008D1696">
      <w:pPr>
        <w:pStyle w:val="PlainText"/>
        <w:rPr>
          <w:rFonts w:ascii="Arial" w:hAnsi="Arial" w:cs="Arial"/>
          <w:sz w:val="24"/>
          <w:szCs w:val="24"/>
        </w:rPr>
      </w:pPr>
      <w:r>
        <w:rPr>
          <w:rFonts w:ascii="Arial" w:hAnsi="Arial" w:cs="Arial"/>
          <w:b/>
          <w:sz w:val="24"/>
          <w:szCs w:val="24"/>
        </w:rPr>
        <w:t>Question 5:</w:t>
      </w:r>
      <w:r>
        <w:rPr>
          <w:rFonts w:ascii="Arial" w:hAnsi="Arial" w:cs="Arial"/>
          <w:sz w:val="24"/>
          <w:szCs w:val="24"/>
        </w:rPr>
        <w:t xml:space="preserve"> What action should we propose to take if the claimant DOES NOT respond? Or what if they don’t respond with ALL of the requested information?  </w:t>
      </w:r>
    </w:p>
    <w:p w14:paraId="649E3197" w14:textId="77777777" w:rsidR="008D1696" w:rsidRDefault="008D1696" w:rsidP="008D1696">
      <w:pPr>
        <w:pStyle w:val="PlainText"/>
        <w:rPr>
          <w:rFonts w:ascii="Arial" w:hAnsi="Arial" w:cs="Arial"/>
          <w:sz w:val="24"/>
          <w:szCs w:val="24"/>
        </w:rPr>
      </w:pPr>
      <w:r>
        <w:rPr>
          <w:rFonts w:ascii="Arial" w:hAnsi="Arial" w:cs="Arial"/>
          <w:sz w:val="24"/>
          <w:szCs w:val="24"/>
        </w:rPr>
        <w:t> </w:t>
      </w:r>
    </w:p>
    <w:p w14:paraId="08D870AD" w14:textId="197CDD1B" w:rsidR="008D1696" w:rsidRDefault="008D1696" w:rsidP="00C65B92">
      <w:pPr>
        <w:spacing w:after="0" w:line="240" w:lineRule="auto"/>
        <w:rPr>
          <w:rFonts w:ascii="Arial" w:eastAsia="Calibri" w:hAnsi="Arial" w:cs="Arial"/>
          <w:szCs w:val="24"/>
        </w:rPr>
      </w:pPr>
      <w:r w:rsidRPr="008D1696">
        <w:rPr>
          <w:rFonts w:ascii="Arial" w:hAnsi="Arial" w:cs="Arial"/>
          <w:b/>
          <w:szCs w:val="24"/>
        </w:rPr>
        <w:t>P&amp;F Response:</w:t>
      </w:r>
      <w:r w:rsidRPr="008D1696">
        <w:rPr>
          <w:rFonts w:ascii="Arial" w:hAnsi="Arial" w:cs="Arial"/>
          <w:szCs w:val="24"/>
        </w:rPr>
        <w:t xml:space="preserve"> Propose the most adverse action, which in most cases, should be to reduce benefits to $90 per M21-1 V.iii.3.6.c.  If a claimant or third party indicates that prior approved continuing medical expenses have changed, we may have to request medical expenses for prior years. Formal updates to M21-1 </w:t>
      </w:r>
      <w:r w:rsidRPr="008D1696">
        <w:rPr>
          <w:rStyle w:val="Strong"/>
          <w:rFonts w:ascii="Arial" w:hAnsi="Arial" w:cs="Arial"/>
          <w:b w:val="0"/>
          <w:bCs w:val="0"/>
          <w:color w:val="auto"/>
          <w:szCs w:val="24"/>
        </w:rPr>
        <w:t xml:space="preserve">V.iii.3. </w:t>
      </w:r>
      <w:r w:rsidR="00305894">
        <w:rPr>
          <w:rStyle w:val="Strong"/>
          <w:rFonts w:ascii="Arial" w:hAnsi="Arial" w:cs="Arial"/>
          <w:b w:val="0"/>
          <w:bCs w:val="0"/>
          <w:color w:val="auto"/>
          <w:szCs w:val="24"/>
        </w:rPr>
        <w:t xml:space="preserve">were published on November 18, 2019 </w:t>
      </w:r>
      <w:r w:rsidRPr="008D1696">
        <w:rPr>
          <w:rStyle w:val="Strong"/>
          <w:rFonts w:ascii="Arial" w:hAnsi="Arial" w:cs="Arial"/>
          <w:b w:val="0"/>
          <w:bCs w:val="0"/>
          <w:color w:val="auto"/>
          <w:szCs w:val="24"/>
        </w:rPr>
        <w:t xml:space="preserve">to </w:t>
      </w:r>
      <w:r w:rsidR="00305894">
        <w:rPr>
          <w:rStyle w:val="Strong"/>
          <w:rFonts w:ascii="Arial" w:hAnsi="Arial" w:cs="Arial"/>
          <w:b w:val="0"/>
          <w:bCs w:val="0"/>
          <w:color w:val="auto"/>
          <w:szCs w:val="24"/>
        </w:rPr>
        <w:t xml:space="preserve">clarify when it is appropriate to request medical expense information for periods prior to a claimant’s admission to a Medicaid-approved nursing facility. </w:t>
      </w:r>
    </w:p>
    <w:p w14:paraId="72674708" w14:textId="1E063934" w:rsidR="00161EB9" w:rsidRPr="005641A8" w:rsidRDefault="008D1696" w:rsidP="00D07CE0">
      <w:pPr>
        <w:spacing w:after="0" w:line="240" w:lineRule="auto"/>
        <w:rPr>
          <w:rFonts w:ascii="Arial" w:hAnsi="Arial" w:cs="Arial"/>
          <w:szCs w:val="24"/>
        </w:rPr>
      </w:pPr>
      <w:r>
        <w:rPr>
          <w:rFonts w:ascii="Arial" w:eastAsia="Calibri" w:hAnsi="Arial" w:cs="Arial"/>
          <w:b/>
          <w:szCs w:val="24"/>
        </w:rPr>
        <w:t>Res</w:t>
      </w:r>
      <w:r w:rsidR="00161EB9" w:rsidRPr="00161EB9">
        <w:rPr>
          <w:rFonts w:ascii="Arial" w:eastAsia="Calibri" w:hAnsi="Arial" w:cs="Arial"/>
          <w:b/>
          <w:szCs w:val="24"/>
        </w:rPr>
        <w:t>ult:</w:t>
      </w:r>
      <w:r w:rsidR="00161EB9">
        <w:rPr>
          <w:rFonts w:ascii="Arial" w:eastAsia="Calibri" w:hAnsi="Arial" w:cs="Arial"/>
          <w:szCs w:val="24"/>
        </w:rPr>
        <w:t xml:space="preserve"> </w:t>
      </w:r>
      <w:r w:rsidR="00D07CE0">
        <w:rPr>
          <w:rFonts w:ascii="Arial" w:eastAsia="Calibri" w:hAnsi="Arial" w:cs="Arial"/>
          <w:szCs w:val="24"/>
        </w:rPr>
        <w:t xml:space="preserve"> </w:t>
      </w:r>
      <w:r>
        <w:rPr>
          <w:rFonts w:ascii="Arial" w:eastAsia="Calibri" w:hAnsi="Arial" w:cs="Arial"/>
          <w:szCs w:val="24"/>
        </w:rPr>
        <w:t xml:space="preserve">M21-1 </w:t>
      </w:r>
      <w:r w:rsidR="00E025EF">
        <w:rPr>
          <w:rFonts w:ascii="Arial" w:eastAsia="Calibri" w:hAnsi="Arial" w:cs="Arial"/>
          <w:szCs w:val="24"/>
        </w:rPr>
        <w:t xml:space="preserve"> updated</w:t>
      </w:r>
      <w:r w:rsidR="00305894">
        <w:rPr>
          <w:rFonts w:ascii="Arial" w:eastAsia="Calibri" w:hAnsi="Arial" w:cs="Arial"/>
          <w:szCs w:val="24"/>
        </w:rPr>
        <w:t xml:space="preserve"> on November 18, 2019</w:t>
      </w:r>
      <w:r>
        <w:rPr>
          <w:rFonts w:ascii="Arial" w:eastAsia="Calibri" w:hAnsi="Arial" w:cs="Arial"/>
          <w:szCs w:val="24"/>
        </w:rPr>
        <w:t>.</w:t>
      </w:r>
    </w:p>
    <w:p w14:paraId="7F1CE1DB" w14:textId="77777777" w:rsidR="00B06081" w:rsidRPr="00824543" w:rsidRDefault="008D545A" w:rsidP="00824543">
      <w:pPr>
        <w:pStyle w:val="Heading1"/>
        <w:rPr>
          <w:rFonts w:ascii="Arial" w:hAnsi="Arial" w:cs="Arial"/>
        </w:rPr>
      </w:pPr>
      <w:bookmarkStart w:id="13" w:name="_Toc26421519"/>
      <w:r w:rsidRPr="008D545A">
        <w:rPr>
          <w:rFonts w:ascii="Arial" w:hAnsi="Arial" w:cs="Arial"/>
        </w:rPr>
        <w:t>Managing Evidence on Unacceptable Applications</w:t>
      </w:r>
      <w:bookmarkEnd w:id="13"/>
    </w:p>
    <w:p w14:paraId="12119AC1" w14:textId="77777777" w:rsidR="00B06081" w:rsidRPr="003334F9" w:rsidRDefault="00B06081" w:rsidP="00975DE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486A8BE5" w14:textId="77777777" w:rsidR="00161EB9" w:rsidRPr="003334F9" w:rsidRDefault="00161EB9" w:rsidP="00975DE1">
      <w:pPr>
        <w:spacing w:after="0" w:line="240" w:lineRule="auto"/>
        <w:rPr>
          <w:rFonts w:ascii="Arial" w:hAnsi="Arial" w:cs="Arial"/>
        </w:rPr>
      </w:pPr>
    </w:p>
    <w:p w14:paraId="3A85A95B" w14:textId="77777777" w:rsidR="008D545A" w:rsidRDefault="003C7AC3" w:rsidP="008D545A">
      <w:pPr>
        <w:spacing w:after="0" w:line="240" w:lineRule="auto"/>
        <w:rPr>
          <w:rFonts w:ascii="Arial" w:hAnsi="Arial" w:cs="Arial"/>
          <w:szCs w:val="24"/>
        </w:rPr>
      </w:pPr>
      <w:r w:rsidRPr="003334F9">
        <w:rPr>
          <w:rFonts w:ascii="Arial" w:hAnsi="Arial" w:cs="Arial"/>
          <w:b/>
        </w:rPr>
        <w:t>Question:</w:t>
      </w:r>
      <w:r w:rsidR="00830568" w:rsidRPr="003334F9">
        <w:rPr>
          <w:rFonts w:ascii="Arial" w:hAnsi="Arial" w:cs="Arial"/>
          <w:b/>
        </w:rPr>
        <w:t xml:space="preserve">  </w:t>
      </w:r>
      <w:r w:rsidR="008D545A">
        <w:rPr>
          <w:rFonts w:ascii="Arial" w:hAnsi="Arial" w:cs="Arial"/>
          <w:szCs w:val="24"/>
        </w:rPr>
        <w:t>The PMC would like additional clarification on whether or not there is a requirement to manage evidence when an EP400 is completed for an incomplete or outdated application or improperly signed application.  The following reference indicates that all evidence received that does not correspond to a pending tracked item must be accurately recorded with the proper receipt date using the MANAGE EVIDENCE screen, however, it does not specify that this should be used in situations where a completed application was not received.  We would like guidance as to whether or not it is necessary to manage evidence on applications that do not constitute a valid claim.     </w:t>
      </w:r>
    </w:p>
    <w:p w14:paraId="34BEE7BE" w14:textId="77777777" w:rsidR="008D545A" w:rsidRDefault="008D545A" w:rsidP="008D545A">
      <w:pPr>
        <w:rPr>
          <w:rFonts w:ascii="Arial" w:hAnsi="Arial" w:cs="Arial"/>
          <w:szCs w:val="24"/>
        </w:rPr>
      </w:pPr>
    </w:p>
    <w:tbl>
      <w:tblPr>
        <w:tblW w:w="0" w:type="auto"/>
        <w:tblCellSpacing w:w="0" w:type="dxa"/>
        <w:tblCellMar>
          <w:left w:w="0" w:type="dxa"/>
          <w:right w:w="0" w:type="dxa"/>
        </w:tblCellMar>
        <w:tblLook w:val="04A0" w:firstRow="1" w:lastRow="0" w:firstColumn="1" w:lastColumn="0" w:noHBand="0" w:noVBand="1"/>
      </w:tblPr>
      <w:tblGrid>
        <w:gridCol w:w="2196"/>
        <w:gridCol w:w="195"/>
        <w:gridCol w:w="6969"/>
      </w:tblGrid>
      <w:tr w:rsidR="008D545A" w14:paraId="73F6A5A1" w14:textId="77777777" w:rsidTr="008D545A">
        <w:trPr>
          <w:trHeight w:val="120"/>
          <w:tblCellSpacing w:w="0" w:type="dxa"/>
        </w:trPr>
        <w:tc>
          <w:tcPr>
            <w:tcW w:w="1725" w:type="dxa"/>
            <w:hideMark/>
          </w:tcPr>
          <w:p w14:paraId="1ACD3C24" w14:textId="77777777" w:rsidR="008D545A" w:rsidRDefault="008D545A">
            <w:pPr>
              <w:spacing w:before="100" w:beforeAutospacing="1" w:after="100" w:afterAutospacing="1"/>
              <w:rPr>
                <w:rFonts w:ascii="Calibri" w:hAnsi="Calibri" w:cs="Calibri"/>
                <w:b/>
                <w:bCs/>
                <w:sz w:val="27"/>
                <w:szCs w:val="27"/>
              </w:rPr>
            </w:pPr>
            <w:r>
              <w:rPr>
                <w:rFonts w:ascii="Arial" w:hAnsi="Arial" w:cs="Arial"/>
                <w:b/>
                <w:bCs/>
                <w:sz w:val="21"/>
                <w:szCs w:val="21"/>
              </w:rPr>
              <w:t>III.ii.1.B.2.h</w:t>
            </w:r>
            <w:r>
              <w:rPr>
                <w:rFonts w:ascii="Arial" w:hAnsi="Arial" w:cs="Arial"/>
                <w:b/>
                <w:bCs/>
                <w:szCs w:val="24"/>
              </w:rPr>
              <w:t xml:space="preserve">.  </w:t>
            </w:r>
            <w:r>
              <w:rPr>
                <w:rFonts w:ascii="Arial" w:hAnsi="Arial" w:cs="Arial"/>
                <w:b/>
                <w:bCs/>
                <w:sz w:val="21"/>
                <w:szCs w:val="21"/>
              </w:rPr>
              <w:t>Handling Unsolicited Evidence</w:t>
            </w:r>
          </w:p>
        </w:tc>
        <w:tc>
          <w:tcPr>
            <w:tcW w:w="225" w:type="dxa"/>
            <w:vAlign w:val="center"/>
            <w:hideMark/>
          </w:tcPr>
          <w:p w14:paraId="4E88FBEE" w14:textId="77777777" w:rsidR="008D545A" w:rsidRDefault="008D545A">
            <w:pPr>
              <w:rPr>
                <w:b/>
                <w:bCs/>
                <w:sz w:val="27"/>
                <w:szCs w:val="27"/>
              </w:rPr>
            </w:pPr>
          </w:p>
        </w:tc>
        <w:tc>
          <w:tcPr>
            <w:tcW w:w="7740" w:type="dxa"/>
            <w:vAlign w:val="center"/>
            <w:hideMark/>
          </w:tcPr>
          <w:p w14:paraId="7835C4E8" w14:textId="77777777" w:rsidR="008D545A" w:rsidRDefault="008D545A">
            <w:pPr>
              <w:rPr>
                <w:rFonts w:ascii="Calibri" w:eastAsiaTheme="minorHAnsi" w:hAnsi="Calibri" w:cs="Calibri"/>
                <w:sz w:val="22"/>
              </w:rPr>
            </w:pPr>
            <w:r>
              <w:rPr>
                <w:rFonts w:ascii="Arial" w:hAnsi="Arial" w:cs="Arial"/>
                <w:sz w:val="21"/>
                <w:szCs w:val="21"/>
              </w:rPr>
              <w:t>All evidence received that does not correspond to a pending tracked item must be accurately recorded with the proper receipt date using the MANAGE EVIDENCE screen in VBMS, or the EVIDENCE tab in MAP-D.</w:t>
            </w:r>
          </w:p>
          <w:p w14:paraId="41CFE441" w14:textId="77777777" w:rsidR="008D545A" w:rsidRDefault="008D545A">
            <w:r>
              <w:rPr>
                <w:rFonts w:ascii="Arial" w:hAnsi="Arial" w:cs="Arial"/>
                <w:b/>
                <w:bCs/>
                <w:i/>
                <w:iCs/>
                <w:sz w:val="21"/>
                <w:szCs w:val="21"/>
              </w:rPr>
              <w:t>Important</w:t>
            </w:r>
            <w:r>
              <w:rPr>
                <w:rFonts w:ascii="Arial" w:hAnsi="Arial" w:cs="Arial"/>
                <w:sz w:val="21"/>
                <w:szCs w:val="21"/>
              </w:rPr>
              <w:t>:  Do not use VA-specific abbreviations or jargon when entering evidence description.  Plain language should be used whenever possible as it will be visible through eBenefits.</w:t>
            </w:r>
          </w:p>
          <w:p w14:paraId="5F7461B6" w14:textId="77777777" w:rsidR="008D545A" w:rsidRDefault="008D545A">
            <w:r>
              <w:rPr>
                <w:rFonts w:ascii="Arial" w:hAnsi="Arial" w:cs="Arial"/>
                <w:b/>
                <w:bCs/>
                <w:i/>
                <w:iCs/>
                <w:sz w:val="21"/>
                <w:szCs w:val="21"/>
              </w:rPr>
              <w:t>References</w:t>
            </w:r>
            <w:r>
              <w:rPr>
                <w:rFonts w:ascii="Arial" w:hAnsi="Arial" w:cs="Arial"/>
                <w:sz w:val="21"/>
                <w:szCs w:val="21"/>
              </w:rPr>
              <w:t>:  For more information on</w:t>
            </w:r>
          </w:p>
          <w:p w14:paraId="0ED563A1" w14:textId="77777777" w:rsidR="008D545A" w:rsidRDefault="008D545A" w:rsidP="008D545A">
            <w:pPr>
              <w:numPr>
                <w:ilvl w:val="0"/>
                <w:numId w:val="44"/>
              </w:numPr>
              <w:spacing w:before="100" w:beforeAutospacing="1" w:after="100" w:afterAutospacing="1" w:line="240" w:lineRule="auto"/>
              <w:rPr>
                <w:rFonts w:eastAsia="Times New Roman"/>
              </w:rPr>
            </w:pPr>
            <w:r>
              <w:rPr>
                <w:rFonts w:ascii="Arial" w:eastAsia="Times New Roman" w:hAnsi="Arial" w:cs="Arial"/>
                <w:sz w:val="21"/>
                <w:szCs w:val="21"/>
              </w:rPr>
              <w:t>recording evidence in</w:t>
            </w:r>
          </w:p>
          <w:p w14:paraId="2B5BC92B" w14:textId="77777777" w:rsidR="008D545A" w:rsidRDefault="008D545A" w:rsidP="008D545A">
            <w:pPr>
              <w:numPr>
                <w:ilvl w:val="1"/>
                <w:numId w:val="44"/>
              </w:numPr>
              <w:spacing w:before="100" w:beforeAutospacing="1" w:after="100" w:afterAutospacing="1" w:line="240" w:lineRule="auto"/>
              <w:rPr>
                <w:rFonts w:eastAsia="Times New Roman"/>
              </w:rPr>
            </w:pPr>
            <w:r>
              <w:rPr>
                <w:rFonts w:ascii="Arial" w:eastAsia="Times New Roman" w:hAnsi="Arial" w:cs="Arial"/>
                <w:sz w:val="21"/>
                <w:szCs w:val="21"/>
              </w:rPr>
              <w:t xml:space="preserve">VBMS, see the </w:t>
            </w:r>
            <w:hyperlink r:id="rId16" w:tgtFrame="_blank" w:history="1">
              <w:r>
                <w:rPr>
                  <w:rStyle w:val="Hyperlink"/>
                  <w:rFonts w:ascii="Arial" w:eastAsia="Times New Roman" w:hAnsi="Arial" w:cs="Arial"/>
                  <w:i/>
                  <w:iCs/>
                  <w:sz w:val="21"/>
                  <w:szCs w:val="21"/>
                </w:rPr>
                <w:t>VBMS User Guide</w:t>
              </w:r>
            </w:hyperlink>
            <w:r>
              <w:rPr>
                <w:rFonts w:ascii="Arial" w:eastAsia="Times New Roman" w:hAnsi="Arial" w:cs="Arial"/>
                <w:sz w:val="21"/>
                <w:szCs w:val="21"/>
              </w:rPr>
              <w:t>, or</w:t>
            </w:r>
          </w:p>
          <w:p w14:paraId="7B413A81" w14:textId="77777777" w:rsidR="008D545A" w:rsidRDefault="008D545A" w:rsidP="008D545A">
            <w:pPr>
              <w:numPr>
                <w:ilvl w:val="1"/>
                <w:numId w:val="44"/>
              </w:numPr>
              <w:spacing w:before="100" w:beforeAutospacing="1" w:after="100" w:afterAutospacing="1" w:line="240" w:lineRule="auto"/>
              <w:rPr>
                <w:rFonts w:eastAsia="Times New Roman"/>
              </w:rPr>
            </w:pPr>
            <w:r>
              <w:rPr>
                <w:rFonts w:ascii="Arial" w:eastAsia="Times New Roman" w:hAnsi="Arial" w:cs="Arial"/>
                <w:sz w:val="21"/>
                <w:szCs w:val="21"/>
              </w:rPr>
              <w:lastRenderedPageBreak/>
              <w:t xml:space="preserve">MAP-D, see the </w:t>
            </w:r>
            <w:hyperlink r:id="rId17" w:tgtFrame="_blank" w:history="1">
              <w:r>
                <w:rPr>
                  <w:rStyle w:val="Hyperlink"/>
                  <w:rFonts w:ascii="Arial" w:eastAsia="Times New Roman" w:hAnsi="Arial" w:cs="Arial"/>
                  <w:i/>
                  <w:iCs/>
                  <w:sz w:val="21"/>
                  <w:szCs w:val="21"/>
                </w:rPr>
                <w:t>MAP-D User Guide</w:t>
              </w:r>
            </w:hyperlink>
            <w:r>
              <w:rPr>
                <w:rFonts w:ascii="Arial" w:eastAsia="Times New Roman" w:hAnsi="Arial" w:cs="Arial"/>
                <w:sz w:val="21"/>
                <w:szCs w:val="21"/>
              </w:rPr>
              <w:t>, and</w:t>
            </w:r>
          </w:p>
          <w:p w14:paraId="106E566F" w14:textId="77777777" w:rsidR="008D545A" w:rsidRDefault="008D545A" w:rsidP="008D545A">
            <w:pPr>
              <w:numPr>
                <w:ilvl w:val="0"/>
                <w:numId w:val="44"/>
              </w:numPr>
              <w:spacing w:before="100" w:beforeAutospacing="1" w:after="100" w:afterAutospacing="1" w:line="240" w:lineRule="auto"/>
              <w:rPr>
                <w:rFonts w:eastAsia="Times New Roman"/>
              </w:rPr>
            </w:pPr>
            <w:r>
              <w:rPr>
                <w:rFonts w:ascii="Arial" w:eastAsia="Times New Roman" w:hAnsi="Arial" w:cs="Arial"/>
                <w:sz w:val="21"/>
                <w:szCs w:val="21"/>
              </w:rPr>
              <w:t xml:space="preserve">processing solicited and unsolicited mail, see </w:t>
            </w:r>
            <w:hyperlink r:id="rId18" w:history="1">
              <w:r>
                <w:rPr>
                  <w:rStyle w:val="Hyperlink"/>
                  <w:rFonts w:ascii="Arial" w:eastAsia="Times New Roman" w:hAnsi="Arial" w:cs="Arial"/>
                  <w:sz w:val="21"/>
                  <w:szCs w:val="21"/>
                </w:rPr>
                <w:t>M21-1, Part III, Subpart ii, 1.E.5.d</w:t>
              </w:r>
            </w:hyperlink>
            <w:r>
              <w:rPr>
                <w:rFonts w:ascii="Arial" w:eastAsia="Times New Roman" w:hAnsi="Arial" w:cs="Arial"/>
                <w:sz w:val="21"/>
                <w:szCs w:val="21"/>
              </w:rPr>
              <w:t>.</w:t>
            </w:r>
          </w:p>
        </w:tc>
      </w:tr>
    </w:tbl>
    <w:p w14:paraId="583D125D" w14:textId="77777777" w:rsidR="008D545A" w:rsidRPr="003334F9" w:rsidRDefault="008D545A" w:rsidP="008D545A">
      <w:pPr>
        <w:spacing w:after="0" w:line="240" w:lineRule="auto"/>
        <w:rPr>
          <w:rFonts w:ascii="Arial" w:hAnsi="Arial" w:cs="Arial"/>
          <w:b/>
        </w:rPr>
      </w:pPr>
    </w:p>
    <w:p w14:paraId="7CFEEFC0" w14:textId="77777777" w:rsidR="00D02351" w:rsidRDefault="00D02351" w:rsidP="00D02351">
      <w:pPr>
        <w:spacing w:after="0" w:line="240" w:lineRule="auto"/>
        <w:rPr>
          <w:rFonts w:ascii="Arial" w:hAnsi="Arial" w:cs="Arial"/>
          <w:szCs w:val="24"/>
        </w:rPr>
      </w:pPr>
      <w:r w:rsidRPr="003334F9">
        <w:rPr>
          <w:rFonts w:ascii="Arial" w:hAnsi="Arial" w:cs="Arial"/>
          <w:b/>
        </w:rPr>
        <w:t xml:space="preserve">Response: </w:t>
      </w:r>
      <w:r w:rsidRPr="003334F9">
        <w:rPr>
          <w:rFonts w:ascii="Arial" w:hAnsi="Arial" w:cs="Arial"/>
        </w:rPr>
        <w:t xml:space="preserve"> </w:t>
      </w:r>
      <w:r>
        <w:rPr>
          <w:rFonts w:ascii="Arial" w:hAnsi="Arial" w:cs="Arial"/>
          <w:szCs w:val="24"/>
        </w:rPr>
        <w:t xml:space="preserve">Yes, VA has a requirement to manage all submitted evidence, whether or not it is related to a claim or pending tracked item.  As indicated, M21-1, Part III, Subpart ii, 1.B.2.h, evidence not related to a pending tracked item or a claim must be documented in either VBMS or Map-D.  Block h refers to how to handle unsolicited evidence, and not whether there is a completed application or not.  </w:t>
      </w:r>
    </w:p>
    <w:p w14:paraId="3C5FD6DD" w14:textId="77777777" w:rsidR="00C65B92" w:rsidRPr="00C65B92" w:rsidRDefault="00C65B92" w:rsidP="008D545A">
      <w:pPr>
        <w:spacing w:after="0" w:line="240" w:lineRule="auto"/>
        <w:rPr>
          <w:rFonts w:ascii="Arial" w:hAnsi="Arial" w:cs="Arial"/>
          <w:szCs w:val="24"/>
        </w:rPr>
      </w:pPr>
    </w:p>
    <w:p w14:paraId="43C2ADE2" w14:textId="77777777" w:rsidR="00161EB9" w:rsidRPr="003334F9" w:rsidRDefault="003C7AC3" w:rsidP="008D545A">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sidR="00830568" w:rsidRPr="003334F9">
        <w:rPr>
          <w:rFonts w:ascii="Arial" w:hAnsi="Arial" w:cs="Arial"/>
        </w:rPr>
        <w:t xml:space="preserve"> </w:t>
      </w:r>
      <w:r w:rsidR="00B51D15" w:rsidRPr="003334F9">
        <w:rPr>
          <w:rFonts w:ascii="Arial" w:hAnsi="Arial" w:cs="Arial"/>
          <w:szCs w:val="24"/>
        </w:rPr>
        <w:t>Clarification provided.</w:t>
      </w:r>
    </w:p>
    <w:p w14:paraId="1E958986" w14:textId="77777777" w:rsidR="008A465E" w:rsidRPr="003C7AC3" w:rsidRDefault="00D24ED7" w:rsidP="008A465E">
      <w:pPr>
        <w:pStyle w:val="Heading1"/>
        <w:rPr>
          <w:rFonts w:ascii="Arial" w:hAnsi="Arial" w:cs="Arial"/>
        </w:rPr>
      </w:pPr>
      <w:bookmarkStart w:id="14" w:name="_Toc26421520"/>
      <w:r w:rsidRPr="00D24ED7">
        <w:rPr>
          <w:rFonts w:ascii="Arial" w:hAnsi="Arial" w:cs="Arial"/>
        </w:rPr>
        <w:t>Due Process Inquiry</w:t>
      </w:r>
      <w:bookmarkEnd w:id="14"/>
    </w:p>
    <w:p w14:paraId="69C9AC06" w14:textId="77777777" w:rsidR="008A465E" w:rsidRPr="00B06081" w:rsidRDefault="008A465E" w:rsidP="009F2C78">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171D09">
        <w:rPr>
          <w:rFonts w:ascii="Arial" w:hAnsi="Arial" w:cs="Arial"/>
          <w:szCs w:val="24"/>
        </w:rPr>
        <w:t xml:space="preserve"> </w:t>
      </w:r>
      <w:r w:rsidR="00171D09">
        <w:rPr>
          <w:rFonts w:ascii="Arial" w:hAnsi="Arial" w:cs="Arial"/>
        </w:rPr>
        <w:t>PMC Claims Processors</w:t>
      </w:r>
    </w:p>
    <w:p w14:paraId="78D953EB" w14:textId="77777777" w:rsidR="008A465E" w:rsidRDefault="008A465E" w:rsidP="009F2C78">
      <w:pPr>
        <w:spacing w:after="0" w:line="240" w:lineRule="auto"/>
        <w:rPr>
          <w:rFonts w:ascii="Arial" w:hAnsi="Arial" w:cs="Arial"/>
          <w:szCs w:val="24"/>
        </w:rPr>
      </w:pPr>
    </w:p>
    <w:p w14:paraId="4475543C" w14:textId="77777777" w:rsidR="00DA5B43" w:rsidRDefault="000B5D13" w:rsidP="009F2C78">
      <w:pPr>
        <w:spacing w:after="0" w:line="240" w:lineRule="auto"/>
        <w:rPr>
          <w:rFonts w:ascii="Arial" w:hAnsi="Arial" w:cs="Arial"/>
          <w:szCs w:val="24"/>
        </w:rPr>
      </w:pPr>
      <w:r w:rsidRPr="003334F9">
        <w:rPr>
          <w:rFonts w:ascii="Arial" w:hAnsi="Arial" w:cs="Arial"/>
          <w:b/>
        </w:rPr>
        <w:t xml:space="preserve">Question:  </w:t>
      </w:r>
      <w:r w:rsidRPr="000B5D13">
        <w:rPr>
          <w:rFonts w:ascii="Arial" w:hAnsi="Arial" w:cs="Arial"/>
          <w:szCs w:val="24"/>
        </w:rPr>
        <w:t>Based on the response received on October 16, 2019, we are seeking clarify as to why there appears to be two sets of rules for automated versus self-generated due process letters.  The difference in requirements is creating inefficiencies and inconsistencies amongst the three PMCs, causing rework and individual quality errors.</w:t>
      </w:r>
    </w:p>
    <w:p w14:paraId="642D50FF" w14:textId="77777777" w:rsidR="000B5D13" w:rsidRDefault="000B5D13" w:rsidP="009F2C78">
      <w:pPr>
        <w:spacing w:after="0" w:line="240" w:lineRule="auto"/>
        <w:rPr>
          <w:rFonts w:ascii="Arial" w:hAnsi="Arial" w:cs="Arial"/>
          <w:szCs w:val="24"/>
        </w:rPr>
      </w:pPr>
    </w:p>
    <w:p w14:paraId="39892040" w14:textId="77777777" w:rsidR="000B5D13" w:rsidRPr="000B5D13" w:rsidRDefault="000B5D13" w:rsidP="009F2C78">
      <w:pPr>
        <w:spacing w:after="0" w:line="240" w:lineRule="auto"/>
        <w:rPr>
          <w:rFonts w:ascii="Arial" w:hAnsi="Arial" w:cs="Arial"/>
          <w:b/>
          <w:szCs w:val="24"/>
        </w:rPr>
      </w:pPr>
      <w:r w:rsidRPr="000B5D13">
        <w:rPr>
          <w:rFonts w:ascii="Arial" w:hAnsi="Arial" w:cs="Arial"/>
          <w:b/>
          <w:szCs w:val="24"/>
        </w:rPr>
        <w:t>October 16, 2019 Response</w:t>
      </w:r>
    </w:p>
    <w:p w14:paraId="5CA71A61" w14:textId="77777777" w:rsidR="000B5D13" w:rsidRDefault="000B5D13" w:rsidP="009F2C78">
      <w:pPr>
        <w:spacing w:after="0" w:line="240" w:lineRule="auto"/>
        <w:rPr>
          <w:rFonts w:ascii="Arial" w:hAnsi="Arial" w:cs="Arial"/>
          <w:szCs w:val="24"/>
        </w:rPr>
      </w:pPr>
    </w:p>
    <w:p w14:paraId="11ABE0FE" w14:textId="77777777" w:rsidR="000B5D13" w:rsidRPr="000B5D13" w:rsidRDefault="000B5D13" w:rsidP="000B5D13">
      <w:pPr>
        <w:spacing w:after="0" w:line="240" w:lineRule="auto"/>
        <w:ind w:left="360"/>
        <w:rPr>
          <w:rFonts w:ascii="Arial" w:hAnsi="Arial" w:cs="Arial"/>
          <w:szCs w:val="24"/>
        </w:rPr>
      </w:pPr>
      <w:r w:rsidRPr="000B5D13">
        <w:rPr>
          <w:rFonts w:ascii="Arial" w:hAnsi="Arial" w:cs="Arial"/>
          <w:szCs w:val="24"/>
        </w:rPr>
        <w:t xml:space="preserve">Pension and Fiduciary (P&amp;F) Service reviewed your inquiry and concur with your interpretation of 38 CFR 3.103 and M21-1.I.2.B.2.a and b.  38 CFR 3.103 is the guiding reference for M21-1.I.2.B.2.b – which states that a notice of proposed adverse action includes </w:t>
      </w:r>
    </w:p>
    <w:p w14:paraId="09E33D61" w14:textId="77777777" w:rsidR="000B5D13" w:rsidRPr="000B5D13" w:rsidRDefault="000B5D13" w:rsidP="000B5D13">
      <w:pPr>
        <w:pStyle w:val="ListParagraph"/>
        <w:numPr>
          <w:ilvl w:val="0"/>
          <w:numId w:val="47"/>
        </w:numPr>
        <w:spacing w:after="0" w:line="240" w:lineRule="auto"/>
        <w:ind w:left="1080"/>
        <w:rPr>
          <w:rFonts w:ascii="Arial" w:hAnsi="Arial" w:cs="Arial"/>
          <w:szCs w:val="24"/>
        </w:rPr>
      </w:pPr>
      <w:r w:rsidRPr="000B5D13">
        <w:rPr>
          <w:rFonts w:ascii="Arial" w:hAnsi="Arial" w:cs="Arial"/>
          <w:szCs w:val="24"/>
        </w:rPr>
        <w:t>evidence under consideration</w:t>
      </w:r>
    </w:p>
    <w:p w14:paraId="6DB66231" w14:textId="77777777" w:rsidR="000B5D13" w:rsidRPr="000B5D13" w:rsidRDefault="000B5D13" w:rsidP="000B5D13">
      <w:pPr>
        <w:pStyle w:val="ListParagraph"/>
        <w:numPr>
          <w:ilvl w:val="0"/>
          <w:numId w:val="47"/>
        </w:numPr>
        <w:spacing w:after="0" w:line="240" w:lineRule="auto"/>
        <w:ind w:left="1080"/>
        <w:rPr>
          <w:rFonts w:ascii="Arial" w:hAnsi="Arial" w:cs="Arial"/>
          <w:szCs w:val="24"/>
        </w:rPr>
      </w:pPr>
      <w:r w:rsidRPr="000B5D13">
        <w:rPr>
          <w:rFonts w:ascii="Arial" w:hAnsi="Arial" w:cs="Arial"/>
          <w:szCs w:val="24"/>
        </w:rPr>
        <w:t xml:space="preserve">facts and reasons for the proposal, and </w:t>
      </w:r>
    </w:p>
    <w:p w14:paraId="08E1D53C" w14:textId="77777777" w:rsidR="000B5D13" w:rsidRPr="000B5D13" w:rsidRDefault="000B5D13" w:rsidP="000B5D13">
      <w:pPr>
        <w:pStyle w:val="ListParagraph"/>
        <w:numPr>
          <w:ilvl w:val="0"/>
          <w:numId w:val="47"/>
        </w:numPr>
        <w:spacing w:after="0" w:line="240" w:lineRule="auto"/>
        <w:ind w:left="1080"/>
        <w:rPr>
          <w:rFonts w:ascii="Arial" w:hAnsi="Arial" w:cs="Arial"/>
          <w:szCs w:val="24"/>
        </w:rPr>
      </w:pPr>
      <w:r w:rsidRPr="000B5D13">
        <w:rPr>
          <w:rFonts w:ascii="Arial" w:hAnsi="Arial" w:cs="Arial"/>
          <w:szCs w:val="24"/>
        </w:rPr>
        <w:t>proposed rates and any calculations used to arrive at the proposed rates.</w:t>
      </w:r>
    </w:p>
    <w:p w14:paraId="5ABE13C5" w14:textId="77777777" w:rsidR="000B5D13" w:rsidRPr="000B5D13" w:rsidRDefault="000B5D13" w:rsidP="000B5D13">
      <w:pPr>
        <w:spacing w:after="0" w:line="240" w:lineRule="auto"/>
        <w:ind w:left="360"/>
        <w:rPr>
          <w:rFonts w:ascii="Arial" w:hAnsi="Arial" w:cs="Arial"/>
          <w:szCs w:val="24"/>
        </w:rPr>
      </w:pPr>
    </w:p>
    <w:p w14:paraId="49095684" w14:textId="77777777" w:rsidR="000B5D13" w:rsidRPr="000B5D13" w:rsidRDefault="000B5D13" w:rsidP="000B5D13">
      <w:pPr>
        <w:spacing w:after="0" w:line="240" w:lineRule="auto"/>
        <w:ind w:left="360"/>
        <w:rPr>
          <w:rFonts w:ascii="Arial" w:hAnsi="Arial" w:cs="Arial"/>
          <w:szCs w:val="24"/>
        </w:rPr>
      </w:pPr>
      <w:r w:rsidRPr="000B5D13">
        <w:rPr>
          <w:rFonts w:ascii="Arial" w:hAnsi="Arial" w:cs="Arial"/>
          <w:szCs w:val="24"/>
        </w:rPr>
        <w:t>Therefore, as M21-1.I.2.B.2.b specifically states that the notice of a proposed adverse action must include the proposed rate(s) and any calculations used to arrive at the proposed rates.  For Pension benefits, a notice of proposed adverse action must also contain all income and medical expenses used in calculating the proposed rate(s).</w:t>
      </w:r>
    </w:p>
    <w:p w14:paraId="0648D9A7" w14:textId="77777777" w:rsidR="000B5D13" w:rsidRDefault="000B5D13" w:rsidP="000B5D13">
      <w:pPr>
        <w:spacing w:after="0" w:line="240" w:lineRule="auto"/>
        <w:rPr>
          <w:rFonts w:ascii="Arial" w:hAnsi="Arial" w:cs="Arial"/>
          <w:szCs w:val="24"/>
        </w:rPr>
      </w:pPr>
    </w:p>
    <w:p w14:paraId="33D28B06" w14:textId="77777777" w:rsidR="000B5D13" w:rsidRDefault="000B5D13" w:rsidP="000B5D13">
      <w:pPr>
        <w:spacing w:after="0" w:line="240" w:lineRule="auto"/>
        <w:rPr>
          <w:rFonts w:ascii="Arial" w:hAnsi="Arial" w:cs="Arial"/>
          <w:szCs w:val="24"/>
        </w:rPr>
      </w:pPr>
      <w:r w:rsidRPr="003334F9">
        <w:rPr>
          <w:rFonts w:ascii="Arial" w:hAnsi="Arial" w:cs="Arial"/>
          <w:b/>
        </w:rPr>
        <w:t xml:space="preserve">Response: </w:t>
      </w:r>
      <w:r w:rsidRPr="003334F9">
        <w:rPr>
          <w:rFonts w:ascii="Arial" w:hAnsi="Arial" w:cs="Arial"/>
        </w:rPr>
        <w:t xml:space="preserve"> </w:t>
      </w:r>
      <w:r>
        <w:rPr>
          <w:rFonts w:ascii="Arial" w:hAnsi="Arial" w:cs="Arial"/>
          <w:szCs w:val="24"/>
        </w:rPr>
        <w:t xml:space="preserve">Pension and Fiduciary (P&amp;F) Service understands and appreciates your request to utilize a standard adverse action notification process. We are currently reviewing both adverse action notification processes – automated and manual – to determine the best way to streamline the manual process to align with the automated process. Once determined and implemented, P&amp;F Service will change the M21-1, if necessary, and disseminate the aligned adverse action notification process accordingly. </w:t>
      </w:r>
    </w:p>
    <w:p w14:paraId="2F2C373A" w14:textId="77777777" w:rsidR="000B5D13" w:rsidRDefault="000B5D13" w:rsidP="000B5D13">
      <w:pPr>
        <w:spacing w:after="0" w:line="240" w:lineRule="auto"/>
        <w:rPr>
          <w:rFonts w:ascii="Arial" w:hAnsi="Arial" w:cs="Arial"/>
          <w:szCs w:val="24"/>
        </w:rPr>
      </w:pPr>
    </w:p>
    <w:p w14:paraId="4E4F81F0" w14:textId="77777777" w:rsidR="000B5D13" w:rsidRDefault="000B5D13" w:rsidP="000B5D13">
      <w:pPr>
        <w:spacing w:after="0" w:line="240" w:lineRule="auto"/>
        <w:rPr>
          <w:rFonts w:ascii="Arial" w:hAnsi="Arial" w:cs="Arial"/>
          <w:szCs w:val="24"/>
        </w:rPr>
      </w:pPr>
      <w:r>
        <w:rPr>
          <w:rFonts w:ascii="Arial" w:hAnsi="Arial" w:cs="Arial"/>
          <w:szCs w:val="24"/>
        </w:rPr>
        <w:lastRenderedPageBreak/>
        <w:t xml:space="preserve">However, currently, COLA and loss of dependency automated and manual due process letters are two distinct and separate processes. Regarding the automated process, its letters comply with the legal requirements for notices of adverse action as described in </w:t>
      </w:r>
      <w:hyperlink r:id="rId19" w:history="1">
        <w:r>
          <w:rPr>
            <w:rStyle w:val="Hyperlink"/>
            <w:rFonts w:ascii="Arial" w:hAnsi="Arial" w:cs="Arial"/>
            <w:szCs w:val="24"/>
          </w:rPr>
          <w:t>38 CFR 3.103</w:t>
        </w:r>
      </w:hyperlink>
      <w:r>
        <w:rPr>
          <w:rFonts w:ascii="Arial" w:hAnsi="Arial" w:cs="Arial"/>
          <w:szCs w:val="24"/>
        </w:rPr>
        <w:t>. Claims processors can take all required action(s) to adjust the beneficiary’s award based on the automated notice.  Claims processors are not required nor should they send a “new” notice encompassing all required elements as outlined within M21-1.I.2.B.2.a or b prior to taking action. </w:t>
      </w:r>
    </w:p>
    <w:p w14:paraId="5B38B42B" w14:textId="77777777" w:rsidR="000B5D13" w:rsidRDefault="000B5D13" w:rsidP="000B5D13">
      <w:pPr>
        <w:spacing w:after="0" w:line="240" w:lineRule="auto"/>
        <w:rPr>
          <w:rFonts w:ascii="Arial" w:hAnsi="Arial" w:cs="Arial"/>
          <w:szCs w:val="24"/>
        </w:rPr>
      </w:pPr>
    </w:p>
    <w:p w14:paraId="2964C99D" w14:textId="77777777" w:rsidR="000B5D13" w:rsidRDefault="000B5D13" w:rsidP="000B5D13">
      <w:pPr>
        <w:spacing w:after="0" w:line="240" w:lineRule="auto"/>
        <w:rPr>
          <w:rFonts w:ascii="Arial" w:hAnsi="Arial" w:cs="Arial"/>
          <w:szCs w:val="24"/>
        </w:rPr>
      </w:pPr>
      <w:r>
        <w:rPr>
          <w:rFonts w:ascii="Arial" w:hAnsi="Arial" w:cs="Arial"/>
          <w:szCs w:val="24"/>
        </w:rPr>
        <w:t>Regarding the manual process, as provided within P&amp;F Service’s October 16, 2019 reply, claims processors should utilize the adjudication manual (M21-1.I.2.B.2.b) when manually creating notices of adverse action.</w:t>
      </w:r>
    </w:p>
    <w:p w14:paraId="1A974668" w14:textId="77777777" w:rsidR="000B5D13" w:rsidRDefault="000B5D13" w:rsidP="000B5D13">
      <w:pPr>
        <w:spacing w:after="0" w:line="240" w:lineRule="auto"/>
        <w:rPr>
          <w:rFonts w:ascii="Arial" w:hAnsi="Arial" w:cs="Arial"/>
          <w:szCs w:val="24"/>
        </w:rPr>
      </w:pPr>
    </w:p>
    <w:p w14:paraId="3874CA5D" w14:textId="77777777" w:rsidR="000B5D13" w:rsidRDefault="000B5D13" w:rsidP="000B5D13">
      <w:pPr>
        <w:spacing w:after="0" w:line="240" w:lineRule="auto"/>
        <w:rPr>
          <w:rFonts w:ascii="Arial" w:hAnsi="Arial" w:cs="Arial"/>
          <w:szCs w:val="24"/>
        </w:rPr>
      </w:pPr>
      <w:r>
        <w:rPr>
          <w:rFonts w:ascii="Arial" w:hAnsi="Arial" w:cs="Arial"/>
          <w:szCs w:val="24"/>
        </w:rPr>
        <w:t xml:space="preserve">As these are two distinct processes, inefficiencies and inconsistencies amongst the three PMCs currently should not be an issue – Hines Information Technology Center (ITC) creates and mails out all automated letters while the three PMCs create and mail out all manual letters. Depending on the process, all letters should be consistent while providing efficient notification to our claimants. </w:t>
      </w:r>
    </w:p>
    <w:p w14:paraId="73842FAB" w14:textId="77777777" w:rsidR="000B5D13" w:rsidRDefault="000B5D13" w:rsidP="000B5D13">
      <w:pPr>
        <w:spacing w:after="0" w:line="240" w:lineRule="auto"/>
        <w:rPr>
          <w:rFonts w:ascii="Arial" w:hAnsi="Arial" w:cs="Arial"/>
          <w:szCs w:val="24"/>
        </w:rPr>
      </w:pPr>
    </w:p>
    <w:p w14:paraId="3125A3D1" w14:textId="77777777" w:rsidR="000B5D13" w:rsidRDefault="000B5D13" w:rsidP="000B5D13">
      <w:pPr>
        <w:spacing w:after="0" w:line="240" w:lineRule="auto"/>
        <w:rPr>
          <w:rFonts w:ascii="Arial" w:hAnsi="Arial" w:cs="Arial"/>
          <w:szCs w:val="24"/>
        </w:rPr>
      </w:pPr>
      <w:r>
        <w:rPr>
          <w:rFonts w:ascii="Arial" w:hAnsi="Arial" w:cs="Arial"/>
          <w:szCs w:val="24"/>
        </w:rPr>
        <w:t xml:space="preserve">If your office is experiencing incorrect individual quality errors relating to this issue, please notify the </w:t>
      </w:r>
      <w:hyperlink r:id="rId20" w:history="1">
        <w:r>
          <w:rPr>
            <w:rStyle w:val="Hyperlink"/>
            <w:rFonts w:ascii="Arial" w:hAnsi="Arial" w:cs="Arial"/>
            <w:szCs w:val="24"/>
          </w:rPr>
          <w:t>Training, Quality, and Oversight</w:t>
        </w:r>
      </w:hyperlink>
      <w:r>
        <w:rPr>
          <w:rFonts w:ascii="Arial" w:hAnsi="Arial" w:cs="Arial"/>
          <w:szCs w:val="24"/>
        </w:rPr>
        <w:t xml:space="preserve"> mailbox. </w:t>
      </w:r>
    </w:p>
    <w:p w14:paraId="0C0A4399" w14:textId="77777777" w:rsidR="00DA5B43" w:rsidRDefault="00DA5B43" w:rsidP="009F2C78">
      <w:pPr>
        <w:spacing w:after="0" w:line="240" w:lineRule="auto"/>
        <w:rPr>
          <w:rFonts w:ascii="Arial" w:hAnsi="Arial" w:cs="Arial"/>
          <w:szCs w:val="24"/>
        </w:rPr>
      </w:pPr>
    </w:p>
    <w:p w14:paraId="00D000AE" w14:textId="77777777" w:rsidR="003C7AC3" w:rsidRPr="00B06081" w:rsidRDefault="003C7AC3" w:rsidP="009F2C78">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sidR="00171D09">
        <w:rPr>
          <w:rFonts w:ascii="Arial" w:hAnsi="Arial" w:cs="Arial"/>
          <w:szCs w:val="24"/>
        </w:rPr>
        <w:t xml:space="preserve"> </w:t>
      </w:r>
      <w:r w:rsidR="000B5D13" w:rsidRPr="00AB6C8F">
        <w:rPr>
          <w:rFonts w:ascii="Arial" w:hAnsi="Arial" w:cs="Arial"/>
          <w:szCs w:val="24"/>
        </w:rPr>
        <w:t>Clarification provided.</w:t>
      </w:r>
    </w:p>
    <w:p w14:paraId="46B6BA40" w14:textId="77777777" w:rsidR="008B6CC9" w:rsidRPr="00824543" w:rsidRDefault="008B6CC9" w:rsidP="008B6CC9">
      <w:pPr>
        <w:pStyle w:val="Heading1"/>
        <w:rPr>
          <w:rFonts w:ascii="Arial" w:hAnsi="Arial" w:cs="Arial"/>
        </w:rPr>
      </w:pPr>
      <w:bookmarkStart w:id="15" w:name="_Toc26421521"/>
      <w:bookmarkStart w:id="16" w:name="_Toc11231425"/>
      <w:r w:rsidRPr="008B6CC9">
        <w:rPr>
          <w:rFonts w:ascii="Arial" w:hAnsi="Arial" w:cs="Arial"/>
        </w:rPr>
        <w:t xml:space="preserve">Clarification Request - EP 140s </w:t>
      </w:r>
      <w:r w:rsidR="002C7859">
        <w:rPr>
          <w:rFonts w:ascii="Arial" w:hAnsi="Arial" w:cs="Arial"/>
        </w:rPr>
        <w:t>I</w:t>
      </w:r>
      <w:r w:rsidRPr="008B6CC9">
        <w:rPr>
          <w:rFonts w:ascii="Arial" w:hAnsi="Arial" w:cs="Arial"/>
        </w:rPr>
        <w:t>ntertwined with EP 165s</w:t>
      </w:r>
      <w:bookmarkEnd w:id="15"/>
    </w:p>
    <w:p w14:paraId="6B13F514" w14:textId="77777777" w:rsidR="008B6CC9" w:rsidRPr="003334F9" w:rsidRDefault="008B6CC9" w:rsidP="008B6CC9">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7ADDEAC" w14:textId="77777777" w:rsidR="008B6CC9" w:rsidRPr="003334F9" w:rsidRDefault="008B6CC9" w:rsidP="008B6CC9">
      <w:pPr>
        <w:spacing w:after="0" w:line="240" w:lineRule="auto"/>
        <w:rPr>
          <w:rFonts w:ascii="Arial" w:hAnsi="Arial" w:cs="Arial"/>
        </w:rPr>
      </w:pPr>
    </w:p>
    <w:p w14:paraId="45869773" w14:textId="061D11F3" w:rsidR="00393158" w:rsidRPr="0071520E" w:rsidRDefault="008B6CC9" w:rsidP="00393158">
      <w:pPr>
        <w:pStyle w:val="PlainText"/>
        <w:rPr>
          <w:rFonts w:ascii="Arial" w:hAnsi="Arial" w:cs="Arial"/>
          <w:sz w:val="24"/>
          <w:szCs w:val="24"/>
        </w:rPr>
      </w:pPr>
      <w:r w:rsidRPr="00E025EF">
        <w:rPr>
          <w:rFonts w:ascii="Arial" w:hAnsi="Arial" w:cs="Arial"/>
          <w:b/>
          <w:szCs w:val="24"/>
        </w:rPr>
        <w:t xml:space="preserve">Question:  </w:t>
      </w:r>
      <w:r w:rsidR="00393158" w:rsidRPr="0071520E">
        <w:rPr>
          <w:rFonts w:ascii="Arial" w:hAnsi="Arial" w:cs="Arial"/>
          <w:sz w:val="24"/>
          <w:szCs w:val="24"/>
        </w:rPr>
        <w:t>M21-1 VIII.5.17.g EP Control and Disposition for Initial Claims or CUEs and the answer to question 1 of the Accrued EP jurisdiction Responses document indicate we should keep EP 140s pending until a decision on an intertwined EP 165 is final.  Essentially, we read these to state both the EP 140 and EP 165 should be worked together.</w:t>
      </w:r>
    </w:p>
    <w:p w14:paraId="576CF38A" w14:textId="16394F58" w:rsidR="00393158" w:rsidRPr="0071520E" w:rsidRDefault="00393158" w:rsidP="00393158">
      <w:pPr>
        <w:pStyle w:val="PlainText"/>
        <w:rPr>
          <w:rFonts w:ascii="Arial" w:hAnsi="Arial" w:cs="Arial"/>
          <w:sz w:val="24"/>
          <w:szCs w:val="24"/>
        </w:rPr>
      </w:pPr>
      <w:r w:rsidRPr="0071520E">
        <w:rPr>
          <w:rFonts w:ascii="Arial" w:hAnsi="Arial" w:cs="Arial"/>
          <w:sz w:val="24"/>
          <w:szCs w:val="24"/>
        </w:rPr>
        <w:t> </w:t>
      </w:r>
    </w:p>
    <w:p w14:paraId="09C7CA08" w14:textId="5B4B93CF" w:rsidR="00393158" w:rsidRPr="0071520E" w:rsidRDefault="00393158" w:rsidP="00393158">
      <w:pPr>
        <w:pStyle w:val="PlainText"/>
        <w:rPr>
          <w:rFonts w:ascii="Arial" w:hAnsi="Arial" w:cs="Arial"/>
          <w:sz w:val="24"/>
          <w:szCs w:val="24"/>
        </w:rPr>
      </w:pPr>
      <w:r w:rsidRPr="0071520E">
        <w:rPr>
          <w:rFonts w:ascii="Arial" w:hAnsi="Arial" w:cs="Arial"/>
          <w:sz w:val="24"/>
          <w:szCs w:val="24"/>
        </w:rPr>
        <w:t>The answer to question 5 on the PF Continental Response document seems to infer otherwise.  We believe this answer states to close the EP 140 and re-adjudicate the service connected death claim if the EP 165 accrued claim is awarded.</w:t>
      </w:r>
    </w:p>
    <w:p w14:paraId="509E40AA" w14:textId="77777777" w:rsidR="00393158" w:rsidRPr="0071520E" w:rsidRDefault="00393158" w:rsidP="00393158">
      <w:pPr>
        <w:pStyle w:val="PlainText"/>
        <w:rPr>
          <w:rFonts w:ascii="Arial" w:hAnsi="Arial" w:cs="Arial"/>
          <w:sz w:val="24"/>
          <w:szCs w:val="24"/>
        </w:rPr>
      </w:pPr>
    </w:p>
    <w:p w14:paraId="62239698" w14:textId="77777777" w:rsidR="00393158" w:rsidRPr="0071520E" w:rsidRDefault="00393158" w:rsidP="00393158">
      <w:pPr>
        <w:pStyle w:val="PlainText"/>
        <w:rPr>
          <w:rFonts w:ascii="Arial" w:hAnsi="Arial" w:cs="Arial"/>
          <w:sz w:val="24"/>
          <w:szCs w:val="24"/>
        </w:rPr>
      </w:pPr>
      <w:r w:rsidRPr="0071520E">
        <w:rPr>
          <w:rFonts w:ascii="Arial" w:hAnsi="Arial" w:cs="Arial"/>
          <w:sz w:val="24"/>
          <w:szCs w:val="24"/>
        </w:rPr>
        <w:t>We request clarification of whether EP 140s may be rated and closed prior to disposition of an intertwined EP 165, or if we must keep the EP 140 pending until the EP 165 is also ready to finalize.  Please note, for accrued decisions related to legacy appeals and Board-direct AMA elections, EP 140 timeliness could be significantly impacted if we are required to keep these EPs pending.</w:t>
      </w:r>
    </w:p>
    <w:p w14:paraId="399784F4" w14:textId="77777777" w:rsidR="00393158" w:rsidRPr="00E025EF" w:rsidRDefault="00393158" w:rsidP="008B6CC9">
      <w:pPr>
        <w:spacing w:after="0" w:line="240" w:lineRule="auto"/>
        <w:rPr>
          <w:rFonts w:ascii="Arial" w:hAnsi="Arial" w:cs="Arial"/>
          <w:b/>
          <w:szCs w:val="24"/>
        </w:rPr>
      </w:pPr>
    </w:p>
    <w:p w14:paraId="506A925E" w14:textId="77777777" w:rsidR="008B6CC9" w:rsidRPr="008B6CC9" w:rsidRDefault="008B6CC9" w:rsidP="008B6CC9">
      <w:pPr>
        <w:spacing w:after="0" w:line="240" w:lineRule="auto"/>
        <w:rPr>
          <w:rFonts w:ascii="Arial" w:hAnsi="Arial" w:cs="Arial"/>
          <w:szCs w:val="24"/>
        </w:rPr>
      </w:pPr>
      <w:r w:rsidRPr="003334F9">
        <w:rPr>
          <w:rFonts w:ascii="Arial" w:hAnsi="Arial" w:cs="Arial"/>
          <w:b/>
        </w:rPr>
        <w:t>Response</w:t>
      </w:r>
      <w:r w:rsidRPr="008B6CC9">
        <w:rPr>
          <w:rFonts w:ascii="Arial" w:hAnsi="Arial" w:cs="Arial"/>
        </w:rPr>
        <w:t xml:space="preserve">: </w:t>
      </w:r>
      <w:r w:rsidRPr="008B6CC9">
        <w:t xml:space="preserve"> </w:t>
      </w:r>
      <w:r w:rsidRPr="008B6CC9">
        <w:rPr>
          <w:rFonts w:ascii="Arial" w:hAnsi="Arial" w:cs="Arial"/>
        </w:rPr>
        <w:t xml:space="preserve">In general, the EP 140 may be rated and closed prior to disposition of the EP 165.  However, when the accrued claim is inextricably intertwined with the cause of </w:t>
      </w:r>
      <w:r w:rsidRPr="008B6CC9">
        <w:rPr>
          <w:rFonts w:ascii="Arial" w:hAnsi="Arial" w:cs="Arial"/>
        </w:rPr>
        <w:lastRenderedPageBreak/>
        <w:t>death, such as an initial claim, clear and unmistakable error, supplemental claim, or a higher-level review, then the EP 140 and EP 165 must be worked together unless Dependency and Indemnity Compensation can be granted.  Please refer to the exception noted in M21-1 VIII.5.17.g and h.  P&amp;F Service published changes to M21-1 VIII.5 on November 26, 2019, to clarify this issue.</w:t>
      </w:r>
    </w:p>
    <w:p w14:paraId="237DF724" w14:textId="77777777" w:rsidR="008B6CC9" w:rsidRPr="00C65B92" w:rsidRDefault="008B6CC9" w:rsidP="008B6CC9">
      <w:pPr>
        <w:spacing w:after="0" w:line="240" w:lineRule="auto"/>
        <w:rPr>
          <w:rFonts w:ascii="Arial" w:hAnsi="Arial" w:cs="Arial"/>
          <w:szCs w:val="24"/>
        </w:rPr>
      </w:pPr>
    </w:p>
    <w:p w14:paraId="327EF57F" w14:textId="77777777" w:rsidR="008B6CC9" w:rsidRPr="003334F9" w:rsidRDefault="008B6CC9" w:rsidP="008B6CC9">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Pr>
          <w:rFonts w:ascii="Arial" w:hAnsi="Arial" w:cs="Arial"/>
        </w:rPr>
        <w:t>M21-1 updated on November 26, 2019</w:t>
      </w:r>
      <w:r w:rsidRPr="003334F9">
        <w:rPr>
          <w:rFonts w:ascii="Arial" w:hAnsi="Arial" w:cs="Arial"/>
          <w:szCs w:val="24"/>
        </w:rPr>
        <w:t>.</w:t>
      </w:r>
    </w:p>
    <w:p w14:paraId="4B9CE5AC" w14:textId="77777777" w:rsidR="00AA74F6" w:rsidRPr="00900D56" w:rsidRDefault="00AA74F6" w:rsidP="00AA74F6">
      <w:pPr>
        <w:pStyle w:val="Heading1"/>
        <w:rPr>
          <w:rFonts w:ascii="Arial" w:hAnsi="Arial" w:cs="Arial"/>
          <w:b/>
          <w:color w:val="auto"/>
          <w:sz w:val="36"/>
        </w:rPr>
      </w:pPr>
      <w:bookmarkStart w:id="17" w:name="_Toc26421522"/>
      <w:r w:rsidRPr="00900D56">
        <w:rPr>
          <w:rFonts w:ascii="Arial" w:hAnsi="Arial" w:cs="Arial"/>
          <w:b/>
          <w:color w:val="auto"/>
          <w:sz w:val="36"/>
        </w:rPr>
        <w:t>Fiduciary HUB Related Inquiries</w:t>
      </w:r>
      <w:bookmarkEnd w:id="16"/>
      <w:bookmarkEnd w:id="17"/>
    </w:p>
    <w:p w14:paraId="5D23DDD6" w14:textId="77777777" w:rsidR="00171D09" w:rsidRPr="003C7AC3" w:rsidRDefault="007A4F5E" w:rsidP="00171D09">
      <w:pPr>
        <w:pStyle w:val="Heading1"/>
        <w:rPr>
          <w:rFonts w:ascii="Arial" w:hAnsi="Arial" w:cs="Arial"/>
        </w:rPr>
      </w:pPr>
      <w:bookmarkStart w:id="18" w:name="_Toc26421523"/>
      <w:r w:rsidRPr="007A4F5E">
        <w:rPr>
          <w:rFonts w:ascii="Arial" w:hAnsi="Arial" w:cs="Arial"/>
        </w:rPr>
        <w:t>FPM 2.D.1 10/11/19 update</w:t>
      </w:r>
      <w:bookmarkEnd w:id="18"/>
    </w:p>
    <w:p w14:paraId="4402393A" w14:textId="77777777"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154FC2">
        <w:rPr>
          <w:rFonts w:ascii="Arial" w:hAnsi="Arial" w:cs="Arial"/>
          <w:szCs w:val="24"/>
        </w:rPr>
        <w:t>F</w:t>
      </w:r>
      <w:r w:rsidR="00154FC2">
        <w:rPr>
          <w:rFonts w:ascii="Arial" w:hAnsi="Arial" w:cs="Arial"/>
        </w:rPr>
        <w:t>ield Examiners</w:t>
      </w:r>
    </w:p>
    <w:p w14:paraId="245A41C9" w14:textId="77777777" w:rsidR="00171D09" w:rsidRPr="00065051" w:rsidRDefault="00171D09" w:rsidP="00171D09">
      <w:pPr>
        <w:spacing w:after="0" w:line="240" w:lineRule="auto"/>
        <w:rPr>
          <w:rFonts w:ascii="Arial" w:hAnsi="Arial" w:cs="Arial"/>
          <w:sz w:val="28"/>
          <w:szCs w:val="24"/>
        </w:rPr>
      </w:pPr>
    </w:p>
    <w:p w14:paraId="359A7C16" w14:textId="77777777" w:rsidR="00065051" w:rsidRPr="00065051" w:rsidRDefault="00065051" w:rsidP="00065051">
      <w:pPr>
        <w:pStyle w:val="PlainText"/>
        <w:rPr>
          <w:rFonts w:ascii="Arial" w:hAnsi="Arial" w:cs="Arial"/>
          <w:sz w:val="24"/>
        </w:rPr>
      </w:pPr>
      <w:r w:rsidRPr="004061B9">
        <w:rPr>
          <w:rFonts w:ascii="Arial" w:hAnsi="Arial" w:cs="Arial"/>
          <w:b/>
          <w:sz w:val="24"/>
        </w:rPr>
        <w:t>Question 1</w:t>
      </w:r>
      <w:r w:rsidRPr="00065051">
        <w:rPr>
          <w:rFonts w:ascii="Arial" w:hAnsi="Arial" w:cs="Arial"/>
          <w:sz w:val="24"/>
        </w:rPr>
        <w:t>:  Can the FE conduct all fiduciary interviews over the phone or only the 3 exceptions listed?</w:t>
      </w:r>
    </w:p>
    <w:p w14:paraId="02971716"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795D5838" w14:textId="77777777" w:rsidR="00065051" w:rsidRPr="00065051" w:rsidRDefault="00065051" w:rsidP="00065051">
      <w:pPr>
        <w:pStyle w:val="PlainText"/>
        <w:rPr>
          <w:rFonts w:ascii="Arial" w:hAnsi="Arial" w:cs="Arial"/>
          <w:sz w:val="24"/>
        </w:rPr>
      </w:pPr>
      <w:r w:rsidRPr="004061B9">
        <w:rPr>
          <w:rFonts w:ascii="Arial" w:hAnsi="Arial" w:cs="Arial"/>
          <w:b/>
          <w:sz w:val="24"/>
        </w:rPr>
        <w:t>P&amp;F Response 1</w:t>
      </w:r>
      <w:r w:rsidRPr="00065051">
        <w:rPr>
          <w:rFonts w:ascii="Arial" w:hAnsi="Arial" w:cs="Arial"/>
          <w:sz w:val="24"/>
        </w:rPr>
        <w:t xml:space="preserve">:  Specifically, under FPM 2.D.1.e, when the interview with the proposed fiduciary is not conducted with the beneficiary interview, a face-to-face interview with the proposed fiduciary will not be conducted when the proposed fiduciary is </w:t>
      </w:r>
    </w:p>
    <w:p w14:paraId="0D0E4327" w14:textId="77777777" w:rsidR="00065051" w:rsidRPr="00065051" w:rsidRDefault="00065051" w:rsidP="004061B9">
      <w:pPr>
        <w:pStyle w:val="PlainText"/>
        <w:numPr>
          <w:ilvl w:val="0"/>
          <w:numId w:val="45"/>
        </w:numPr>
        <w:rPr>
          <w:rFonts w:ascii="Arial" w:hAnsi="Arial" w:cs="Arial"/>
          <w:sz w:val="24"/>
        </w:rPr>
      </w:pPr>
      <w:r w:rsidRPr="00065051">
        <w:rPr>
          <w:rFonts w:ascii="Arial" w:hAnsi="Arial" w:cs="Arial"/>
          <w:sz w:val="24"/>
        </w:rPr>
        <w:t>an entity, such as the trust department of a bank that provides fiduciary services per 38 CFR 13.100(f)(4)</w:t>
      </w:r>
    </w:p>
    <w:p w14:paraId="7732DB73" w14:textId="77777777" w:rsidR="00065051" w:rsidRPr="00065051" w:rsidRDefault="00065051" w:rsidP="004061B9">
      <w:pPr>
        <w:pStyle w:val="PlainText"/>
        <w:numPr>
          <w:ilvl w:val="0"/>
          <w:numId w:val="45"/>
        </w:numPr>
        <w:rPr>
          <w:rFonts w:ascii="Arial" w:hAnsi="Arial" w:cs="Arial"/>
          <w:sz w:val="24"/>
        </w:rPr>
      </w:pPr>
      <w:r w:rsidRPr="00065051">
        <w:rPr>
          <w:rFonts w:ascii="Arial" w:hAnsi="Arial" w:cs="Arial"/>
          <w:sz w:val="24"/>
        </w:rPr>
        <w:t>currently residing outside of the conducting FE’s territory and it is necessary to transfer the field examination work item to another FE creating unnecessary delays in processing, or</w:t>
      </w:r>
    </w:p>
    <w:p w14:paraId="7519B207" w14:textId="77777777" w:rsidR="00065051" w:rsidRPr="00065051" w:rsidRDefault="00065051" w:rsidP="004061B9">
      <w:pPr>
        <w:pStyle w:val="PlainText"/>
        <w:numPr>
          <w:ilvl w:val="0"/>
          <w:numId w:val="45"/>
        </w:numPr>
        <w:rPr>
          <w:rFonts w:ascii="Arial" w:hAnsi="Arial" w:cs="Arial"/>
          <w:sz w:val="24"/>
        </w:rPr>
      </w:pPr>
      <w:r w:rsidRPr="00065051">
        <w:rPr>
          <w:rFonts w:ascii="Arial" w:hAnsi="Arial" w:cs="Arial"/>
          <w:sz w:val="24"/>
        </w:rPr>
        <w:t>currently performing satisfactorily as VA fiduciary for at least one other VA beneficiary and is determined to be suitable in accordance with all applicable elements of FPM 2.D.4.c including up-to-date submissions of accountings.</w:t>
      </w:r>
    </w:p>
    <w:p w14:paraId="75CF9C11"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38A33D2D" w14:textId="77777777" w:rsidR="00065051" w:rsidRDefault="00065051" w:rsidP="00065051">
      <w:pPr>
        <w:pStyle w:val="PlainText"/>
        <w:rPr>
          <w:rFonts w:ascii="Arial" w:hAnsi="Arial" w:cs="Arial"/>
          <w:sz w:val="24"/>
        </w:rPr>
      </w:pPr>
      <w:r w:rsidRPr="00065051">
        <w:rPr>
          <w:rFonts w:ascii="Arial" w:hAnsi="Arial" w:cs="Arial"/>
          <w:sz w:val="24"/>
        </w:rPr>
        <w:t>Other than the situations noted in FPM 2.D.1.e, the field examiner must conduct a face-to-face interview with the fiduciary to complete the appointment process. However, scheduled follow-up examinations allow for contact with the fiduciary by telephone.</w:t>
      </w:r>
    </w:p>
    <w:p w14:paraId="696EAAB5" w14:textId="77777777" w:rsidR="001671A0" w:rsidRDefault="001671A0" w:rsidP="00065051">
      <w:pPr>
        <w:pStyle w:val="PlainText"/>
        <w:rPr>
          <w:rFonts w:ascii="Arial" w:hAnsi="Arial" w:cs="Arial"/>
          <w:sz w:val="24"/>
        </w:rPr>
      </w:pPr>
    </w:p>
    <w:p w14:paraId="5597C6E8" w14:textId="77777777" w:rsidR="001671A0" w:rsidRPr="00B45E6B" w:rsidRDefault="001671A0" w:rsidP="00065051">
      <w:pPr>
        <w:pStyle w:val="PlainText"/>
        <w:rPr>
          <w:rFonts w:ascii="Arial" w:hAnsi="Arial" w:cs="Arial"/>
          <w:i/>
          <w:sz w:val="24"/>
        </w:rPr>
      </w:pPr>
      <w:r>
        <w:rPr>
          <w:rFonts w:ascii="Arial" w:hAnsi="Arial" w:cs="Arial"/>
          <w:i/>
          <w:sz w:val="24"/>
        </w:rPr>
        <w:t xml:space="preserve">Note: Since this response was issued, manual changes were made to the FPM 2.D.1.e on December 5, 2019 that direct that the face-to-face interview will not be conducted when there are unresolved safety concerns. </w:t>
      </w:r>
    </w:p>
    <w:p w14:paraId="3AB6945D"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096684B6" w14:textId="77777777" w:rsidR="00065051" w:rsidRPr="00065051" w:rsidRDefault="00065051" w:rsidP="00065051">
      <w:pPr>
        <w:pStyle w:val="PlainText"/>
        <w:rPr>
          <w:rFonts w:ascii="Arial" w:hAnsi="Arial" w:cs="Arial"/>
          <w:sz w:val="24"/>
        </w:rPr>
      </w:pPr>
      <w:r w:rsidRPr="004061B9">
        <w:rPr>
          <w:rFonts w:ascii="Arial" w:hAnsi="Arial" w:cs="Arial"/>
          <w:b/>
          <w:sz w:val="24"/>
        </w:rPr>
        <w:t>Question 2</w:t>
      </w:r>
      <w:r w:rsidRPr="00065051">
        <w:rPr>
          <w:rFonts w:ascii="Arial" w:hAnsi="Arial" w:cs="Arial"/>
          <w:sz w:val="24"/>
        </w:rPr>
        <w:t>:  Can P&amp;F further define “an entity”.  Does this include state ran organizations, etc.</w:t>
      </w:r>
    </w:p>
    <w:p w14:paraId="3CFDF430" w14:textId="77777777" w:rsidR="00065051" w:rsidRPr="004061B9" w:rsidRDefault="00065051" w:rsidP="00065051">
      <w:pPr>
        <w:pStyle w:val="PlainText"/>
        <w:rPr>
          <w:rFonts w:ascii="Arial" w:hAnsi="Arial" w:cs="Arial"/>
          <w:b/>
          <w:sz w:val="24"/>
        </w:rPr>
      </w:pPr>
      <w:r w:rsidRPr="00065051">
        <w:rPr>
          <w:rFonts w:ascii="Arial" w:hAnsi="Arial" w:cs="Arial"/>
          <w:sz w:val="24"/>
        </w:rPr>
        <w:t xml:space="preserve"> </w:t>
      </w:r>
    </w:p>
    <w:p w14:paraId="758DA682" w14:textId="77777777" w:rsidR="00065051" w:rsidRPr="00065051" w:rsidRDefault="00065051" w:rsidP="00065051">
      <w:pPr>
        <w:pStyle w:val="PlainText"/>
        <w:rPr>
          <w:rFonts w:ascii="Arial" w:hAnsi="Arial" w:cs="Arial"/>
          <w:sz w:val="24"/>
        </w:rPr>
      </w:pPr>
      <w:r w:rsidRPr="004061B9">
        <w:rPr>
          <w:rFonts w:ascii="Arial" w:hAnsi="Arial" w:cs="Arial"/>
          <w:b/>
          <w:sz w:val="24"/>
        </w:rPr>
        <w:t>P&amp;F Response 2</w:t>
      </w:r>
      <w:r w:rsidRPr="00065051">
        <w:rPr>
          <w:rFonts w:ascii="Arial" w:hAnsi="Arial" w:cs="Arial"/>
          <w:sz w:val="24"/>
        </w:rPr>
        <w:t xml:space="preserve">:  Per 2.A.2.k., P&amp;F Service provides the definitions for individual and corporations serving as fiduciaries. Specifically an entity falls under the corporation heading which provides a corporation serving as a fiduciary refers to any entity or </w:t>
      </w:r>
      <w:r w:rsidRPr="00065051">
        <w:rPr>
          <w:rFonts w:ascii="Arial" w:hAnsi="Arial" w:cs="Arial"/>
          <w:sz w:val="24"/>
        </w:rPr>
        <w:lastRenderedPageBreak/>
        <w:t xml:space="preserve">person, which serves using a tax identification number as a VA-appointed fiduciary.  This may include but is not limited to a law firm, bank, or professional fiduciary service. . </w:t>
      </w:r>
    </w:p>
    <w:p w14:paraId="5639B798"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7F45317C" w14:textId="77777777" w:rsidR="00065051" w:rsidRPr="00065051" w:rsidRDefault="00065051" w:rsidP="00065051">
      <w:pPr>
        <w:pStyle w:val="PlainText"/>
        <w:rPr>
          <w:rFonts w:ascii="Arial" w:hAnsi="Arial" w:cs="Arial"/>
          <w:sz w:val="24"/>
        </w:rPr>
      </w:pPr>
      <w:r w:rsidRPr="004061B9">
        <w:rPr>
          <w:rFonts w:ascii="Arial" w:hAnsi="Arial" w:cs="Arial"/>
          <w:b/>
          <w:sz w:val="24"/>
        </w:rPr>
        <w:t>Question 3</w:t>
      </w:r>
      <w:r w:rsidRPr="00065051">
        <w:rPr>
          <w:rFonts w:ascii="Arial" w:hAnsi="Arial" w:cs="Arial"/>
          <w:sz w:val="24"/>
        </w:rPr>
        <w:t>:  The 4703 will still need to be filled out for the 3 exceptions listed?</w:t>
      </w:r>
    </w:p>
    <w:p w14:paraId="1C885823"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35A9F462" w14:textId="77777777" w:rsidR="00065051" w:rsidRPr="00065051" w:rsidRDefault="00065051" w:rsidP="00065051">
      <w:pPr>
        <w:pStyle w:val="PlainText"/>
        <w:rPr>
          <w:rFonts w:ascii="Arial" w:hAnsi="Arial" w:cs="Arial"/>
          <w:sz w:val="24"/>
        </w:rPr>
      </w:pPr>
      <w:r w:rsidRPr="004061B9">
        <w:rPr>
          <w:rFonts w:ascii="Arial" w:hAnsi="Arial" w:cs="Arial"/>
          <w:b/>
          <w:sz w:val="24"/>
        </w:rPr>
        <w:t>P&amp;F Response 3</w:t>
      </w:r>
      <w:r w:rsidRPr="00065051">
        <w:rPr>
          <w:rFonts w:ascii="Arial" w:hAnsi="Arial" w:cs="Arial"/>
          <w:sz w:val="24"/>
        </w:rPr>
        <w:t>:  In all fiduciary appointments, a VA Form 21-4703 must be completed regardless of the type of appointment.</w:t>
      </w:r>
    </w:p>
    <w:p w14:paraId="541119E2"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2F1ADB7A" w14:textId="77777777" w:rsidR="00065051" w:rsidRPr="00065051" w:rsidRDefault="00065051" w:rsidP="00065051">
      <w:pPr>
        <w:pStyle w:val="PlainText"/>
        <w:rPr>
          <w:rFonts w:ascii="Arial" w:hAnsi="Arial" w:cs="Arial"/>
          <w:sz w:val="24"/>
        </w:rPr>
      </w:pPr>
      <w:r w:rsidRPr="004061B9">
        <w:rPr>
          <w:rFonts w:ascii="Arial" w:hAnsi="Arial" w:cs="Arial"/>
          <w:b/>
          <w:sz w:val="24"/>
        </w:rPr>
        <w:t>Question 4</w:t>
      </w:r>
      <w:r w:rsidRPr="00065051">
        <w:rPr>
          <w:rFonts w:ascii="Arial" w:hAnsi="Arial" w:cs="Arial"/>
          <w:sz w:val="24"/>
        </w:rPr>
        <w:t>:  Do we wait until the 4703 is signed and returned before we continue with the process? If so…FE calls today, generates the letter and attaches letter/4703 to a task to be mailed.  It comes back to central mail…seems we are adding time</w:t>
      </w:r>
    </w:p>
    <w:p w14:paraId="3462B222"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4958A1E3" w14:textId="77777777" w:rsidR="00065051" w:rsidRPr="00065051" w:rsidRDefault="00065051" w:rsidP="00065051">
      <w:pPr>
        <w:pStyle w:val="PlainText"/>
        <w:rPr>
          <w:rFonts w:ascii="Arial" w:hAnsi="Arial" w:cs="Arial"/>
          <w:sz w:val="24"/>
        </w:rPr>
      </w:pPr>
      <w:r w:rsidRPr="004061B9">
        <w:rPr>
          <w:rFonts w:ascii="Arial" w:hAnsi="Arial" w:cs="Arial"/>
          <w:b/>
          <w:sz w:val="24"/>
        </w:rPr>
        <w:t>P&amp;F Response 4</w:t>
      </w:r>
      <w:r w:rsidRPr="00065051">
        <w:rPr>
          <w:rFonts w:ascii="Arial" w:hAnsi="Arial" w:cs="Arial"/>
          <w:sz w:val="24"/>
        </w:rPr>
        <w:t xml:space="preserve">:  As part of the appointment process identified in FPM Chapter 2, certain requirements must be met prior to the appointment of a fiduciary.  Part of that requirement includes completion and agreement with the VA Form 21-4703, therefore, the appointment process cannot be completed until a signed VA Form 21-4703 is received by the hub. . </w:t>
      </w:r>
    </w:p>
    <w:p w14:paraId="68474BA4"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122DCC0A" w14:textId="77777777" w:rsidR="00065051" w:rsidRPr="00065051" w:rsidRDefault="00065051" w:rsidP="00065051">
      <w:pPr>
        <w:pStyle w:val="PlainText"/>
        <w:rPr>
          <w:rFonts w:ascii="Arial" w:hAnsi="Arial" w:cs="Arial"/>
          <w:sz w:val="24"/>
        </w:rPr>
      </w:pPr>
      <w:r w:rsidRPr="004061B9">
        <w:rPr>
          <w:rFonts w:ascii="Arial" w:hAnsi="Arial" w:cs="Arial"/>
          <w:b/>
          <w:sz w:val="24"/>
        </w:rPr>
        <w:t>Question 5</w:t>
      </w:r>
      <w:r w:rsidRPr="00065051">
        <w:rPr>
          <w:rFonts w:ascii="Arial" w:hAnsi="Arial" w:cs="Arial"/>
          <w:sz w:val="24"/>
        </w:rPr>
        <w:t>:  Based on the email, we obtain a CB/CR prior to the phone call…we cannot run a CB/CR without their consent first. That consent before was the signing of the 4703.</w:t>
      </w:r>
    </w:p>
    <w:p w14:paraId="01F95FF9"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56E379BF" w14:textId="77777777" w:rsidR="00065051" w:rsidRPr="00065051" w:rsidRDefault="00065051" w:rsidP="00065051">
      <w:pPr>
        <w:pStyle w:val="PlainText"/>
        <w:rPr>
          <w:rFonts w:ascii="Arial" w:hAnsi="Arial" w:cs="Arial"/>
          <w:sz w:val="24"/>
        </w:rPr>
      </w:pPr>
      <w:r w:rsidRPr="004061B9">
        <w:rPr>
          <w:rFonts w:ascii="Arial" w:hAnsi="Arial" w:cs="Arial"/>
          <w:b/>
          <w:sz w:val="24"/>
        </w:rPr>
        <w:t>P&amp;F Response 5</w:t>
      </w:r>
      <w:r w:rsidRPr="00065051">
        <w:rPr>
          <w:rFonts w:ascii="Arial" w:hAnsi="Arial" w:cs="Arial"/>
          <w:sz w:val="24"/>
        </w:rPr>
        <w:t xml:space="preserve">:  Information provided in the criminal background reports consists strictly of public records, therefore the information received in the report is not protected and does not require prior consent to obtain. </w:t>
      </w:r>
    </w:p>
    <w:p w14:paraId="6FC26742"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10003BC7" w14:textId="77777777" w:rsidR="00065051" w:rsidRPr="00065051" w:rsidRDefault="00065051" w:rsidP="00065051">
      <w:pPr>
        <w:pStyle w:val="PlainText"/>
        <w:rPr>
          <w:rFonts w:ascii="Arial" w:hAnsi="Arial" w:cs="Arial"/>
          <w:sz w:val="24"/>
        </w:rPr>
      </w:pPr>
      <w:r w:rsidRPr="004061B9">
        <w:rPr>
          <w:rFonts w:ascii="Arial" w:hAnsi="Arial" w:cs="Arial"/>
          <w:b/>
          <w:sz w:val="24"/>
        </w:rPr>
        <w:t>Question 6</w:t>
      </w:r>
      <w:r w:rsidRPr="00065051">
        <w:rPr>
          <w:rFonts w:ascii="Arial" w:hAnsi="Arial" w:cs="Arial"/>
          <w:sz w:val="24"/>
        </w:rPr>
        <w:t>:  We normally do not get their DOB and SSN until we do a visit; so how will run a CB/CR without this information.</w:t>
      </w:r>
    </w:p>
    <w:p w14:paraId="7401EAE0" w14:textId="77777777" w:rsidR="00065051" w:rsidRPr="00065051" w:rsidRDefault="00065051" w:rsidP="00065051">
      <w:pPr>
        <w:pStyle w:val="PlainText"/>
        <w:rPr>
          <w:rFonts w:ascii="Arial" w:hAnsi="Arial" w:cs="Arial"/>
          <w:sz w:val="24"/>
        </w:rPr>
      </w:pPr>
      <w:r w:rsidRPr="00065051">
        <w:rPr>
          <w:rFonts w:ascii="Arial" w:hAnsi="Arial" w:cs="Arial"/>
          <w:sz w:val="24"/>
        </w:rPr>
        <w:t xml:space="preserve"> </w:t>
      </w:r>
    </w:p>
    <w:p w14:paraId="089C8C50" w14:textId="77777777" w:rsidR="00065051" w:rsidRDefault="00065051" w:rsidP="00065051">
      <w:pPr>
        <w:pStyle w:val="PlainText"/>
        <w:rPr>
          <w:rFonts w:ascii="Arial" w:hAnsi="Arial" w:cs="Arial"/>
          <w:sz w:val="24"/>
        </w:rPr>
      </w:pPr>
      <w:r w:rsidRPr="004061B9">
        <w:rPr>
          <w:rFonts w:ascii="Arial" w:hAnsi="Arial" w:cs="Arial"/>
          <w:b/>
          <w:sz w:val="24"/>
        </w:rPr>
        <w:t>P&amp;F Response 6</w:t>
      </w:r>
      <w:r w:rsidRPr="00065051">
        <w:rPr>
          <w:rFonts w:ascii="Arial" w:hAnsi="Arial" w:cs="Arial"/>
          <w:sz w:val="24"/>
        </w:rPr>
        <w:t xml:space="preserve">:  The criminal background information can be obtained without having the date of birth and/or social security number, therefore only this report will be run before contact with a proposed fiduciary.  The credit check cannot be completed prior to obtaining that information and written consent from a proposed fiduciary. </w:t>
      </w:r>
    </w:p>
    <w:p w14:paraId="78BF9321" w14:textId="77777777" w:rsidR="009B7246" w:rsidRDefault="009B7246" w:rsidP="0090451C">
      <w:pPr>
        <w:spacing w:after="0" w:line="240" w:lineRule="auto"/>
        <w:rPr>
          <w:rFonts w:ascii="Arial" w:hAnsi="Arial" w:cs="Arial"/>
          <w:szCs w:val="24"/>
        </w:rPr>
      </w:pPr>
    </w:p>
    <w:p w14:paraId="687C506C" w14:textId="77777777" w:rsidR="00171D09" w:rsidRPr="00B06081" w:rsidRDefault="00171D09" w:rsidP="00171D09">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sidR="002C0237">
        <w:rPr>
          <w:rFonts w:ascii="Arial" w:hAnsi="Arial" w:cs="Arial"/>
          <w:szCs w:val="24"/>
        </w:rPr>
        <w:t xml:space="preserve"> </w:t>
      </w:r>
      <w:r w:rsidR="00AB2D06">
        <w:rPr>
          <w:rFonts w:ascii="Arial" w:hAnsi="Arial" w:cs="Arial"/>
          <w:szCs w:val="24"/>
        </w:rPr>
        <w:t>Clarification provided</w:t>
      </w:r>
      <w:r>
        <w:rPr>
          <w:rFonts w:ascii="Arial" w:hAnsi="Arial" w:cs="Arial"/>
          <w:szCs w:val="24"/>
        </w:rPr>
        <w:t>.</w:t>
      </w:r>
    </w:p>
    <w:p w14:paraId="04262DC2" w14:textId="77777777" w:rsidR="00171D09" w:rsidRPr="003C7AC3" w:rsidRDefault="006B3992" w:rsidP="00171D09">
      <w:pPr>
        <w:pStyle w:val="Heading1"/>
        <w:rPr>
          <w:rFonts w:ascii="Arial" w:hAnsi="Arial" w:cs="Arial"/>
        </w:rPr>
      </w:pPr>
      <w:bookmarkStart w:id="19" w:name="_Toc26421524"/>
      <w:bookmarkStart w:id="20" w:name="_Hlk26518100"/>
      <w:r w:rsidRPr="006B3992">
        <w:rPr>
          <w:rFonts w:ascii="Arial" w:hAnsi="Arial" w:cs="Arial"/>
        </w:rPr>
        <w:t>FPM 2.D.1, 2.D.4 and 2.D.5 Clarification</w:t>
      </w:r>
      <w:bookmarkEnd w:id="19"/>
    </w:p>
    <w:bookmarkEnd w:id="20"/>
    <w:p w14:paraId="47B61BE1" w14:textId="77777777" w:rsidR="00171D09" w:rsidRPr="004B6A70" w:rsidRDefault="00171D09" w:rsidP="004B6A70">
      <w:pPr>
        <w:spacing w:after="0" w:line="240" w:lineRule="auto"/>
        <w:rPr>
          <w:rFonts w:ascii="Arial" w:hAnsi="Arial" w:cs="Arial"/>
          <w:szCs w:val="24"/>
        </w:rPr>
      </w:pPr>
      <w:r w:rsidRPr="004B6A70">
        <w:rPr>
          <w:rFonts w:ascii="Arial" w:hAnsi="Arial" w:cs="Arial"/>
          <w:b/>
          <w:szCs w:val="24"/>
        </w:rPr>
        <w:t>Target Audience</w:t>
      </w:r>
      <w:r w:rsidRPr="004B6A70">
        <w:rPr>
          <w:rFonts w:ascii="Arial" w:hAnsi="Arial" w:cs="Arial"/>
          <w:szCs w:val="24"/>
        </w:rPr>
        <w:t xml:space="preserve">: </w:t>
      </w:r>
      <w:r w:rsidR="002C0237" w:rsidRPr="004B6A70">
        <w:rPr>
          <w:rFonts w:ascii="Arial" w:hAnsi="Arial" w:cs="Arial"/>
          <w:szCs w:val="24"/>
        </w:rPr>
        <w:t xml:space="preserve"> </w:t>
      </w:r>
      <w:r w:rsidR="004B6A70" w:rsidRPr="004B6A70">
        <w:rPr>
          <w:rFonts w:ascii="Arial" w:eastAsia="Times New Roman" w:hAnsi="Arial" w:cs="Arial"/>
          <w:szCs w:val="24"/>
        </w:rPr>
        <w:t>Field</w:t>
      </w:r>
      <w:r w:rsidR="00A00A6D" w:rsidRPr="004B6A70">
        <w:rPr>
          <w:rFonts w:ascii="Arial" w:eastAsia="Times New Roman" w:hAnsi="Arial" w:cs="Arial"/>
          <w:szCs w:val="24"/>
        </w:rPr>
        <w:t xml:space="preserve"> Examiners</w:t>
      </w:r>
    </w:p>
    <w:p w14:paraId="30586D9E" w14:textId="77777777" w:rsidR="00171D09" w:rsidRPr="004B6A70" w:rsidRDefault="00171D09" w:rsidP="004B6A70">
      <w:pPr>
        <w:spacing w:after="0" w:line="240" w:lineRule="auto"/>
        <w:rPr>
          <w:rFonts w:ascii="Arial" w:hAnsi="Arial" w:cs="Arial"/>
          <w:szCs w:val="24"/>
        </w:rPr>
      </w:pPr>
    </w:p>
    <w:p w14:paraId="4B7208EF" w14:textId="77777777" w:rsidR="006B3992" w:rsidRPr="006B3992" w:rsidRDefault="004B6A70" w:rsidP="006B3992">
      <w:pPr>
        <w:spacing w:after="0" w:line="240" w:lineRule="auto"/>
        <w:rPr>
          <w:rFonts w:ascii="Arial" w:hAnsi="Arial" w:cs="Arial"/>
          <w:szCs w:val="24"/>
        </w:rPr>
      </w:pPr>
      <w:r w:rsidRPr="004B6A70">
        <w:rPr>
          <w:rFonts w:ascii="Arial" w:hAnsi="Arial" w:cs="Arial"/>
          <w:b/>
          <w:szCs w:val="24"/>
        </w:rPr>
        <w:t xml:space="preserve">Question: </w:t>
      </w:r>
      <w:r w:rsidRPr="004B6A70">
        <w:rPr>
          <w:rFonts w:ascii="Arial" w:hAnsi="Arial" w:cs="Arial"/>
          <w:szCs w:val="24"/>
        </w:rPr>
        <w:t xml:space="preserve"> </w:t>
      </w:r>
      <w:r w:rsidR="006B3992" w:rsidRPr="006B3992">
        <w:rPr>
          <w:rFonts w:ascii="Arial" w:hAnsi="Arial" w:cs="Arial"/>
          <w:szCs w:val="24"/>
        </w:rPr>
        <w:t xml:space="preserve">The recent changes to the FPM 2.D.1.e indicate a face-to-face interview will only be conducted with a proposed fiduciary if they are present at the time of the beneficiary interview or when they have telephone accessibility issues.  FPM 2.D.4.k identifies a face-to-face interview must be conducted when recognizing a VA-appointed fiduciary.  Furthermore, FPM 2.D.5.i identifies a criminal background check will be </w:t>
      </w:r>
      <w:r w:rsidR="006B3992" w:rsidRPr="006B3992">
        <w:rPr>
          <w:rFonts w:ascii="Arial" w:hAnsi="Arial" w:cs="Arial"/>
          <w:szCs w:val="24"/>
        </w:rPr>
        <w:lastRenderedPageBreak/>
        <w:t>obtained prior to contacting the proposed fiduciary so the FE can conduct the appropriate identification protocol.</w:t>
      </w:r>
    </w:p>
    <w:p w14:paraId="70CD9E0D" w14:textId="77777777" w:rsidR="006B3992" w:rsidRPr="006B3992" w:rsidRDefault="006B3992" w:rsidP="006B3992">
      <w:pPr>
        <w:spacing w:after="0" w:line="240" w:lineRule="auto"/>
        <w:rPr>
          <w:rFonts w:ascii="Arial" w:hAnsi="Arial" w:cs="Arial"/>
          <w:szCs w:val="24"/>
        </w:rPr>
      </w:pPr>
    </w:p>
    <w:p w14:paraId="1B3541C6" w14:textId="77777777" w:rsidR="006B3992" w:rsidRPr="006B3992" w:rsidRDefault="006B3992" w:rsidP="006B3992">
      <w:pPr>
        <w:spacing w:after="0" w:line="240" w:lineRule="auto"/>
        <w:rPr>
          <w:rFonts w:ascii="Arial" w:hAnsi="Arial" w:cs="Arial"/>
          <w:szCs w:val="24"/>
        </w:rPr>
      </w:pPr>
      <w:r w:rsidRPr="006B3992">
        <w:rPr>
          <w:rFonts w:ascii="Arial" w:hAnsi="Arial" w:cs="Arial"/>
          <w:szCs w:val="24"/>
        </w:rPr>
        <w:t xml:space="preserve">We believe many proposed fiduciaries who do not receive a face-to-face interview will be very hesitant to provide their full name, address, DOB and SSN over the telephone in wake of continual scam telephone calls and security breaches leading to identity theft occurring nationwide.  The current FE VA cell phone caller identification does not show Dept. of Veterans Affairs, but instead only displays the FE’s phone number, and does not assist for VA employee identification purposes.  </w:t>
      </w:r>
    </w:p>
    <w:p w14:paraId="652915E1" w14:textId="77777777" w:rsidR="006B3992" w:rsidRPr="006B3992" w:rsidRDefault="006B3992" w:rsidP="006B3992">
      <w:pPr>
        <w:spacing w:after="0" w:line="240" w:lineRule="auto"/>
        <w:rPr>
          <w:rFonts w:ascii="Arial" w:hAnsi="Arial" w:cs="Arial"/>
          <w:szCs w:val="24"/>
        </w:rPr>
      </w:pPr>
    </w:p>
    <w:p w14:paraId="7439477B" w14:textId="77777777" w:rsidR="006B3992" w:rsidRPr="006B3992" w:rsidRDefault="006B3992" w:rsidP="006B3992">
      <w:pPr>
        <w:spacing w:after="0" w:line="240" w:lineRule="auto"/>
        <w:rPr>
          <w:rFonts w:ascii="Arial" w:hAnsi="Arial" w:cs="Arial"/>
          <w:szCs w:val="24"/>
        </w:rPr>
      </w:pPr>
      <w:r w:rsidRPr="006B3992">
        <w:rPr>
          <w:rFonts w:ascii="Arial" w:hAnsi="Arial" w:cs="Arial"/>
          <w:szCs w:val="24"/>
        </w:rPr>
        <w:t xml:space="preserve">Clarification:  </w:t>
      </w:r>
    </w:p>
    <w:p w14:paraId="5478255B" w14:textId="77777777" w:rsidR="006B3992" w:rsidRPr="006B3992" w:rsidRDefault="006B3992" w:rsidP="006B3992">
      <w:pPr>
        <w:spacing w:after="0" w:line="240" w:lineRule="auto"/>
        <w:rPr>
          <w:rFonts w:ascii="Arial" w:hAnsi="Arial" w:cs="Arial"/>
          <w:szCs w:val="24"/>
        </w:rPr>
      </w:pPr>
      <w:r w:rsidRPr="006B3992">
        <w:rPr>
          <w:rFonts w:ascii="Arial" w:hAnsi="Arial" w:cs="Arial"/>
          <w:szCs w:val="24"/>
        </w:rPr>
        <w:t>1)</w:t>
      </w:r>
      <w:r w:rsidRPr="006B3992">
        <w:rPr>
          <w:rFonts w:ascii="Arial" w:hAnsi="Arial" w:cs="Arial"/>
          <w:szCs w:val="24"/>
        </w:rPr>
        <w:tab/>
        <w:t>If the proposed fiduciary can’t be present during the beneficiary interview and is very hesitant to provide their DOB and SSN over the telephone for the CBC, may a face-to-face interview be completed?</w:t>
      </w:r>
    </w:p>
    <w:p w14:paraId="203DEEA6" w14:textId="77777777" w:rsidR="006B3992" w:rsidRPr="006B3992" w:rsidRDefault="006B3992" w:rsidP="006B3992">
      <w:pPr>
        <w:spacing w:after="0" w:line="240" w:lineRule="auto"/>
        <w:rPr>
          <w:rFonts w:ascii="Arial" w:hAnsi="Arial" w:cs="Arial"/>
          <w:szCs w:val="24"/>
        </w:rPr>
      </w:pPr>
    </w:p>
    <w:p w14:paraId="02F920F0" w14:textId="77777777" w:rsidR="006B3992" w:rsidRPr="006B3992" w:rsidRDefault="006B3992" w:rsidP="006B3992">
      <w:pPr>
        <w:spacing w:after="0" w:line="240" w:lineRule="auto"/>
        <w:rPr>
          <w:rFonts w:ascii="Arial" w:hAnsi="Arial" w:cs="Arial"/>
          <w:szCs w:val="24"/>
        </w:rPr>
      </w:pPr>
      <w:r w:rsidRPr="006B3992">
        <w:rPr>
          <w:rFonts w:ascii="Arial" w:hAnsi="Arial" w:cs="Arial"/>
          <w:szCs w:val="24"/>
        </w:rPr>
        <w:t>2)</w:t>
      </w:r>
      <w:r w:rsidRPr="006B3992">
        <w:rPr>
          <w:rFonts w:ascii="Arial" w:hAnsi="Arial" w:cs="Arial"/>
          <w:szCs w:val="24"/>
        </w:rPr>
        <w:tab/>
        <w:t>May the method of fiduciary interview be in-person for any proposed fiduciary if an in-person interview is the only way to obtain the necessary information to appoint the least restrictive fiduciary appointment?</w:t>
      </w:r>
    </w:p>
    <w:p w14:paraId="2A71475E" w14:textId="77777777" w:rsidR="006B3992" w:rsidRPr="006B3992" w:rsidRDefault="006B3992" w:rsidP="006B3992">
      <w:pPr>
        <w:spacing w:after="0" w:line="240" w:lineRule="auto"/>
        <w:rPr>
          <w:rFonts w:ascii="Arial" w:hAnsi="Arial" w:cs="Arial"/>
          <w:szCs w:val="24"/>
        </w:rPr>
      </w:pPr>
    </w:p>
    <w:p w14:paraId="56CBB31F" w14:textId="77777777" w:rsidR="006B3992" w:rsidRDefault="006B3992" w:rsidP="006B3992">
      <w:pPr>
        <w:spacing w:after="0" w:line="240" w:lineRule="auto"/>
        <w:rPr>
          <w:rFonts w:ascii="Arial" w:hAnsi="Arial" w:cs="Arial"/>
          <w:szCs w:val="24"/>
        </w:rPr>
      </w:pPr>
      <w:r w:rsidRPr="006B3992">
        <w:rPr>
          <w:rFonts w:ascii="Arial" w:hAnsi="Arial" w:cs="Arial"/>
          <w:szCs w:val="24"/>
        </w:rPr>
        <w:t xml:space="preserve">Recommendation:  Provide an alternative to the interview process that will afford the field examiner the ability to complete the least restrictive fiduciary appointment possible when the telephone interview process isn’t feasible.  </w:t>
      </w:r>
    </w:p>
    <w:p w14:paraId="212B304C" w14:textId="77777777" w:rsidR="004B6A70" w:rsidRPr="004B6A70" w:rsidRDefault="004B6A70" w:rsidP="004B6A70">
      <w:pPr>
        <w:spacing w:after="0" w:line="240" w:lineRule="auto"/>
        <w:rPr>
          <w:rFonts w:ascii="Arial" w:hAnsi="Arial" w:cs="Arial"/>
          <w:szCs w:val="24"/>
        </w:rPr>
      </w:pPr>
    </w:p>
    <w:p w14:paraId="5793DCA1" w14:textId="37DA7A82" w:rsidR="002F4789" w:rsidRPr="002F4789" w:rsidRDefault="00B8449D" w:rsidP="00B8449D">
      <w:pPr>
        <w:spacing w:after="0" w:line="240" w:lineRule="auto"/>
        <w:rPr>
          <w:rFonts w:ascii="Arial" w:hAnsi="Arial" w:cs="Arial"/>
          <w:szCs w:val="24"/>
          <w:highlight w:val="yellow"/>
        </w:rPr>
      </w:pPr>
      <w:r w:rsidRPr="002F4789">
        <w:rPr>
          <w:rFonts w:ascii="Arial" w:hAnsi="Arial" w:cs="Arial"/>
          <w:b/>
          <w:szCs w:val="24"/>
          <w:highlight w:val="yellow"/>
        </w:rPr>
        <w:t>Response</w:t>
      </w:r>
      <w:r w:rsidRPr="002F4789">
        <w:rPr>
          <w:rFonts w:ascii="Arial" w:hAnsi="Arial" w:cs="Arial"/>
          <w:szCs w:val="24"/>
          <w:highlight w:val="yellow"/>
        </w:rPr>
        <w:t>:  The two examples you provide</w:t>
      </w:r>
      <w:r w:rsidR="000B2DF4">
        <w:rPr>
          <w:rFonts w:ascii="Arial" w:hAnsi="Arial" w:cs="Arial"/>
          <w:szCs w:val="24"/>
          <w:highlight w:val="yellow"/>
        </w:rPr>
        <w:t>d</w:t>
      </w:r>
      <w:r w:rsidRPr="002F4789">
        <w:rPr>
          <w:rFonts w:ascii="Arial" w:hAnsi="Arial" w:cs="Arial"/>
          <w:szCs w:val="24"/>
          <w:highlight w:val="yellow"/>
        </w:rPr>
        <w:t xml:space="preserve"> would not qualify as exceptions to the requirement that a face-to-face interview not be conducted. Specifically, under FPM 2.D.1.e., a face-to-face will </w:t>
      </w:r>
      <w:r w:rsidRPr="000B2DF4">
        <w:rPr>
          <w:rFonts w:ascii="Arial" w:hAnsi="Arial" w:cs="Arial"/>
          <w:b/>
          <w:i/>
          <w:szCs w:val="24"/>
          <w:highlight w:val="yellow"/>
        </w:rPr>
        <w:t>not</w:t>
      </w:r>
      <w:r w:rsidRPr="002F4789">
        <w:rPr>
          <w:rFonts w:ascii="Arial" w:hAnsi="Arial" w:cs="Arial"/>
          <w:szCs w:val="24"/>
          <w:highlight w:val="yellow"/>
        </w:rPr>
        <w:t xml:space="preserve"> be conducted if the</w:t>
      </w:r>
      <w:r w:rsidR="002F4789" w:rsidRPr="002F4789">
        <w:rPr>
          <w:rFonts w:ascii="Arial" w:hAnsi="Arial" w:cs="Arial"/>
          <w:szCs w:val="24"/>
          <w:highlight w:val="yellow"/>
        </w:rPr>
        <w:t>:</w:t>
      </w:r>
    </w:p>
    <w:p w14:paraId="697911C4" w14:textId="51662B31" w:rsidR="00B8449D" w:rsidRPr="002F4789" w:rsidRDefault="00B8449D" w:rsidP="00B8449D">
      <w:pPr>
        <w:spacing w:after="0" w:line="240" w:lineRule="auto"/>
        <w:rPr>
          <w:rFonts w:ascii="Arial" w:hAnsi="Arial" w:cs="Arial"/>
          <w:szCs w:val="24"/>
          <w:highlight w:val="yellow"/>
        </w:rPr>
      </w:pPr>
      <w:r w:rsidRPr="002F4789">
        <w:rPr>
          <w:rFonts w:ascii="Arial" w:hAnsi="Arial" w:cs="Arial"/>
          <w:szCs w:val="24"/>
          <w:highlight w:val="yellow"/>
        </w:rPr>
        <w:t xml:space="preserve"> </w:t>
      </w:r>
    </w:p>
    <w:p w14:paraId="64AB71CE" w14:textId="1F7ECDFF" w:rsidR="00B8449D" w:rsidRPr="002F4789" w:rsidRDefault="00B8449D" w:rsidP="00B8449D">
      <w:pPr>
        <w:pStyle w:val="ListParagraph"/>
        <w:numPr>
          <w:ilvl w:val="0"/>
          <w:numId w:val="46"/>
        </w:numPr>
        <w:spacing w:after="0" w:line="240" w:lineRule="auto"/>
        <w:rPr>
          <w:rFonts w:ascii="Arial" w:hAnsi="Arial" w:cs="Arial"/>
          <w:szCs w:val="24"/>
          <w:highlight w:val="yellow"/>
        </w:rPr>
      </w:pPr>
      <w:r w:rsidRPr="002F4789">
        <w:rPr>
          <w:rFonts w:ascii="Arial" w:hAnsi="Arial" w:cs="Arial"/>
          <w:szCs w:val="24"/>
          <w:highlight w:val="yellow"/>
        </w:rPr>
        <w:t xml:space="preserve">proposed fiduciary is an entity, such as the trust department of a bank that provides services per 38 CFR 13.100(F)(4), </w:t>
      </w:r>
    </w:p>
    <w:p w14:paraId="2039E85E" w14:textId="5EB16E0D" w:rsidR="00B8449D" w:rsidRPr="002F4789" w:rsidRDefault="00B8449D" w:rsidP="00B8449D">
      <w:pPr>
        <w:pStyle w:val="ListParagraph"/>
        <w:numPr>
          <w:ilvl w:val="0"/>
          <w:numId w:val="46"/>
        </w:numPr>
        <w:spacing w:after="0" w:line="240" w:lineRule="auto"/>
        <w:rPr>
          <w:rFonts w:ascii="Arial" w:hAnsi="Arial" w:cs="Arial"/>
          <w:szCs w:val="24"/>
          <w:highlight w:val="yellow"/>
        </w:rPr>
      </w:pPr>
      <w:r w:rsidRPr="002F4789">
        <w:rPr>
          <w:rFonts w:ascii="Arial" w:hAnsi="Arial" w:cs="Arial"/>
          <w:szCs w:val="24"/>
          <w:highlight w:val="yellow"/>
        </w:rPr>
        <w:t xml:space="preserve">the proposed fiduciary is residing outside of the conducting FE’s territory and it is necessary to transfer field examination work item to another FE creating unnecessary delays in processing, or </w:t>
      </w:r>
    </w:p>
    <w:p w14:paraId="689433A4" w14:textId="77777777" w:rsidR="00B8449D" w:rsidRPr="002F4789" w:rsidRDefault="00B8449D" w:rsidP="00B8449D">
      <w:pPr>
        <w:pStyle w:val="ListParagraph"/>
        <w:numPr>
          <w:ilvl w:val="0"/>
          <w:numId w:val="46"/>
        </w:numPr>
        <w:spacing w:after="0" w:line="240" w:lineRule="auto"/>
        <w:rPr>
          <w:rFonts w:ascii="Arial" w:hAnsi="Arial" w:cs="Arial"/>
          <w:szCs w:val="24"/>
          <w:highlight w:val="yellow"/>
        </w:rPr>
      </w:pPr>
      <w:r w:rsidRPr="002F4789">
        <w:rPr>
          <w:rFonts w:ascii="Arial" w:hAnsi="Arial" w:cs="Arial"/>
          <w:szCs w:val="24"/>
          <w:highlight w:val="yellow"/>
        </w:rPr>
        <w:t>the proposed fiduciary is currently performing satisfactorily as VA fiduciary for at least one other VA beneficiary and is determined to be suitable in accordance with all applicable elements of FPM 2.D.4.c, including up-to-date submissions of accountings.</w:t>
      </w:r>
    </w:p>
    <w:p w14:paraId="188DFE16" w14:textId="77777777" w:rsidR="00B8449D" w:rsidRPr="002F4789" w:rsidRDefault="00B8449D" w:rsidP="00B8449D">
      <w:pPr>
        <w:spacing w:after="0" w:line="240" w:lineRule="auto"/>
        <w:rPr>
          <w:rFonts w:ascii="Arial" w:hAnsi="Arial" w:cs="Arial"/>
          <w:szCs w:val="24"/>
          <w:highlight w:val="yellow"/>
        </w:rPr>
      </w:pPr>
    </w:p>
    <w:p w14:paraId="6F0CCFC7" w14:textId="51F4924B" w:rsidR="00B8449D" w:rsidRPr="002F4789" w:rsidRDefault="00B8449D" w:rsidP="00B8449D">
      <w:pPr>
        <w:spacing w:after="0" w:line="240" w:lineRule="auto"/>
        <w:rPr>
          <w:rFonts w:ascii="Arial" w:hAnsi="Arial" w:cs="Arial"/>
          <w:szCs w:val="24"/>
          <w:highlight w:val="yellow"/>
        </w:rPr>
      </w:pPr>
      <w:r w:rsidRPr="002F4789">
        <w:rPr>
          <w:rFonts w:ascii="Arial" w:hAnsi="Arial" w:cs="Arial"/>
          <w:szCs w:val="24"/>
          <w:highlight w:val="yellow"/>
        </w:rPr>
        <w:t>Of the three proposed fiduciary types listed above, only where the proposed fiduciary is residing outside the conducting FE’s territory</w:t>
      </w:r>
      <w:r w:rsidR="000B2DF4">
        <w:rPr>
          <w:rFonts w:ascii="Arial" w:hAnsi="Arial" w:cs="Arial"/>
          <w:szCs w:val="24"/>
          <w:highlight w:val="yellow"/>
        </w:rPr>
        <w:t>,</w:t>
      </w:r>
      <w:r w:rsidRPr="002F4789">
        <w:rPr>
          <w:rFonts w:ascii="Arial" w:hAnsi="Arial" w:cs="Arial"/>
          <w:szCs w:val="24"/>
          <w:highlight w:val="yellow"/>
        </w:rPr>
        <w:t xml:space="preserve"> would the need to collect sensitive personally identifiable information such as an SSN likely be </w:t>
      </w:r>
      <w:r w:rsidR="000B2DF4">
        <w:rPr>
          <w:rFonts w:ascii="Arial" w:hAnsi="Arial" w:cs="Arial"/>
          <w:szCs w:val="24"/>
          <w:highlight w:val="yellow"/>
        </w:rPr>
        <w:t>necessary</w:t>
      </w:r>
      <w:r w:rsidRPr="002F4789">
        <w:rPr>
          <w:rFonts w:ascii="Arial" w:hAnsi="Arial" w:cs="Arial"/>
          <w:szCs w:val="24"/>
          <w:highlight w:val="yellow"/>
        </w:rPr>
        <w:t xml:space="preserve">. If the proposed fiduciary is an entity, collection of the SSN or DOB would not be applicable and if the proposed fid is already performing as fiduciary for another beneficiary, the FE would already have access to the fiduciary record where all that information is already available. Regardless, </w:t>
      </w:r>
      <w:r w:rsidR="0086328C" w:rsidRPr="002F4789">
        <w:rPr>
          <w:rFonts w:ascii="Arial" w:hAnsi="Arial" w:cs="Arial"/>
          <w:szCs w:val="24"/>
          <w:highlight w:val="yellow"/>
        </w:rPr>
        <w:t>as directed by 2.D.1.e.,</w:t>
      </w:r>
      <w:r w:rsidR="000B2DF4">
        <w:rPr>
          <w:rFonts w:ascii="Arial" w:hAnsi="Arial" w:cs="Arial"/>
          <w:szCs w:val="24"/>
          <w:highlight w:val="yellow"/>
        </w:rPr>
        <w:t xml:space="preserve"> </w:t>
      </w:r>
      <w:r w:rsidRPr="002F4789">
        <w:rPr>
          <w:rFonts w:ascii="Arial" w:hAnsi="Arial" w:cs="Arial"/>
          <w:szCs w:val="24"/>
          <w:highlight w:val="yellow"/>
        </w:rPr>
        <w:t xml:space="preserve">a face-to-face interview with the proposed fiduciary types noted above will </w:t>
      </w:r>
      <w:r w:rsidRPr="002F4789">
        <w:rPr>
          <w:rFonts w:ascii="Arial" w:hAnsi="Arial" w:cs="Arial"/>
          <w:b/>
          <w:i/>
          <w:szCs w:val="24"/>
          <w:highlight w:val="yellow"/>
        </w:rPr>
        <w:t>only</w:t>
      </w:r>
      <w:r w:rsidRPr="002F4789">
        <w:rPr>
          <w:rFonts w:ascii="Arial" w:hAnsi="Arial" w:cs="Arial"/>
          <w:szCs w:val="24"/>
          <w:highlight w:val="yellow"/>
        </w:rPr>
        <w:t xml:space="preserve"> be conducted when the interview with the proposed fiduciary is conducted at the same time and location as the beneficiary </w:t>
      </w:r>
      <w:r w:rsidRPr="002F4789">
        <w:rPr>
          <w:rFonts w:ascii="Arial" w:hAnsi="Arial" w:cs="Arial"/>
          <w:szCs w:val="24"/>
          <w:highlight w:val="yellow"/>
        </w:rPr>
        <w:lastRenderedPageBreak/>
        <w:t xml:space="preserve">interview, or proposed fiduciary has telephone accessibility issues (e.g. deaf or telephone connection issues) and the accessibility issues is documented in the field examination report.  </w:t>
      </w:r>
    </w:p>
    <w:p w14:paraId="044AA026" w14:textId="77777777" w:rsidR="002F4789" w:rsidRPr="002F4789" w:rsidRDefault="002F4789" w:rsidP="00B8449D">
      <w:pPr>
        <w:spacing w:after="0" w:line="240" w:lineRule="auto"/>
        <w:rPr>
          <w:rFonts w:ascii="Arial" w:hAnsi="Arial" w:cs="Arial"/>
          <w:szCs w:val="24"/>
          <w:highlight w:val="yellow"/>
        </w:rPr>
      </w:pPr>
    </w:p>
    <w:p w14:paraId="75E04AE2" w14:textId="158A64E1" w:rsidR="001E3C7C" w:rsidRDefault="00B8449D" w:rsidP="001E3C7C">
      <w:pPr>
        <w:spacing w:after="0" w:line="240" w:lineRule="auto"/>
        <w:rPr>
          <w:rFonts w:ascii="Arial" w:hAnsi="Arial" w:cs="Arial"/>
          <w:szCs w:val="24"/>
        </w:rPr>
      </w:pPr>
      <w:r w:rsidRPr="002F4789">
        <w:rPr>
          <w:rFonts w:ascii="Arial" w:hAnsi="Arial" w:cs="Arial"/>
          <w:szCs w:val="24"/>
          <w:highlight w:val="yellow"/>
        </w:rPr>
        <w:t>If at the time of the telephone interview, the proposed fiduciary is uncomfortable provid</w:t>
      </w:r>
      <w:r w:rsidR="001E3C7C" w:rsidRPr="002F4789">
        <w:rPr>
          <w:rFonts w:ascii="Arial" w:hAnsi="Arial" w:cs="Arial"/>
          <w:szCs w:val="24"/>
          <w:highlight w:val="yellow"/>
        </w:rPr>
        <w:t>ing</w:t>
      </w:r>
      <w:r w:rsidRPr="002F4789">
        <w:rPr>
          <w:rFonts w:ascii="Arial" w:hAnsi="Arial" w:cs="Arial"/>
          <w:szCs w:val="24"/>
          <w:highlight w:val="yellow"/>
        </w:rPr>
        <w:t xml:space="preserve"> the demographic information needed to complete the field exam, the field examiner will </w:t>
      </w:r>
      <w:r w:rsidR="0086328C" w:rsidRPr="002F4789">
        <w:rPr>
          <w:rFonts w:ascii="Arial" w:hAnsi="Arial" w:cs="Arial"/>
          <w:szCs w:val="24"/>
          <w:highlight w:val="yellow"/>
        </w:rPr>
        <w:t xml:space="preserve">advise the fiduciary </w:t>
      </w:r>
      <w:r w:rsidR="00B90D42" w:rsidRPr="002F4789">
        <w:rPr>
          <w:rFonts w:ascii="Arial" w:hAnsi="Arial" w:cs="Arial"/>
          <w:szCs w:val="24"/>
          <w:highlight w:val="yellow"/>
        </w:rPr>
        <w:t xml:space="preserve">they </w:t>
      </w:r>
      <w:r w:rsidR="0086328C" w:rsidRPr="002F4789">
        <w:rPr>
          <w:rFonts w:ascii="Arial" w:hAnsi="Arial" w:cs="Arial"/>
          <w:szCs w:val="24"/>
          <w:highlight w:val="yellow"/>
        </w:rPr>
        <w:t xml:space="preserve">must submit this information </w:t>
      </w:r>
      <w:r w:rsidRPr="002F4789">
        <w:rPr>
          <w:rFonts w:ascii="Arial" w:hAnsi="Arial" w:cs="Arial"/>
          <w:szCs w:val="24"/>
          <w:highlight w:val="yellow"/>
        </w:rPr>
        <w:t>via mail or fax on the VA Form 21P-4703 as noted in 2.D.1.e.</w:t>
      </w:r>
      <w:r w:rsidR="001E3C7C" w:rsidRPr="002F4789">
        <w:rPr>
          <w:rFonts w:ascii="Arial" w:hAnsi="Arial" w:cs="Arial"/>
          <w:szCs w:val="24"/>
          <w:highlight w:val="yellow"/>
        </w:rPr>
        <w:t xml:space="preserve"> Also, please note that the DOB and SSN are not required from the fiduciary to run the CBC, these questions are part of the telephone identify protocol during the telephone interview. The CBC normally should already have been completed prior to the field exam by utilizing the fiduciary’s name and phone number</w:t>
      </w:r>
      <w:r w:rsidR="000B2DF4">
        <w:rPr>
          <w:rFonts w:ascii="Arial" w:hAnsi="Arial" w:cs="Arial"/>
          <w:szCs w:val="24"/>
          <w:highlight w:val="yellow"/>
        </w:rPr>
        <w:t xml:space="preserve"> to identify the appropriate record in CLEAR</w:t>
      </w:r>
      <w:r w:rsidR="001E3C7C" w:rsidRPr="002F4789">
        <w:rPr>
          <w:rFonts w:ascii="Arial" w:hAnsi="Arial" w:cs="Arial"/>
          <w:szCs w:val="24"/>
          <w:highlight w:val="yellow"/>
        </w:rPr>
        <w:t>.</w:t>
      </w:r>
      <w:r w:rsidR="001E3C7C">
        <w:rPr>
          <w:rFonts w:ascii="Arial" w:hAnsi="Arial" w:cs="Arial"/>
          <w:szCs w:val="24"/>
        </w:rPr>
        <w:t xml:space="preserve">  </w:t>
      </w:r>
    </w:p>
    <w:p w14:paraId="03FA3BA2" w14:textId="77777777" w:rsidR="002F4789" w:rsidRDefault="002F4789" w:rsidP="004B6A70">
      <w:pPr>
        <w:spacing w:after="0" w:line="240" w:lineRule="auto"/>
        <w:rPr>
          <w:rFonts w:ascii="Arial" w:hAnsi="Arial" w:cs="Arial"/>
          <w:b/>
          <w:szCs w:val="24"/>
        </w:rPr>
      </w:pPr>
    </w:p>
    <w:p w14:paraId="29BC281E" w14:textId="3DEE8F3F" w:rsidR="00171D09" w:rsidRDefault="00171D09" w:rsidP="004B6A70">
      <w:pPr>
        <w:spacing w:after="0" w:line="240" w:lineRule="auto"/>
        <w:rPr>
          <w:rFonts w:ascii="Arial" w:eastAsia="Calibri" w:hAnsi="Arial" w:cs="Arial"/>
          <w:szCs w:val="24"/>
        </w:rPr>
      </w:pPr>
      <w:r w:rsidRPr="004B6A70">
        <w:rPr>
          <w:rFonts w:ascii="Arial" w:hAnsi="Arial" w:cs="Arial"/>
          <w:b/>
          <w:szCs w:val="24"/>
        </w:rPr>
        <w:t>Result:</w:t>
      </w:r>
      <w:r w:rsidRPr="004B6A70">
        <w:rPr>
          <w:rFonts w:ascii="Arial" w:hAnsi="Arial" w:cs="Arial"/>
          <w:szCs w:val="24"/>
        </w:rPr>
        <w:t xml:space="preserve"> </w:t>
      </w:r>
      <w:r w:rsidR="002C0237" w:rsidRPr="004B6A70">
        <w:rPr>
          <w:rFonts w:ascii="Arial" w:hAnsi="Arial" w:cs="Arial"/>
          <w:szCs w:val="24"/>
        </w:rPr>
        <w:t xml:space="preserve"> </w:t>
      </w:r>
      <w:r w:rsidR="002C0237" w:rsidRPr="004B6A70">
        <w:rPr>
          <w:rFonts w:ascii="Arial" w:eastAsia="Calibri" w:hAnsi="Arial" w:cs="Arial"/>
          <w:szCs w:val="24"/>
        </w:rPr>
        <w:t>Clarification provided.</w:t>
      </w:r>
    </w:p>
    <w:p w14:paraId="325BCADC" w14:textId="77777777" w:rsidR="00AB6F09" w:rsidRPr="003C7AC3" w:rsidRDefault="00597AC9" w:rsidP="00AB6F09">
      <w:pPr>
        <w:pStyle w:val="Heading1"/>
        <w:rPr>
          <w:rFonts w:ascii="Arial" w:hAnsi="Arial" w:cs="Arial"/>
        </w:rPr>
      </w:pPr>
      <w:bookmarkStart w:id="21" w:name="_Toc26421525"/>
      <w:r w:rsidRPr="00597AC9">
        <w:rPr>
          <w:rFonts w:ascii="Arial" w:hAnsi="Arial" w:cs="Arial"/>
        </w:rPr>
        <w:t xml:space="preserve">Question Regarding </w:t>
      </w:r>
      <w:r>
        <w:rPr>
          <w:rFonts w:ascii="Arial" w:hAnsi="Arial" w:cs="Arial"/>
        </w:rPr>
        <w:t>D</w:t>
      </w:r>
      <w:r w:rsidRPr="00597AC9">
        <w:rPr>
          <w:rFonts w:ascii="Arial" w:hAnsi="Arial" w:cs="Arial"/>
        </w:rPr>
        <w:t xml:space="preserve">irect </w:t>
      </w:r>
      <w:r>
        <w:rPr>
          <w:rFonts w:ascii="Arial" w:hAnsi="Arial" w:cs="Arial"/>
        </w:rPr>
        <w:t>D</w:t>
      </w:r>
      <w:r w:rsidRPr="00597AC9">
        <w:rPr>
          <w:rFonts w:ascii="Arial" w:hAnsi="Arial" w:cs="Arial"/>
        </w:rPr>
        <w:t xml:space="preserve">eposit </w:t>
      </w:r>
      <w:r>
        <w:rPr>
          <w:rFonts w:ascii="Arial" w:hAnsi="Arial" w:cs="Arial"/>
        </w:rPr>
        <w:t>C</w:t>
      </w:r>
      <w:r w:rsidRPr="00597AC9">
        <w:rPr>
          <w:rFonts w:ascii="Arial" w:hAnsi="Arial" w:cs="Arial"/>
        </w:rPr>
        <w:t xml:space="preserve">hange </w:t>
      </w:r>
      <w:r>
        <w:rPr>
          <w:rFonts w:ascii="Arial" w:hAnsi="Arial" w:cs="Arial"/>
        </w:rPr>
        <w:t>V</w:t>
      </w:r>
      <w:r w:rsidRPr="00597AC9">
        <w:rPr>
          <w:rFonts w:ascii="Arial" w:hAnsi="Arial" w:cs="Arial"/>
        </w:rPr>
        <w:t>erification</w:t>
      </w:r>
      <w:bookmarkEnd w:id="21"/>
    </w:p>
    <w:p w14:paraId="06822A19" w14:textId="77777777" w:rsidR="00AB6F09" w:rsidRPr="00B06081" w:rsidRDefault="00AB6F09" w:rsidP="00AB6F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F</w:t>
      </w:r>
      <w:r>
        <w:rPr>
          <w:rFonts w:ascii="Arial" w:hAnsi="Arial" w:cs="Arial"/>
        </w:rPr>
        <w:t>ield Examiners and Legal Instruments Examiners</w:t>
      </w:r>
    </w:p>
    <w:p w14:paraId="4A95C232" w14:textId="77777777" w:rsidR="00AB6F09" w:rsidRDefault="00AB6F09" w:rsidP="00AB6F09">
      <w:pPr>
        <w:spacing w:after="0" w:line="240" w:lineRule="auto"/>
        <w:rPr>
          <w:rFonts w:ascii="Arial" w:hAnsi="Arial" w:cs="Arial"/>
          <w:szCs w:val="24"/>
        </w:rPr>
      </w:pPr>
    </w:p>
    <w:p w14:paraId="6E47CC15" w14:textId="77777777" w:rsidR="00597AC9" w:rsidRPr="00597AC9" w:rsidRDefault="00AB6F09" w:rsidP="00597AC9">
      <w:pPr>
        <w:spacing w:after="0" w:line="240" w:lineRule="auto"/>
        <w:rPr>
          <w:rFonts w:ascii="Arial" w:hAnsi="Arial" w:cs="Arial"/>
        </w:rPr>
      </w:pPr>
      <w:r w:rsidRPr="003C7AC3">
        <w:rPr>
          <w:rFonts w:ascii="Arial" w:hAnsi="Arial" w:cs="Arial"/>
          <w:b/>
          <w:szCs w:val="24"/>
        </w:rPr>
        <w:t>Question:</w:t>
      </w:r>
      <w:r>
        <w:rPr>
          <w:rFonts w:ascii="Arial" w:hAnsi="Arial" w:cs="Arial"/>
          <w:b/>
          <w:szCs w:val="24"/>
        </w:rPr>
        <w:t xml:space="preserve"> </w:t>
      </w:r>
      <w:r>
        <w:rPr>
          <w:rFonts w:ascii="Arial" w:hAnsi="Arial" w:cs="Arial"/>
          <w:szCs w:val="24"/>
        </w:rPr>
        <w:t xml:space="preserve"> </w:t>
      </w:r>
      <w:r w:rsidR="00597AC9" w:rsidRPr="00597AC9">
        <w:rPr>
          <w:rFonts w:ascii="Arial" w:hAnsi="Arial" w:cs="Arial"/>
        </w:rPr>
        <w:t xml:space="preserve">According to the recent FPM update to 4.C.12.a., we may only take action to change the direct deposit of a VA beneficiary if we receive one of the options below: </w:t>
      </w:r>
    </w:p>
    <w:p w14:paraId="536D2C40" w14:textId="77777777" w:rsidR="00597AC9" w:rsidRPr="00597AC9" w:rsidRDefault="00597AC9" w:rsidP="00597AC9">
      <w:pPr>
        <w:spacing w:after="0" w:line="240" w:lineRule="auto"/>
        <w:rPr>
          <w:rFonts w:ascii="Arial" w:hAnsi="Arial" w:cs="Arial"/>
        </w:rPr>
      </w:pPr>
      <w:r w:rsidRPr="00597AC9">
        <w:rPr>
          <w:rFonts w:ascii="Arial" w:hAnsi="Arial" w:cs="Arial"/>
        </w:rPr>
        <w:t>by viewing a copy of a voided check or,</w:t>
      </w:r>
    </w:p>
    <w:p w14:paraId="1E477F60" w14:textId="77777777" w:rsidR="00597AC9" w:rsidRPr="00597AC9" w:rsidRDefault="00597AC9" w:rsidP="00597AC9">
      <w:pPr>
        <w:spacing w:after="0" w:line="240" w:lineRule="auto"/>
        <w:rPr>
          <w:rFonts w:ascii="Arial" w:hAnsi="Arial" w:cs="Arial"/>
        </w:rPr>
      </w:pPr>
      <w:r w:rsidRPr="00597AC9">
        <w:rPr>
          <w:rFonts w:ascii="Arial" w:hAnsi="Arial" w:cs="Arial"/>
        </w:rPr>
        <w:t>a completed VA Form 24-0296 and a voided check.</w:t>
      </w:r>
    </w:p>
    <w:p w14:paraId="37EE3D79" w14:textId="77777777" w:rsidR="00597AC9" w:rsidRPr="00597AC9" w:rsidRDefault="00597AC9" w:rsidP="00597AC9">
      <w:pPr>
        <w:spacing w:after="0" w:line="240" w:lineRule="auto"/>
        <w:rPr>
          <w:rFonts w:ascii="Arial" w:hAnsi="Arial" w:cs="Arial"/>
        </w:rPr>
      </w:pPr>
    </w:p>
    <w:p w14:paraId="49B91C41" w14:textId="77777777" w:rsidR="00597AC9" w:rsidRPr="00597AC9" w:rsidRDefault="00597AC9" w:rsidP="00597AC9">
      <w:pPr>
        <w:spacing w:after="0" w:line="240" w:lineRule="auto"/>
        <w:rPr>
          <w:rFonts w:ascii="Arial" w:hAnsi="Arial" w:cs="Arial"/>
        </w:rPr>
      </w:pPr>
      <w:r w:rsidRPr="00597AC9">
        <w:rPr>
          <w:rFonts w:ascii="Arial" w:hAnsi="Arial" w:cs="Arial"/>
        </w:rPr>
        <w:t>It appears from this update we are no longer able to take action on direct deposit change requests if the fiduciary provides a copy of a bank statement. If this is true, the Hub is severely limited in recourse for this action.</w:t>
      </w:r>
    </w:p>
    <w:p w14:paraId="5D7DC686" w14:textId="77777777" w:rsidR="00597AC9" w:rsidRPr="00597AC9" w:rsidRDefault="00597AC9" w:rsidP="00597AC9">
      <w:pPr>
        <w:spacing w:after="0" w:line="240" w:lineRule="auto"/>
        <w:rPr>
          <w:rFonts w:ascii="Arial" w:hAnsi="Arial" w:cs="Arial"/>
        </w:rPr>
      </w:pPr>
    </w:p>
    <w:p w14:paraId="3D35E583" w14:textId="77777777" w:rsidR="00597AC9" w:rsidRPr="00597AC9" w:rsidRDefault="00597AC9" w:rsidP="00597AC9">
      <w:pPr>
        <w:spacing w:after="0" w:line="240" w:lineRule="auto"/>
        <w:rPr>
          <w:rFonts w:ascii="Arial" w:hAnsi="Arial" w:cs="Arial"/>
        </w:rPr>
      </w:pPr>
      <w:r w:rsidRPr="00597AC9">
        <w:rPr>
          <w:rFonts w:ascii="Arial" w:hAnsi="Arial" w:cs="Arial"/>
        </w:rPr>
        <w:t>Are we no longer able to change the direct deposit if the fiduciary or bank provides a copy of the bank account documentation (i.e., bank statement, deposit slip, etc.)?</w:t>
      </w:r>
    </w:p>
    <w:p w14:paraId="57B29C78" w14:textId="77777777" w:rsidR="00597AC9" w:rsidRPr="00597AC9" w:rsidRDefault="00597AC9" w:rsidP="00597AC9">
      <w:pPr>
        <w:spacing w:after="0" w:line="240" w:lineRule="auto"/>
        <w:rPr>
          <w:rFonts w:ascii="Arial" w:hAnsi="Arial" w:cs="Arial"/>
        </w:rPr>
      </w:pPr>
    </w:p>
    <w:p w14:paraId="7A29852D" w14:textId="77777777" w:rsidR="00597AC9" w:rsidRDefault="00597AC9" w:rsidP="00597AC9">
      <w:pPr>
        <w:spacing w:after="0" w:line="240" w:lineRule="auto"/>
        <w:rPr>
          <w:rFonts w:ascii="Arial" w:hAnsi="Arial" w:cs="Arial"/>
        </w:rPr>
      </w:pPr>
      <w:r w:rsidRPr="00597AC9">
        <w:rPr>
          <w:rFonts w:ascii="Arial" w:hAnsi="Arial" w:cs="Arial"/>
        </w:rPr>
        <w:t>In speaking with several bank agents, we have a concern that by only accepting copies of cancelled checks as verification or a properly titled account (in these scenarios), we (the VA) are placing our reliance on a third-party vendor instead of the bank which owns the bank account. In most cases, banks do not print the checks the fiduciary receives. Most banks contract the printing of checks out. Additionally, a fiduciary may solicit a third-party check vendor directly and by-pass the bank completely. To add to this issue, the fiduciary can solicit a third-party check vendor and have whatever he/she wants printed on the check. The third-party vendors usually have the purchaser input the account information via online form and no account verification is required, because the third-party vendor does not care if the checks actually work with the account.</w:t>
      </w:r>
    </w:p>
    <w:p w14:paraId="25E70A88" w14:textId="77777777" w:rsidR="00AB6F09" w:rsidRPr="00AB6F09" w:rsidRDefault="00AB6F09" w:rsidP="00AB6F09">
      <w:pPr>
        <w:spacing w:after="0" w:line="240" w:lineRule="auto"/>
        <w:rPr>
          <w:rFonts w:ascii="Arial" w:hAnsi="Arial" w:cs="Arial"/>
          <w:szCs w:val="24"/>
        </w:rPr>
      </w:pPr>
    </w:p>
    <w:p w14:paraId="2B8BCE90" w14:textId="28CCFE72" w:rsidR="00597AC9" w:rsidRDefault="00AB6F09" w:rsidP="00AB6F09">
      <w:pPr>
        <w:spacing w:after="0" w:line="240" w:lineRule="auto"/>
        <w:rPr>
          <w:rFonts w:ascii="Arial" w:hAnsi="Arial" w:cs="Arial"/>
          <w:szCs w:val="24"/>
        </w:rPr>
      </w:pPr>
      <w:r w:rsidRPr="009B7246">
        <w:rPr>
          <w:rFonts w:ascii="Arial" w:hAnsi="Arial" w:cs="Arial"/>
          <w:b/>
          <w:szCs w:val="24"/>
        </w:rPr>
        <w:t>Response</w:t>
      </w:r>
      <w:r>
        <w:rPr>
          <w:rFonts w:ascii="Arial" w:hAnsi="Arial" w:cs="Arial"/>
          <w:szCs w:val="24"/>
        </w:rPr>
        <w:t xml:space="preserve">:  </w:t>
      </w:r>
      <w:r w:rsidR="00597AC9" w:rsidRPr="00597AC9">
        <w:rPr>
          <w:rFonts w:ascii="Arial" w:hAnsi="Arial" w:cs="Arial"/>
          <w:szCs w:val="24"/>
        </w:rPr>
        <w:t xml:space="preserve">If the fiduciary provides bank account documentation such as, deposit slip, bank statement to the fiduciary hub, the hub may accept this bank account documentation as proof of payment address and direct deposit information. The </w:t>
      </w:r>
      <w:r w:rsidR="00597AC9" w:rsidRPr="00597AC9">
        <w:rPr>
          <w:rFonts w:ascii="Arial" w:hAnsi="Arial" w:cs="Arial"/>
          <w:szCs w:val="24"/>
        </w:rPr>
        <w:lastRenderedPageBreak/>
        <w:t xml:space="preserve">information contained in FPM 4.C.12.a is not </w:t>
      </w:r>
      <w:r w:rsidR="00E025EF" w:rsidRPr="00597AC9">
        <w:rPr>
          <w:rFonts w:ascii="Arial" w:hAnsi="Arial" w:cs="Arial"/>
          <w:szCs w:val="24"/>
        </w:rPr>
        <w:t>exclusive</w:t>
      </w:r>
      <w:r w:rsidR="00E025EF">
        <w:rPr>
          <w:rFonts w:ascii="Arial" w:hAnsi="Arial" w:cs="Arial"/>
          <w:szCs w:val="24"/>
        </w:rPr>
        <w:t xml:space="preserve"> as</w:t>
      </w:r>
      <w:r w:rsidR="006B51F5">
        <w:rPr>
          <w:rFonts w:ascii="Arial" w:hAnsi="Arial" w:cs="Arial"/>
          <w:szCs w:val="24"/>
        </w:rPr>
        <w:t xml:space="preserve"> </w:t>
      </w:r>
      <w:r w:rsidR="00597AC9" w:rsidRPr="00597AC9">
        <w:rPr>
          <w:rFonts w:ascii="Arial" w:hAnsi="Arial" w:cs="Arial"/>
          <w:szCs w:val="24"/>
        </w:rPr>
        <w:t>documents provided by the banking institution that convey account information may be used to change the direct deposit information.</w:t>
      </w:r>
      <w:r w:rsidR="006B51F5">
        <w:rPr>
          <w:rFonts w:ascii="Arial" w:hAnsi="Arial" w:cs="Arial"/>
          <w:szCs w:val="24"/>
        </w:rPr>
        <w:t xml:space="preserve"> </w:t>
      </w:r>
    </w:p>
    <w:p w14:paraId="21BBA008" w14:textId="35F7045C" w:rsidR="006B51F5" w:rsidRDefault="006B51F5" w:rsidP="00AB6F09">
      <w:pPr>
        <w:spacing w:after="0" w:line="240" w:lineRule="auto"/>
        <w:rPr>
          <w:rFonts w:ascii="Arial" w:hAnsi="Arial" w:cs="Arial"/>
          <w:szCs w:val="24"/>
        </w:rPr>
      </w:pPr>
    </w:p>
    <w:p w14:paraId="606F12C3" w14:textId="732708BC" w:rsidR="006B51F5" w:rsidRDefault="006B51F5" w:rsidP="00AB6F09">
      <w:pPr>
        <w:spacing w:after="0" w:line="240" w:lineRule="auto"/>
        <w:rPr>
          <w:rFonts w:ascii="Arial" w:hAnsi="Arial" w:cs="Arial"/>
          <w:szCs w:val="24"/>
        </w:rPr>
      </w:pPr>
      <w:r>
        <w:rPr>
          <w:rFonts w:ascii="Arial" w:hAnsi="Arial" w:cs="Arial"/>
          <w:szCs w:val="24"/>
        </w:rPr>
        <w:t>Since the time this response was issued via email, we have since updated FPM 4.C.12 on November 27</w:t>
      </w:r>
      <w:r w:rsidRPr="0071520E">
        <w:rPr>
          <w:rFonts w:ascii="Arial" w:hAnsi="Arial" w:cs="Arial"/>
          <w:szCs w:val="24"/>
          <w:vertAlign w:val="superscript"/>
        </w:rPr>
        <w:t>th</w:t>
      </w:r>
      <w:r>
        <w:rPr>
          <w:rFonts w:ascii="Arial" w:hAnsi="Arial" w:cs="Arial"/>
          <w:szCs w:val="24"/>
        </w:rPr>
        <w:t xml:space="preserve">, 2019 to clarify that an account can be verified as properly titled via a bank statement. </w:t>
      </w:r>
    </w:p>
    <w:p w14:paraId="2D8024E8" w14:textId="77777777" w:rsidR="00AB6F09" w:rsidRDefault="00AB6F09" w:rsidP="00AB6F09">
      <w:pPr>
        <w:spacing w:after="0" w:line="240" w:lineRule="auto"/>
        <w:rPr>
          <w:rFonts w:ascii="Arial" w:hAnsi="Arial" w:cs="Arial"/>
          <w:szCs w:val="24"/>
        </w:rPr>
      </w:pPr>
    </w:p>
    <w:p w14:paraId="2814B3C5" w14:textId="5B4A31E1" w:rsidR="00AB6F09" w:rsidRPr="00B06081" w:rsidRDefault="00AB6F09" w:rsidP="00AB6F09">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w:t>
      </w:r>
      <w:r w:rsidR="00E025EF">
        <w:rPr>
          <w:rFonts w:ascii="Arial" w:hAnsi="Arial" w:cs="Arial"/>
          <w:szCs w:val="24"/>
        </w:rPr>
        <w:t>FPM updated on November 27, 2019</w:t>
      </w:r>
      <w:r>
        <w:rPr>
          <w:rFonts w:ascii="Arial" w:hAnsi="Arial" w:cs="Arial"/>
          <w:szCs w:val="24"/>
        </w:rPr>
        <w:t>.</w:t>
      </w:r>
    </w:p>
    <w:p w14:paraId="3D415E17" w14:textId="77777777" w:rsidR="00EF2D51" w:rsidRPr="00900D56" w:rsidRDefault="00EF2D51" w:rsidP="00EF2D51">
      <w:pPr>
        <w:pStyle w:val="Heading1"/>
        <w:rPr>
          <w:rFonts w:ascii="Arial" w:hAnsi="Arial" w:cs="Arial"/>
          <w:b/>
          <w:color w:val="auto"/>
          <w:sz w:val="36"/>
        </w:rPr>
      </w:pPr>
      <w:bookmarkStart w:id="22" w:name="_Toc26421526"/>
      <w:r>
        <w:rPr>
          <w:rFonts w:ascii="Arial" w:hAnsi="Arial" w:cs="Arial"/>
          <w:b/>
          <w:color w:val="auto"/>
          <w:sz w:val="36"/>
        </w:rPr>
        <w:t>P&amp;F Service Information</w:t>
      </w:r>
      <w:bookmarkEnd w:id="22"/>
    </w:p>
    <w:p w14:paraId="0FC363D0" w14:textId="77777777" w:rsidR="00F37B29" w:rsidRPr="003C7AC3" w:rsidRDefault="00F37B29" w:rsidP="00F37B29">
      <w:pPr>
        <w:pStyle w:val="Heading1"/>
        <w:rPr>
          <w:rFonts w:ascii="Arial" w:hAnsi="Arial" w:cs="Arial"/>
        </w:rPr>
      </w:pPr>
      <w:bookmarkStart w:id="23" w:name="_Toc26421527"/>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23"/>
    </w:p>
    <w:p w14:paraId="55D8D2AA" w14:textId="77777777" w:rsidR="006F3DA0" w:rsidRDefault="006F3DA0" w:rsidP="003C7AC3">
      <w:pPr>
        <w:spacing w:after="0" w:line="240" w:lineRule="auto"/>
        <w:rPr>
          <w:rFonts w:ascii="Arial" w:hAnsi="Arial" w:cs="Arial"/>
          <w:szCs w:val="24"/>
        </w:rPr>
      </w:pPr>
    </w:p>
    <w:p w14:paraId="7A16B51F" w14:textId="77777777" w:rsidR="003E2828" w:rsidRDefault="003E2828" w:rsidP="003E2828">
      <w:pPr>
        <w:spacing w:after="0" w:line="240" w:lineRule="auto"/>
        <w:rPr>
          <w:rFonts w:ascii="Arial" w:hAnsi="Arial" w:cs="Arial"/>
          <w:szCs w:val="24"/>
        </w:rPr>
      </w:pPr>
      <w:r>
        <w:rPr>
          <w:rFonts w:ascii="Arial" w:hAnsi="Arial" w:cs="Arial"/>
          <w:szCs w:val="24"/>
        </w:rPr>
        <w:t xml:space="preserve">Policy and Procedure questions from the PMCs or Fiduciary Hubs should be submitted to P&amp;F Service at </w:t>
      </w:r>
      <w:hyperlink r:id="rId21"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22"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23"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24" w:name="_Toc26421528"/>
      <w:r>
        <w:rPr>
          <w:rFonts w:ascii="Arial" w:hAnsi="Arial" w:cs="Arial"/>
        </w:rPr>
        <w:t>D</w:t>
      </w:r>
      <w:r w:rsidR="00241F0B">
        <w:rPr>
          <w:rFonts w:ascii="Arial" w:hAnsi="Arial" w:cs="Arial"/>
        </w:rPr>
        <w:t>isclaimer</w:t>
      </w:r>
      <w:bookmarkEnd w:id="24"/>
    </w:p>
    <w:p w14:paraId="66751F6F" w14:textId="77777777" w:rsidR="00241F0B" w:rsidRDefault="00241F0B" w:rsidP="00241F0B">
      <w:pPr>
        <w:spacing w:after="0" w:line="240" w:lineRule="auto"/>
        <w:rPr>
          <w:rFonts w:ascii="Arial" w:hAnsi="Arial" w:cs="Arial"/>
          <w:szCs w:val="24"/>
        </w:rPr>
      </w:pPr>
    </w:p>
    <w:p w14:paraId="3643DCB0" w14:textId="77777777" w:rsidR="00241F0B" w:rsidRDefault="00241F0B" w:rsidP="003C7AC3">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are needed, they are made in conjunction with th</w:t>
      </w:r>
      <w:r w:rsidR="00A11924">
        <w:rPr>
          <w:rFonts w:ascii="Arial" w:hAnsi="Arial" w:cs="Arial"/>
          <w:szCs w:val="24"/>
        </w:rPr>
        <w:t>e</w:t>
      </w:r>
      <w:r>
        <w:rPr>
          <w:rFonts w:ascii="Arial" w:hAnsi="Arial" w:cs="Arial"/>
          <w:szCs w:val="24"/>
        </w:rPr>
        <w:t xml:space="preserve"> response.  The M21-1 Adjudication Procedures Manual supersedes any inquiry response.</w:t>
      </w: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BF07E" w14:textId="77777777" w:rsidR="00A13374" w:rsidRDefault="00A13374" w:rsidP="004619BB">
      <w:pPr>
        <w:spacing w:after="0" w:line="240" w:lineRule="auto"/>
      </w:pPr>
      <w:r>
        <w:separator/>
      </w:r>
    </w:p>
    <w:p w14:paraId="1DA614E6" w14:textId="77777777" w:rsidR="00A13374" w:rsidRDefault="00A13374"/>
    <w:p w14:paraId="077C909A" w14:textId="77777777" w:rsidR="00A13374" w:rsidRDefault="00A13374"/>
  </w:endnote>
  <w:endnote w:type="continuationSeparator" w:id="0">
    <w:p w14:paraId="0EB1F12D" w14:textId="77777777" w:rsidR="00A13374" w:rsidRDefault="00A13374" w:rsidP="004619BB">
      <w:pPr>
        <w:spacing w:after="0" w:line="240" w:lineRule="auto"/>
      </w:pPr>
      <w:r>
        <w:continuationSeparator/>
      </w:r>
    </w:p>
    <w:p w14:paraId="5B7E0198" w14:textId="77777777" w:rsidR="00A13374" w:rsidRDefault="00A13374"/>
    <w:p w14:paraId="0C10118B" w14:textId="77777777" w:rsidR="00A13374" w:rsidRDefault="00A13374"/>
  </w:endnote>
  <w:endnote w:type="continuationNotice" w:id="1">
    <w:p w14:paraId="74A8A538" w14:textId="77777777" w:rsidR="00A13374" w:rsidRDefault="00A13374">
      <w:pPr>
        <w:spacing w:after="0" w:line="240" w:lineRule="auto"/>
      </w:pPr>
    </w:p>
    <w:p w14:paraId="04D75E9E" w14:textId="77777777" w:rsidR="00A13374" w:rsidRDefault="00A13374"/>
    <w:p w14:paraId="55557DE2" w14:textId="77777777" w:rsidR="00A13374" w:rsidRDefault="00A13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303E" w14:textId="77777777" w:rsidR="00D019B3" w:rsidRPr="00FD42FA" w:rsidRDefault="00D24ED7" w:rsidP="009C31D3">
    <w:pPr>
      <w:pStyle w:val="Footer"/>
      <w:pBdr>
        <w:top w:val="thinThickSmallGap" w:sz="24" w:space="1" w:color="622423" w:themeColor="accent2" w:themeShade="7F"/>
      </w:pBdr>
      <w:rPr>
        <w:rFonts w:ascii="Arial" w:hAnsi="Arial" w:cs="Arial"/>
      </w:rPr>
    </w:pPr>
    <w:r>
      <w:rPr>
        <w:rFonts w:ascii="Arial" w:hAnsi="Arial" w:cs="Arial"/>
      </w:rPr>
      <w:t>Novem</w:t>
    </w:r>
    <w:r w:rsidR="009A59FF">
      <w:rPr>
        <w:rFonts w:ascii="Arial" w:hAnsi="Arial" w:cs="Arial"/>
      </w:rPr>
      <w:t>ber</w:t>
    </w:r>
    <w:r w:rsidR="00126139">
      <w:rPr>
        <w:rFonts w:ascii="Arial" w:hAnsi="Arial" w:cs="Arial"/>
      </w:rPr>
      <w:t xml:space="preserve"> 2019</w:t>
    </w:r>
    <w:r w:rsidR="00D019B3" w:rsidRPr="00FD42FA">
      <w:rPr>
        <w:rFonts w:ascii="Arial" w:hAnsi="Arial" w:cs="Arial"/>
      </w:rPr>
      <w:ptab w:relativeTo="margin" w:alignment="right" w:leader="none"/>
    </w:r>
    <w:r w:rsidR="00D019B3" w:rsidRPr="00FD42FA">
      <w:rPr>
        <w:rFonts w:ascii="Arial" w:hAnsi="Arial" w:cs="Arial"/>
      </w:rPr>
      <w:t xml:space="preserve">Page </w:t>
    </w:r>
    <w:r w:rsidR="00D019B3" w:rsidRPr="00FD42FA">
      <w:rPr>
        <w:rFonts w:ascii="Arial" w:eastAsiaTheme="minorEastAsia" w:hAnsi="Arial" w:cs="Arial"/>
      </w:rPr>
      <w:fldChar w:fldCharType="begin"/>
    </w:r>
    <w:r w:rsidR="00D019B3" w:rsidRPr="00FD42FA">
      <w:rPr>
        <w:rFonts w:ascii="Arial" w:hAnsi="Arial" w:cs="Arial"/>
      </w:rPr>
      <w:instrText xml:space="preserve"> PAGE   \* MERGEFORMAT </w:instrText>
    </w:r>
    <w:r w:rsidR="00D019B3" w:rsidRPr="00FD42FA">
      <w:rPr>
        <w:rFonts w:ascii="Arial" w:eastAsiaTheme="minorEastAsia" w:hAnsi="Arial" w:cs="Arial"/>
      </w:rPr>
      <w:fldChar w:fldCharType="separate"/>
    </w:r>
    <w:r w:rsidR="00D019B3">
      <w:rPr>
        <w:rFonts w:ascii="Arial" w:hAnsi="Arial" w:cs="Arial"/>
        <w:noProof/>
      </w:rPr>
      <w:t>1</w:t>
    </w:r>
    <w:r w:rsidR="00D019B3" w:rsidRPr="00FD42FA">
      <w:rPr>
        <w:rFonts w:ascii="Arial" w:hAnsi="Arial" w:cs="Arial"/>
        <w:noProof/>
      </w:rPr>
      <w:fldChar w:fldCharType="end"/>
    </w:r>
  </w:p>
  <w:p w14:paraId="6D03A7B1" w14:textId="77777777" w:rsidR="00D019B3" w:rsidRPr="009C31D3" w:rsidRDefault="00D019B3"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A0063" w14:textId="77777777" w:rsidR="00A13374" w:rsidRDefault="00A13374" w:rsidP="004619BB">
      <w:pPr>
        <w:spacing w:after="0" w:line="240" w:lineRule="auto"/>
      </w:pPr>
      <w:r>
        <w:separator/>
      </w:r>
    </w:p>
    <w:p w14:paraId="6AADB529" w14:textId="77777777" w:rsidR="00A13374" w:rsidRDefault="00A13374"/>
    <w:p w14:paraId="250BCA43" w14:textId="77777777" w:rsidR="00A13374" w:rsidRDefault="00A13374"/>
  </w:footnote>
  <w:footnote w:type="continuationSeparator" w:id="0">
    <w:p w14:paraId="5783912F" w14:textId="77777777" w:rsidR="00A13374" w:rsidRDefault="00A13374" w:rsidP="004619BB">
      <w:pPr>
        <w:spacing w:after="0" w:line="240" w:lineRule="auto"/>
      </w:pPr>
      <w:r>
        <w:continuationSeparator/>
      </w:r>
    </w:p>
    <w:p w14:paraId="6D65A9D0" w14:textId="77777777" w:rsidR="00A13374" w:rsidRDefault="00A13374"/>
    <w:p w14:paraId="7030866C" w14:textId="77777777" w:rsidR="00A13374" w:rsidRDefault="00A13374"/>
  </w:footnote>
  <w:footnote w:type="continuationNotice" w:id="1">
    <w:p w14:paraId="2B20B5CD" w14:textId="77777777" w:rsidR="00A13374" w:rsidRDefault="00A13374">
      <w:pPr>
        <w:spacing w:after="0" w:line="240" w:lineRule="auto"/>
      </w:pPr>
    </w:p>
    <w:p w14:paraId="20EB3D36" w14:textId="77777777" w:rsidR="00A13374" w:rsidRDefault="00A13374"/>
    <w:p w14:paraId="7B97FBE2" w14:textId="77777777" w:rsidR="00A13374" w:rsidRDefault="00A13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C324C"/>
    <w:multiLevelType w:val="multilevel"/>
    <w:tmpl w:val="7DF21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505C"/>
    <w:multiLevelType w:val="hybridMultilevel"/>
    <w:tmpl w:val="1B48F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43FC5"/>
    <w:multiLevelType w:val="multilevel"/>
    <w:tmpl w:val="6176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23166"/>
    <w:multiLevelType w:val="hybridMultilevel"/>
    <w:tmpl w:val="87904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4249F7"/>
    <w:multiLevelType w:val="hybridMultilevel"/>
    <w:tmpl w:val="04E2B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6662B"/>
    <w:multiLevelType w:val="hybridMultilevel"/>
    <w:tmpl w:val="73028BE4"/>
    <w:lvl w:ilvl="0" w:tplc="04090001">
      <w:start w:val="1"/>
      <w:numFmt w:val="bullet"/>
      <w:lvlText w:val=""/>
      <w:lvlJc w:val="left"/>
      <w:pPr>
        <w:ind w:left="1440" w:hanging="360"/>
      </w:pPr>
      <w:rPr>
        <w:rFonts w:ascii="Symbol" w:hAnsi="Symbol" w:hint="default"/>
      </w:rPr>
    </w:lvl>
    <w:lvl w:ilvl="1" w:tplc="47E8F960">
      <w:numFmt w:val="bullet"/>
      <w:lvlText w:val="•"/>
      <w:lvlJc w:val="left"/>
      <w:pPr>
        <w:ind w:left="2520" w:hanging="720"/>
      </w:pPr>
      <w:rPr>
        <w:rFonts w:ascii="Arial" w:eastAsia="Times New Roman" w:hAnsi="Arial"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0496A92"/>
    <w:multiLevelType w:val="hybridMultilevel"/>
    <w:tmpl w:val="9C4219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3E624BE"/>
    <w:multiLevelType w:val="hybridMultilevel"/>
    <w:tmpl w:val="AF7E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B6394"/>
    <w:multiLevelType w:val="hybridMultilevel"/>
    <w:tmpl w:val="9C4219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5837517"/>
    <w:multiLevelType w:val="hybridMultilevel"/>
    <w:tmpl w:val="62389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65147DC"/>
    <w:multiLevelType w:val="hybridMultilevel"/>
    <w:tmpl w:val="2D3824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6A32420"/>
    <w:multiLevelType w:val="hybridMultilevel"/>
    <w:tmpl w:val="7314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475F67"/>
    <w:multiLevelType w:val="hybridMultilevel"/>
    <w:tmpl w:val="9678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94192"/>
    <w:multiLevelType w:val="hybridMultilevel"/>
    <w:tmpl w:val="4EFA4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720D37"/>
    <w:multiLevelType w:val="hybridMultilevel"/>
    <w:tmpl w:val="7314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B42047"/>
    <w:multiLevelType w:val="multilevel"/>
    <w:tmpl w:val="1B0A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7041D"/>
    <w:multiLevelType w:val="hybridMultilevel"/>
    <w:tmpl w:val="D90A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26D5F"/>
    <w:multiLevelType w:val="multilevel"/>
    <w:tmpl w:val="6CF0C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F14B7"/>
    <w:multiLevelType w:val="hybridMultilevel"/>
    <w:tmpl w:val="D12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14152"/>
    <w:multiLevelType w:val="hybridMultilevel"/>
    <w:tmpl w:val="A2C0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0E10A1"/>
    <w:multiLevelType w:val="multilevel"/>
    <w:tmpl w:val="24F4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C6981"/>
    <w:multiLevelType w:val="hybridMultilevel"/>
    <w:tmpl w:val="A254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4F25F2"/>
    <w:multiLevelType w:val="hybridMultilevel"/>
    <w:tmpl w:val="00227F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C93822"/>
    <w:multiLevelType w:val="multilevel"/>
    <w:tmpl w:val="46269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B6E28"/>
    <w:multiLevelType w:val="hybridMultilevel"/>
    <w:tmpl w:val="C9B6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F014F"/>
    <w:multiLevelType w:val="hybridMultilevel"/>
    <w:tmpl w:val="E57A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F52CD"/>
    <w:multiLevelType w:val="hybridMultilevel"/>
    <w:tmpl w:val="396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E3858"/>
    <w:multiLevelType w:val="hybridMultilevel"/>
    <w:tmpl w:val="BA70D460"/>
    <w:lvl w:ilvl="0" w:tplc="04090001">
      <w:start w:val="1"/>
      <w:numFmt w:val="bullet"/>
      <w:lvlText w:val=""/>
      <w:lvlJc w:val="left"/>
      <w:pPr>
        <w:ind w:left="720" w:hanging="360"/>
      </w:pPr>
      <w:rPr>
        <w:rFonts w:ascii="Symbol" w:hAnsi="Symbol" w:hint="default"/>
      </w:rPr>
    </w:lvl>
    <w:lvl w:ilvl="1" w:tplc="47E8F960">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685255"/>
    <w:multiLevelType w:val="multilevel"/>
    <w:tmpl w:val="9F30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016E6"/>
    <w:multiLevelType w:val="hybridMultilevel"/>
    <w:tmpl w:val="6AD8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F67FB"/>
    <w:multiLevelType w:val="hybridMultilevel"/>
    <w:tmpl w:val="F8EC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A007EE"/>
    <w:multiLevelType w:val="hybridMultilevel"/>
    <w:tmpl w:val="C11C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7273C"/>
    <w:multiLevelType w:val="multilevel"/>
    <w:tmpl w:val="B952F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F53EE"/>
    <w:multiLevelType w:val="hybridMultilevel"/>
    <w:tmpl w:val="241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AE18F2"/>
    <w:multiLevelType w:val="hybridMultilevel"/>
    <w:tmpl w:val="65C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C7675"/>
    <w:multiLevelType w:val="multilevel"/>
    <w:tmpl w:val="94805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D2FB0"/>
    <w:multiLevelType w:val="hybridMultilevel"/>
    <w:tmpl w:val="3948F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ED7447"/>
    <w:multiLevelType w:val="hybridMultilevel"/>
    <w:tmpl w:val="34E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F81165"/>
    <w:multiLevelType w:val="multilevel"/>
    <w:tmpl w:val="2BC0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4D4033"/>
    <w:multiLevelType w:val="hybridMultilevel"/>
    <w:tmpl w:val="5C50FB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A892DD7"/>
    <w:multiLevelType w:val="hybridMultilevel"/>
    <w:tmpl w:val="A3E28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3"/>
  </w:num>
  <w:num w:numId="4">
    <w:abstractNumId w:val="22"/>
  </w:num>
  <w:num w:numId="5">
    <w:abstractNumId w:val="5"/>
  </w:num>
  <w:num w:numId="6">
    <w:abstractNumId w:val="36"/>
  </w:num>
  <w:num w:numId="7">
    <w:abstractNumId w:val="28"/>
  </w:num>
  <w:num w:numId="8">
    <w:abstractNumId w:val="6"/>
  </w:num>
  <w:num w:numId="9">
    <w:abstractNumId w:val="29"/>
  </w:num>
  <w:num w:numId="10">
    <w:abstractNumId w:val="2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3"/>
  </w:num>
  <w:num w:numId="14">
    <w:abstractNumId w:val="17"/>
  </w:num>
  <w:num w:numId="15">
    <w:abstractNumId w:val="38"/>
  </w:num>
  <w:num w:numId="16">
    <w:abstractNumId w:val="10"/>
  </w:num>
  <w:num w:numId="17">
    <w:abstractNumId w:val="33"/>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42"/>
  </w:num>
  <w:num w:numId="23">
    <w:abstractNumId w:val="4"/>
  </w:num>
  <w:num w:numId="24">
    <w:abstractNumId w:val="39"/>
  </w:num>
  <w:num w:numId="25">
    <w:abstractNumId w:val="27"/>
  </w:num>
  <w:num w:numId="26">
    <w:abstractNumId w:val="32"/>
  </w:num>
  <w:num w:numId="27">
    <w:abstractNumId w:val="30"/>
  </w:num>
  <w:num w:numId="28">
    <w:abstractNumId w:val="2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7"/>
    <w:lvlOverride w:ilvl="0">
      <w:lvl w:ilvl="0" w:tplc="04090019">
        <w:start w:val="1"/>
        <w:numFmt w:val="lowerLetter"/>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9"/>
  </w:num>
  <w:num w:numId="35">
    <w:abstractNumId w:val="2"/>
  </w:num>
  <w:num w:numId="36">
    <w:abstractNumId w:val="16"/>
  </w:num>
  <w:num w:numId="37">
    <w:abstractNumId w:val="1"/>
  </w:num>
  <w:num w:numId="38">
    <w:abstractNumId w:val="18"/>
  </w:num>
  <w:num w:numId="39">
    <w:abstractNumId w:val="40"/>
  </w:num>
  <w:num w:numId="40">
    <w:abstractNumId w:val="24"/>
  </w:num>
  <w:num w:numId="41">
    <w:abstractNumId w:val="34"/>
  </w:num>
  <w:num w:numId="42">
    <w:abstractNumId w:val="3"/>
  </w:num>
  <w:num w:numId="43">
    <w:abstractNumId w:val="35"/>
  </w:num>
  <w:num w:numId="44">
    <w:abstractNumId w:val="37"/>
  </w:num>
  <w:num w:numId="45">
    <w:abstractNumId w:val="19"/>
  </w:num>
  <w:num w:numId="46">
    <w:abstractNumId w:val="26"/>
  </w:num>
  <w:num w:numId="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601D"/>
    <w:rsid w:val="0003002C"/>
    <w:rsid w:val="00031185"/>
    <w:rsid w:val="000327A2"/>
    <w:rsid w:val="000332CA"/>
    <w:rsid w:val="00033C2C"/>
    <w:rsid w:val="00034669"/>
    <w:rsid w:val="00034AA6"/>
    <w:rsid w:val="00036E84"/>
    <w:rsid w:val="00040093"/>
    <w:rsid w:val="000402FE"/>
    <w:rsid w:val="000408DA"/>
    <w:rsid w:val="00042EEC"/>
    <w:rsid w:val="00051513"/>
    <w:rsid w:val="000523AC"/>
    <w:rsid w:val="00054CD3"/>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77E95"/>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2DF4"/>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538B"/>
    <w:rsid w:val="000F7DBA"/>
    <w:rsid w:val="00101428"/>
    <w:rsid w:val="001025F1"/>
    <w:rsid w:val="00102B15"/>
    <w:rsid w:val="001035A1"/>
    <w:rsid w:val="001060CD"/>
    <w:rsid w:val="001062A8"/>
    <w:rsid w:val="00112C9B"/>
    <w:rsid w:val="00113106"/>
    <w:rsid w:val="00113A17"/>
    <w:rsid w:val="001159BF"/>
    <w:rsid w:val="001168CF"/>
    <w:rsid w:val="0011757A"/>
    <w:rsid w:val="00120852"/>
    <w:rsid w:val="00120FB0"/>
    <w:rsid w:val="00122B84"/>
    <w:rsid w:val="001231FC"/>
    <w:rsid w:val="001242A8"/>
    <w:rsid w:val="00125690"/>
    <w:rsid w:val="00125B17"/>
    <w:rsid w:val="00126139"/>
    <w:rsid w:val="0013027B"/>
    <w:rsid w:val="00131A7E"/>
    <w:rsid w:val="0013214E"/>
    <w:rsid w:val="0013216F"/>
    <w:rsid w:val="001331A8"/>
    <w:rsid w:val="0013351B"/>
    <w:rsid w:val="00137DEB"/>
    <w:rsid w:val="00142203"/>
    <w:rsid w:val="00142D36"/>
    <w:rsid w:val="001522CE"/>
    <w:rsid w:val="00154FC2"/>
    <w:rsid w:val="00156511"/>
    <w:rsid w:val="0015685B"/>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70A2"/>
    <w:rsid w:val="001B1286"/>
    <w:rsid w:val="001B1A37"/>
    <w:rsid w:val="001B431B"/>
    <w:rsid w:val="001B4684"/>
    <w:rsid w:val="001B4CA9"/>
    <w:rsid w:val="001B51A3"/>
    <w:rsid w:val="001B5E92"/>
    <w:rsid w:val="001B77B2"/>
    <w:rsid w:val="001B7C93"/>
    <w:rsid w:val="001B7E78"/>
    <w:rsid w:val="001B7F38"/>
    <w:rsid w:val="001C063F"/>
    <w:rsid w:val="001C0E19"/>
    <w:rsid w:val="001C3277"/>
    <w:rsid w:val="001C71D4"/>
    <w:rsid w:val="001D27F2"/>
    <w:rsid w:val="001D2F98"/>
    <w:rsid w:val="001D3AC1"/>
    <w:rsid w:val="001D6150"/>
    <w:rsid w:val="001E076A"/>
    <w:rsid w:val="001E08F5"/>
    <w:rsid w:val="001E18EC"/>
    <w:rsid w:val="001E2473"/>
    <w:rsid w:val="001E3215"/>
    <w:rsid w:val="001E3C7C"/>
    <w:rsid w:val="001E5258"/>
    <w:rsid w:val="001E5BC9"/>
    <w:rsid w:val="001E5D92"/>
    <w:rsid w:val="001E5DAB"/>
    <w:rsid w:val="001E5DCC"/>
    <w:rsid w:val="001E7CA6"/>
    <w:rsid w:val="001F065E"/>
    <w:rsid w:val="001F0994"/>
    <w:rsid w:val="001F7FB0"/>
    <w:rsid w:val="0020095D"/>
    <w:rsid w:val="00200BA0"/>
    <w:rsid w:val="00201204"/>
    <w:rsid w:val="002015B7"/>
    <w:rsid w:val="00204000"/>
    <w:rsid w:val="00204AD2"/>
    <w:rsid w:val="00205246"/>
    <w:rsid w:val="00207578"/>
    <w:rsid w:val="00211AC5"/>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5CC5"/>
    <w:rsid w:val="00246495"/>
    <w:rsid w:val="002512FC"/>
    <w:rsid w:val="00251BF7"/>
    <w:rsid w:val="00251C7C"/>
    <w:rsid w:val="00252AA4"/>
    <w:rsid w:val="00253C2F"/>
    <w:rsid w:val="00263693"/>
    <w:rsid w:val="00264B9A"/>
    <w:rsid w:val="002650A5"/>
    <w:rsid w:val="00267BD3"/>
    <w:rsid w:val="0027058B"/>
    <w:rsid w:val="0027311A"/>
    <w:rsid w:val="00273B7E"/>
    <w:rsid w:val="00277192"/>
    <w:rsid w:val="00280040"/>
    <w:rsid w:val="00280641"/>
    <w:rsid w:val="00280BC9"/>
    <w:rsid w:val="002849B5"/>
    <w:rsid w:val="00285F7A"/>
    <w:rsid w:val="00286118"/>
    <w:rsid w:val="00286426"/>
    <w:rsid w:val="00286448"/>
    <w:rsid w:val="00287705"/>
    <w:rsid w:val="00290428"/>
    <w:rsid w:val="00293B89"/>
    <w:rsid w:val="0029437C"/>
    <w:rsid w:val="0029487F"/>
    <w:rsid w:val="00294925"/>
    <w:rsid w:val="002A0D3E"/>
    <w:rsid w:val="002A2EEC"/>
    <w:rsid w:val="002A6645"/>
    <w:rsid w:val="002A75F1"/>
    <w:rsid w:val="002B099C"/>
    <w:rsid w:val="002B1305"/>
    <w:rsid w:val="002B3D46"/>
    <w:rsid w:val="002B6731"/>
    <w:rsid w:val="002B7668"/>
    <w:rsid w:val="002B7C22"/>
    <w:rsid w:val="002C00D4"/>
    <w:rsid w:val="002C0237"/>
    <w:rsid w:val="002C1D57"/>
    <w:rsid w:val="002C26AD"/>
    <w:rsid w:val="002C2DDE"/>
    <w:rsid w:val="002C4549"/>
    <w:rsid w:val="002C573B"/>
    <w:rsid w:val="002C59B2"/>
    <w:rsid w:val="002C7859"/>
    <w:rsid w:val="002D0C54"/>
    <w:rsid w:val="002D135D"/>
    <w:rsid w:val="002D1B10"/>
    <w:rsid w:val="002D459A"/>
    <w:rsid w:val="002D46A5"/>
    <w:rsid w:val="002D5601"/>
    <w:rsid w:val="002D7B2A"/>
    <w:rsid w:val="002E009B"/>
    <w:rsid w:val="002E0839"/>
    <w:rsid w:val="002E1341"/>
    <w:rsid w:val="002E42E6"/>
    <w:rsid w:val="002E5543"/>
    <w:rsid w:val="002E5C6C"/>
    <w:rsid w:val="002E64EF"/>
    <w:rsid w:val="002E7727"/>
    <w:rsid w:val="002F0CC3"/>
    <w:rsid w:val="002F2555"/>
    <w:rsid w:val="002F2E6F"/>
    <w:rsid w:val="002F3AEB"/>
    <w:rsid w:val="002F4789"/>
    <w:rsid w:val="002F517A"/>
    <w:rsid w:val="002F5B9C"/>
    <w:rsid w:val="002F7FCB"/>
    <w:rsid w:val="00300326"/>
    <w:rsid w:val="00301E0C"/>
    <w:rsid w:val="00302376"/>
    <w:rsid w:val="0030485E"/>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7C0"/>
    <w:rsid w:val="00347749"/>
    <w:rsid w:val="0035406A"/>
    <w:rsid w:val="003540A8"/>
    <w:rsid w:val="00355973"/>
    <w:rsid w:val="00357F29"/>
    <w:rsid w:val="00360AA2"/>
    <w:rsid w:val="0036104B"/>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3FF"/>
    <w:rsid w:val="003875BF"/>
    <w:rsid w:val="00390181"/>
    <w:rsid w:val="00392CF6"/>
    <w:rsid w:val="00392E60"/>
    <w:rsid w:val="00393158"/>
    <w:rsid w:val="003945F6"/>
    <w:rsid w:val="00395097"/>
    <w:rsid w:val="00395147"/>
    <w:rsid w:val="0039606C"/>
    <w:rsid w:val="00396441"/>
    <w:rsid w:val="003A1378"/>
    <w:rsid w:val="003A1509"/>
    <w:rsid w:val="003A1F09"/>
    <w:rsid w:val="003A3728"/>
    <w:rsid w:val="003A42F7"/>
    <w:rsid w:val="003A4342"/>
    <w:rsid w:val="003A6817"/>
    <w:rsid w:val="003A751D"/>
    <w:rsid w:val="003A78BB"/>
    <w:rsid w:val="003B0505"/>
    <w:rsid w:val="003B135A"/>
    <w:rsid w:val="003B2CD9"/>
    <w:rsid w:val="003B2FE2"/>
    <w:rsid w:val="003B3E25"/>
    <w:rsid w:val="003B501D"/>
    <w:rsid w:val="003B6275"/>
    <w:rsid w:val="003B6380"/>
    <w:rsid w:val="003C18EF"/>
    <w:rsid w:val="003C2371"/>
    <w:rsid w:val="003C2622"/>
    <w:rsid w:val="003C3370"/>
    <w:rsid w:val="003C450F"/>
    <w:rsid w:val="003C56B8"/>
    <w:rsid w:val="003C5CC0"/>
    <w:rsid w:val="003C7549"/>
    <w:rsid w:val="003C7AC3"/>
    <w:rsid w:val="003C7B45"/>
    <w:rsid w:val="003D23E9"/>
    <w:rsid w:val="003D260E"/>
    <w:rsid w:val="003D4CD5"/>
    <w:rsid w:val="003D4F94"/>
    <w:rsid w:val="003D5D83"/>
    <w:rsid w:val="003E2828"/>
    <w:rsid w:val="003E7E06"/>
    <w:rsid w:val="003F002E"/>
    <w:rsid w:val="003F1886"/>
    <w:rsid w:val="003F197B"/>
    <w:rsid w:val="003F4E27"/>
    <w:rsid w:val="003F5C8C"/>
    <w:rsid w:val="00401EE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966"/>
    <w:rsid w:val="004240B8"/>
    <w:rsid w:val="00424B20"/>
    <w:rsid w:val="00424F70"/>
    <w:rsid w:val="004257DF"/>
    <w:rsid w:val="004266F5"/>
    <w:rsid w:val="00427B2D"/>
    <w:rsid w:val="00427F2C"/>
    <w:rsid w:val="00427FFD"/>
    <w:rsid w:val="00430A18"/>
    <w:rsid w:val="00432EE4"/>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70CB1"/>
    <w:rsid w:val="004711E0"/>
    <w:rsid w:val="00471B3A"/>
    <w:rsid w:val="004729E9"/>
    <w:rsid w:val="00472F1E"/>
    <w:rsid w:val="00473E53"/>
    <w:rsid w:val="0047691E"/>
    <w:rsid w:val="00485470"/>
    <w:rsid w:val="0048750E"/>
    <w:rsid w:val="00491BCE"/>
    <w:rsid w:val="00494EA8"/>
    <w:rsid w:val="00495D2C"/>
    <w:rsid w:val="00496331"/>
    <w:rsid w:val="004967CB"/>
    <w:rsid w:val="004968E4"/>
    <w:rsid w:val="00497809"/>
    <w:rsid w:val="004A1084"/>
    <w:rsid w:val="004A10B2"/>
    <w:rsid w:val="004A13BF"/>
    <w:rsid w:val="004B0616"/>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80B"/>
    <w:rsid w:val="004D7F38"/>
    <w:rsid w:val="004E19CC"/>
    <w:rsid w:val="004E6735"/>
    <w:rsid w:val="004E78AC"/>
    <w:rsid w:val="004F1996"/>
    <w:rsid w:val="004F3300"/>
    <w:rsid w:val="004F699C"/>
    <w:rsid w:val="005018B0"/>
    <w:rsid w:val="005023A1"/>
    <w:rsid w:val="00502679"/>
    <w:rsid w:val="005027A5"/>
    <w:rsid w:val="005044C4"/>
    <w:rsid w:val="00504A50"/>
    <w:rsid w:val="00505F69"/>
    <w:rsid w:val="00510196"/>
    <w:rsid w:val="0051416A"/>
    <w:rsid w:val="00515EA6"/>
    <w:rsid w:val="005162F8"/>
    <w:rsid w:val="00516FBA"/>
    <w:rsid w:val="00517123"/>
    <w:rsid w:val="00517158"/>
    <w:rsid w:val="00517C4F"/>
    <w:rsid w:val="005200E2"/>
    <w:rsid w:val="0052108C"/>
    <w:rsid w:val="005217A3"/>
    <w:rsid w:val="00524882"/>
    <w:rsid w:val="00524B92"/>
    <w:rsid w:val="00525380"/>
    <w:rsid w:val="005256F6"/>
    <w:rsid w:val="00525B07"/>
    <w:rsid w:val="00527065"/>
    <w:rsid w:val="0052720A"/>
    <w:rsid w:val="0053079F"/>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C63"/>
    <w:rsid w:val="005A1CF6"/>
    <w:rsid w:val="005A226E"/>
    <w:rsid w:val="005A3DC6"/>
    <w:rsid w:val="005A640F"/>
    <w:rsid w:val="005A67DA"/>
    <w:rsid w:val="005B4C00"/>
    <w:rsid w:val="005B5AA4"/>
    <w:rsid w:val="005B6682"/>
    <w:rsid w:val="005B673A"/>
    <w:rsid w:val="005B6741"/>
    <w:rsid w:val="005C31B3"/>
    <w:rsid w:val="005C5462"/>
    <w:rsid w:val="005C5DD2"/>
    <w:rsid w:val="005C6FA6"/>
    <w:rsid w:val="005C78E1"/>
    <w:rsid w:val="005D045D"/>
    <w:rsid w:val="005D07BC"/>
    <w:rsid w:val="005D3CC2"/>
    <w:rsid w:val="005D7133"/>
    <w:rsid w:val="005E3BAF"/>
    <w:rsid w:val="005E41B3"/>
    <w:rsid w:val="005E67FA"/>
    <w:rsid w:val="005F1A7B"/>
    <w:rsid w:val="005F1E89"/>
    <w:rsid w:val="005F2F3A"/>
    <w:rsid w:val="005F6F48"/>
    <w:rsid w:val="00600FA0"/>
    <w:rsid w:val="00602931"/>
    <w:rsid w:val="00602B8C"/>
    <w:rsid w:val="006036CB"/>
    <w:rsid w:val="006044BB"/>
    <w:rsid w:val="00606B26"/>
    <w:rsid w:val="00607C5E"/>
    <w:rsid w:val="006110AA"/>
    <w:rsid w:val="006111FB"/>
    <w:rsid w:val="00615779"/>
    <w:rsid w:val="006165D5"/>
    <w:rsid w:val="00621080"/>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5D9E"/>
    <w:rsid w:val="006761E8"/>
    <w:rsid w:val="00676BDC"/>
    <w:rsid w:val="006829EA"/>
    <w:rsid w:val="006838FD"/>
    <w:rsid w:val="006848C7"/>
    <w:rsid w:val="00684B33"/>
    <w:rsid w:val="00686035"/>
    <w:rsid w:val="006904DD"/>
    <w:rsid w:val="00690964"/>
    <w:rsid w:val="0069180E"/>
    <w:rsid w:val="00691FC0"/>
    <w:rsid w:val="00695486"/>
    <w:rsid w:val="00696A95"/>
    <w:rsid w:val="006A02A0"/>
    <w:rsid w:val="006A0456"/>
    <w:rsid w:val="006A1D5E"/>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11E7A"/>
    <w:rsid w:val="00713AFE"/>
    <w:rsid w:val="00713B9F"/>
    <w:rsid w:val="00714C66"/>
    <w:rsid w:val="0071520E"/>
    <w:rsid w:val="00721EA5"/>
    <w:rsid w:val="00725A18"/>
    <w:rsid w:val="00730421"/>
    <w:rsid w:val="00732344"/>
    <w:rsid w:val="00733DC5"/>
    <w:rsid w:val="00734984"/>
    <w:rsid w:val="00737FCE"/>
    <w:rsid w:val="00741A1F"/>
    <w:rsid w:val="0074308F"/>
    <w:rsid w:val="00744857"/>
    <w:rsid w:val="00745BDA"/>
    <w:rsid w:val="007508FF"/>
    <w:rsid w:val="00751BE4"/>
    <w:rsid w:val="00751D1E"/>
    <w:rsid w:val="007529F5"/>
    <w:rsid w:val="00752FE5"/>
    <w:rsid w:val="00755F5F"/>
    <w:rsid w:val="0075632D"/>
    <w:rsid w:val="00762F3C"/>
    <w:rsid w:val="007653EB"/>
    <w:rsid w:val="0076668D"/>
    <w:rsid w:val="00770D15"/>
    <w:rsid w:val="00772375"/>
    <w:rsid w:val="007728FA"/>
    <w:rsid w:val="007828FE"/>
    <w:rsid w:val="007858BA"/>
    <w:rsid w:val="007873A4"/>
    <w:rsid w:val="00790A31"/>
    <w:rsid w:val="007914E5"/>
    <w:rsid w:val="007926EB"/>
    <w:rsid w:val="00794EC7"/>
    <w:rsid w:val="00796079"/>
    <w:rsid w:val="00796AE2"/>
    <w:rsid w:val="00796D98"/>
    <w:rsid w:val="007971C1"/>
    <w:rsid w:val="00797C54"/>
    <w:rsid w:val="00797FED"/>
    <w:rsid w:val="007A0723"/>
    <w:rsid w:val="007A16FA"/>
    <w:rsid w:val="007A2C3D"/>
    <w:rsid w:val="007A4F5E"/>
    <w:rsid w:val="007B1400"/>
    <w:rsid w:val="007B23BE"/>
    <w:rsid w:val="007B333C"/>
    <w:rsid w:val="007B56C0"/>
    <w:rsid w:val="007B6494"/>
    <w:rsid w:val="007B69E4"/>
    <w:rsid w:val="007B7795"/>
    <w:rsid w:val="007C0D05"/>
    <w:rsid w:val="007C1269"/>
    <w:rsid w:val="007C2EC6"/>
    <w:rsid w:val="007C2F2E"/>
    <w:rsid w:val="007C4864"/>
    <w:rsid w:val="007C637E"/>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4648"/>
    <w:rsid w:val="00815E5F"/>
    <w:rsid w:val="00817730"/>
    <w:rsid w:val="0082017C"/>
    <w:rsid w:val="008216C0"/>
    <w:rsid w:val="00821F11"/>
    <w:rsid w:val="00822000"/>
    <w:rsid w:val="00822708"/>
    <w:rsid w:val="008241F9"/>
    <w:rsid w:val="00824543"/>
    <w:rsid w:val="008260FD"/>
    <w:rsid w:val="00826508"/>
    <w:rsid w:val="00826516"/>
    <w:rsid w:val="00827082"/>
    <w:rsid w:val="008274FC"/>
    <w:rsid w:val="00830568"/>
    <w:rsid w:val="008310F8"/>
    <w:rsid w:val="00831801"/>
    <w:rsid w:val="008322C1"/>
    <w:rsid w:val="008339C4"/>
    <w:rsid w:val="008342B0"/>
    <w:rsid w:val="00835C52"/>
    <w:rsid w:val="00836C6F"/>
    <w:rsid w:val="00836F47"/>
    <w:rsid w:val="008401B6"/>
    <w:rsid w:val="008409BC"/>
    <w:rsid w:val="00840B47"/>
    <w:rsid w:val="00841521"/>
    <w:rsid w:val="0084266E"/>
    <w:rsid w:val="00851798"/>
    <w:rsid w:val="0085440E"/>
    <w:rsid w:val="00855AEB"/>
    <w:rsid w:val="008565E4"/>
    <w:rsid w:val="00862278"/>
    <w:rsid w:val="0086328C"/>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21F1"/>
    <w:rsid w:val="008D2D68"/>
    <w:rsid w:val="008D35CD"/>
    <w:rsid w:val="008D45A6"/>
    <w:rsid w:val="008D545A"/>
    <w:rsid w:val="008D5814"/>
    <w:rsid w:val="008D5844"/>
    <w:rsid w:val="008D5F17"/>
    <w:rsid w:val="008D7F0E"/>
    <w:rsid w:val="008E09EB"/>
    <w:rsid w:val="008E0C68"/>
    <w:rsid w:val="008E19EA"/>
    <w:rsid w:val="008E407D"/>
    <w:rsid w:val="008E4387"/>
    <w:rsid w:val="008E478E"/>
    <w:rsid w:val="008E7082"/>
    <w:rsid w:val="008F0431"/>
    <w:rsid w:val="008F189A"/>
    <w:rsid w:val="008F2F73"/>
    <w:rsid w:val="008F3D95"/>
    <w:rsid w:val="008F60AF"/>
    <w:rsid w:val="008F735D"/>
    <w:rsid w:val="008F7FB7"/>
    <w:rsid w:val="00901B7C"/>
    <w:rsid w:val="0090451C"/>
    <w:rsid w:val="009058C3"/>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431"/>
    <w:rsid w:val="0093387E"/>
    <w:rsid w:val="00933CD4"/>
    <w:rsid w:val="00936003"/>
    <w:rsid w:val="0093634D"/>
    <w:rsid w:val="00936386"/>
    <w:rsid w:val="00937807"/>
    <w:rsid w:val="0094426C"/>
    <w:rsid w:val="009468E4"/>
    <w:rsid w:val="00946C52"/>
    <w:rsid w:val="009505A6"/>
    <w:rsid w:val="009510D6"/>
    <w:rsid w:val="009562F9"/>
    <w:rsid w:val="009600BE"/>
    <w:rsid w:val="00961809"/>
    <w:rsid w:val="00962741"/>
    <w:rsid w:val="00962D1E"/>
    <w:rsid w:val="00962E29"/>
    <w:rsid w:val="00964BE7"/>
    <w:rsid w:val="009656C0"/>
    <w:rsid w:val="00965B77"/>
    <w:rsid w:val="00965D70"/>
    <w:rsid w:val="00966853"/>
    <w:rsid w:val="00967654"/>
    <w:rsid w:val="00967B63"/>
    <w:rsid w:val="00970CD6"/>
    <w:rsid w:val="00971322"/>
    <w:rsid w:val="00972679"/>
    <w:rsid w:val="009753C3"/>
    <w:rsid w:val="00975DE1"/>
    <w:rsid w:val="00976946"/>
    <w:rsid w:val="00976FFA"/>
    <w:rsid w:val="00980EF2"/>
    <w:rsid w:val="00981739"/>
    <w:rsid w:val="00981C37"/>
    <w:rsid w:val="00983A32"/>
    <w:rsid w:val="00983D94"/>
    <w:rsid w:val="0098448F"/>
    <w:rsid w:val="00985213"/>
    <w:rsid w:val="0098733F"/>
    <w:rsid w:val="00987982"/>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C90"/>
    <w:rsid w:val="009B04C9"/>
    <w:rsid w:val="009B1685"/>
    <w:rsid w:val="009B3C2C"/>
    <w:rsid w:val="009B49B7"/>
    <w:rsid w:val="009B4B1A"/>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4F2"/>
    <w:rsid w:val="009E3DE3"/>
    <w:rsid w:val="009E5AF7"/>
    <w:rsid w:val="009E6C30"/>
    <w:rsid w:val="009E7CA5"/>
    <w:rsid w:val="009E7D96"/>
    <w:rsid w:val="009F2C78"/>
    <w:rsid w:val="009F455B"/>
    <w:rsid w:val="009F46C8"/>
    <w:rsid w:val="009F5991"/>
    <w:rsid w:val="009F7D34"/>
    <w:rsid w:val="00A00349"/>
    <w:rsid w:val="00A00748"/>
    <w:rsid w:val="00A00A6D"/>
    <w:rsid w:val="00A00A9A"/>
    <w:rsid w:val="00A00D54"/>
    <w:rsid w:val="00A01D97"/>
    <w:rsid w:val="00A06513"/>
    <w:rsid w:val="00A06716"/>
    <w:rsid w:val="00A06BFC"/>
    <w:rsid w:val="00A11924"/>
    <w:rsid w:val="00A12DE6"/>
    <w:rsid w:val="00A13374"/>
    <w:rsid w:val="00A13A76"/>
    <w:rsid w:val="00A143FE"/>
    <w:rsid w:val="00A17E02"/>
    <w:rsid w:val="00A2408A"/>
    <w:rsid w:val="00A2589F"/>
    <w:rsid w:val="00A25C9F"/>
    <w:rsid w:val="00A25EC6"/>
    <w:rsid w:val="00A26559"/>
    <w:rsid w:val="00A27599"/>
    <w:rsid w:val="00A30BE4"/>
    <w:rsid w:val="00A35412"/>
    <w:rsid w:val="00A36B76"/>
    <w:rsid w:val="00A40D3E"/>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2AAF"/>
    <w:rsid w:val="00A83732"/>
    <w:rsid w:val="00A85556"/>
    <w:rsid w:val="00A87C81"/>
    <w:rsid w:val="00A87D31"/>
    <w:rsid w:val="00A90064"/>
    <w:rsid w:val="00A911BF"/>
    <w:rsid w:val="00A9148A"/>
    <w:rsid w:val="00A927B9"/>
    <w:rsid w:val="00A94D0D"/>
    <w:rsid w:val="00A95F9E"/>
    <w:rsid w:val="00AA125F"/>
    <w:rsid w:val="00AA3DC4"/>
    <w:rsid w:val="00AA6344"/>
    <w:rsid w:val="00AA6C4A"/>
    <w:rsid w:val="00AA74F6"/>
    <w:rsid w:val="00AA7E76"/>
    <w:rsid w:val="00AB0A38"/>
    <w:rsid w:val="00AB0F7F"/>
    <w:rsid w:val="00AB2C8D"/>
    <w:rsid w:val="00AB2D06"/>
    <w:rsid w:val="00AB4598"/>
    <w:rsid w:val="00AB5270"/>
    <w:rsid w:val="00AB6C8F"/>
    <w:rsid w:val="00AB6F09"/>
    <w:rsid w:val="00AC0628"/>
    <w:rsid w:val="00AC1608"/>
    <w:rsid w:val="00AC361B"/>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5941"/>
    <w:rsid w:val="00B06081"/>
    <w:rsid w:val="00B1152A"/>
    <w:rsid w:val="00B13DEC"/>
    <w:rsid w:val="00B15CDB"/>
    <w:rsid w:val="00B175B0"/>
    <w:rsid w:val="00B2118C"/>
    <w:rsid w:val="00B22381"/>
    <w:rsid w:val="00B230A1"/>
    <w:rsid w:val="00B23991"/>
    <w:rsid w:val="00B27BC6"/>
    <w:rsid w:val="00B315EC"/>
    <w:rsid w:val="00B328A3"/>
    <w:rsid w:val="00B356D7"/>
    <w:rsid w:val="00B3627F"/>
    <w:rsid w:val="00B362C5"/>
    <w:rsid w:val="00B3641D"/>
    <w:rsid w:val="00B3727B"/>
    <w:rsid w:val="00B420C9"/>
    <w:rsid w:val="00B42E7C"/>
    <w:rsid w:val="00B45E6B"/>
    <w:rsid w:val="00B479C1"/>
    <w:rsid w:val="00B50947"/>
    <w:rsid w:val="00B51D15"/>
    <w:rsid w:val="00B52CE0"/>
    <w:rsid w:val="00B57E8D"/>
    <w:rsid w:val="00B6111D"/>
    <w:rsid w:val="00B62672"/>
    <w:rsid w:val="00B633F0"/>
    <w:rsid w:val="00B64803"/>
    <w:rsid w:val="00B650A1"/>
    <w:rsid w:val="00B6622F"/>
    <w:rsid w:val="00B6659F"/>
    <w:rsid w:val="00B701FD"/>
    <w:rsid w:val="00B70D53"/>
    <w:rsid w:val="00B7373E"/>
    <w:rsid w:val="00B73840"/>
    <w:rsid w:val="00B73DF0"/>
    <w:rsid w:val="00B7409C"/>
    <w:rsid w:val="00B744C7"/>
    <w:rsid w:val="00B76B9E"/>
    <w:rsid w:val="00B778F6"/>
    <w:rsid w:val="00B77F71"/>
    <w:rsid w:val="00B818F9"/>
    <w:rsid w:val="00B83ED1"/>
    <w:rsid w:val="00B8408E"/>
    <w:rsid w:val="00B8449D"/>
    <w:rsid w:val="00B85A4A"/>
    <w:rsid w:val="00B85BFF"/>
    <w:rsid w:val="00B90D42"/>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D01C4"/>
    <w:rsid w:val="00BD1008"/>
    <w:rsid w:val="00BD2335"/>
    <w:rsid w:val="00BD2DB9"/>
    <w:rsid w:val="00BD4D1A"/>
    <w:rsid w:val="00BD5432"/>
    <w:rsid w:val="00BD58FE"/>
    <w:rsid w:val="00BD6BD7"/>
    <w:rsid w:val="00BD74F4"/>
    <w:rsid w:val="00BD7545"/>
    <w:rsid w:val="00BE182D"/>
    <w:rsid w:val="00BE1D9C"/>
    <w:rsid w:val="00BE22DB"/>
    <w:rsid w:val="00BE2B2E"/>
    <w:rsid w:val="00BE47AA"/>
    <w:rsid w:val="00BE4BBB"/>
    <w:rsid w:val="00BE6FCB"/>
    <w:rsid w:val="00BE7810"/>
    <w:rsid w:val="00BE7D27"/>
    <w:rsid w:val="00BF0091"/>
    <w:rsid w:val="00BF4172"/>
    <w:rsid w:val="00BF4860"/>
    <w:rsid w:val="00BF68D9"/>
    <w:rsid w:val="00BF7186"/>
    <w:rsid w:val="00BF7BAE"/>
    <w:rsid w:val="00C00438"/>
    <w:rsid w:val="00C0059F"/>
    <w:rsid w:val="00C01611"/>
    <w:rsid w:val="00C030C4"/>
    <w:rsid w:val="00C0456F"/>
    <w:rsid w:val="00C0578F"/>
    <w:rsid w:val="00C07638"/>
    <w:rsid w:val="00C07733"/>
    <w:rsid w:val="00C1163F"/>
    <w:rsid w:val="00C12235"/>
    <w:rsid w:val="00C1514D"/>
    <w:rsid w:val="00C16E1F"/>
    <w:rsid w:val="00C21D13"/>
    <w:rsid w:val="00C22012"/>
    <w:rsid w:val="00C26CCA"/>
    <w:rsid w:val="00C314AC"/>
    <w:rsid w:val="00C32614"/>
    <w:rsid w:val="00C32749"/>
    <w:rsid w:val="00C34144"/>
    <w:rsid w:val="00C34B89"/>
    <w:rsid w:val="00C360B1"/>
    <w:rsid w:val="00C409C3"/>
    <w:rsid w:val="00C421CF"/>
    <w:rsid w:val="00C443C3"/>
    <w:rsid w:val="00C47FD4"/>
    <w:rsid w:val="00C51249"/>
    <w:rsid w:val="00C54E38"/>
    <w:rsid w:val="00C55A0C"/>
    <w:rsid w:val="00C60231"/>
    <w:rsid w:val="00C6096B"/>
    <w:rsid w:val="00C61A7A"/>
    <w:rsid w:val="00C61D7B"/>
    <w:rsid w:val="00C61E64"/>
    <w:rsid w:val="00C63277"/>
    <w:rsid w:val="00C64603"/>
    <w:rsid w:val="00C64EFC"/>
    <w:rsid w:val="00C656B6"/>
    <w:rsid w:val="00C65971"/>
    <w:rsid w:val="00C65B92"/>
    <w:rsid w:val="00C65C2C"/>
    <w:rsid w:val="00C71363"/>
    <w:rsid w:val="00C71D06"/>
    <w:rsid w:val="00C7239C"/>
    <w:rsid w:val="00C72A8C"/>
    <w:rsid w:val="00C805CD"/>
    <w:rsid w:val="00C82543"/>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507E"/>
    <w:rsid w:val="00CA5E3D"/>
    <w:rsid w:val="00CA7AFC"/>
    <w:rsid w:val="00CB2A2E"/>
    <w:rsid w:val="00CB52AE"/>
    <w:rsid w:val="00CC141A"/>
    <w:rsid w:val="00CC53C8"/>
    <w:rsid w:val="00CC7A7C"/>
    <w:rsid w:val="00CD01D5"/>
    <w:rsid w:val="00CD0CCB"/>
    <w:rsid w:val="00CD1A3D"/>
    <w:rsid w:val="00CD1EAE"/>
    <w:rsid w:val="00CD1EDE"/>
    <w:rsid w:val="00CD204C"/>
    <w:rsid w:val="00CD5DD3"/>
    <w:rsid w:val="00CD66A5"/>
    <w:rsid w:val="00CE32B3"/>
    <w:rsid w:val="00CE53C8"/>
    <w:rsid w:val="00CE7EA4"/>
    <w:rsid w:val="00CF0D93"/>
    <w:rsid w:val="00D0004A"/>
    <w:rsid w:val="00D019B3"/>
    <w:rsid w:val="00D02351"/>
    <w:rsid w:val="00D03F28"/>
    <w:rsid w:val="00D06462"/>
    <w:rsid w:val="00D07CE0"/>
    <w:rsid w:val="00D100A8"/>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36A7"/>
    <w:rsid w:val="00D54BD4"/>
    <w:rsid w:val="00D55355"/>
    <w:rsid w:val="00D55520"/>
    <w:rsid w:val="00D5561F"/>
    <w:rsid w:val="00D57784"/>
    <w:rsid w:val="00D606B7"/>
    <w:rsid w:val="00D607B5"/>
    <w:rsid w:val="00D642E0"/>
    <w:rsid w:val="00D655FB"/>
    <w:rsid w:val="00D668B0"/>
    <w:rsid w:val="00D67E74"/>
    <w:rsid w:val="00D71C45"/>
    <w:rsid w:val="00D72421"/>
    <w:rsid w:val="00D72EF5"/>
    <w:rsid w:val="00D72FEA"/>
    <w:rsid w:val="00D80B51"/>
    <w:rsid w:val="00D82445"/>
    <w:rsid w:val="00D85839"/>
    <w:rsid w:val="00D86266"/>
    <w:rsid w:val="00D86897"/>
    <w:rsid w:val="00D87877"/>
    <w:rsid w:val="00D904BE"/>
    <w:rsid w:val="00D909C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46B6"/>
    <w:rsid w:val="00DB477A"/>
    <w:rsid w:val="00DB47C7"/>
    <w:rsid w:val="00DB4CDD"/>
    <w:rsid w:val="00DB5B62"/>
    <w:rsid w:val="00DB7D42"/>
    <w:rsid w:val="00DC1CD9"/>
    <w:rsid w:val="00DC2E5F"/>
    <w:rsid w:val="00DC5F79"/>
    <w:rsid w:val="00DC5FB0"/>
    <w:rsid w:val="00DC7B43"/>
    <w:rsid w:val="00DD20D4"/>
    <w:rsid w:val="00DD2445"/>
    <w:rsid w:val="00DD2909"/>
    <w:rsid w:val="00DD4888"/>
    <w:rsid w:val="00DD4ADF"/>
    <w:rsid w:val="00DE14E5"/>
    <w:rsid w:val="00DE20E9"/>
    <w:rsid w:val="00DE2ADA"/>
    <w:rsid w:val="00DE39F2"/>
    <w:rsid w:val="00DE5A6C"/>
    <w:rsid w:val="00DE5B71"/>
    <w:rsid w:val="00DE6A1E"/>
    <w:rsid w:val="00DE74C7"/>
    <w:rsid w:val="00DE76F4"/>
    <w:rsid w:val="00DF206D"/>
    <w:rsid w:val="00DF21F9"/>
    <w:rsid w:val="00DF2D04"/>
    <w:rsid w:val="00DF5215"/>
    <w:rsid w:val="00DF62C7"/>
    <w:rsid w:val="00DF6E2F"/>
    <w:rsid w:val="00E0196B"/>
    <w:rsid w:val="00E025EF"/>
    <w:rsid w:val="00E02D5D"/>
    <w:rsid w:val="00E04870"/>
    <w:rsid w:val="00E0544A"/>
    <w:rsid w:val="00E1126B"/>
    <w:rsid w:val="00E12EDB"/>
    <w:rsid w:val="00E13BA5"/>
    <w:rsid w:val="00E155CB"/>
    <w:rsid w:val="00E21219"/>
    <w:rsid w:val="00E21A99"/>
    <w:rsid w:val="00E22314"/>
    <w:rsid w:val="00E22590"/>
    <w:rsid w:val="00E2474A"/>
    <w:rsid w:val="00E30362"/>
    <w:rsid w:val="00E31857"/>
    <w:rsid w:val="00E31E52"/>
    <w:rsid w:val="00E37AFB"/>
    <w:rsid w:val="00E40230"/>
    <w:rsid w:val="00E41EB7"/>
    <w:rsid w:val="00E42FC0"/>
    <w:rsid w:val="00E47F83"/>
    <w:rsid w:val="00E50229"/>
    <w:rsid w:val="00E50F6D"/>
    <w:rsid w:val="00E52A01"/>
    <w:rsid w:val="00E53675"/>
    <w:rsid w:val="00E542C5"/>
    <w:rsid w:val="00E562DD"/>
    <w:rsid w:val="00E61D3C"/>
    <w:rsid w:val="00E62C35"/>
    <w:rsid w:val="00E62EEE"/>
    <w:rsid w:val="00E63DE2"/>
    <w:rsid w:val="00E67CA4"/>
    <w:rsid w:val="00E70CCD"/>
    <w:rsid w:val="00E72680"/>
    <w:rsid w:val="00E744B5"/>
    <w:rsid w:val="00E7451B"/>
    <w:rsid w:val="00E75027"/>
    <w:rsid w:val="00E75ED7"/>
    <w:rsid w:val="00E76441"/>
    <w:rsid w:val="00E772E0"/>
    <w:rsid w:val="00E81EEB"/>
    <w:rsid w:val="00E82797"/>
    <w:rsid w:val="00E839B2"/>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557A"/>
    <w:rsid w:val="00EA78A8"/>
    <w:rsid w:val="00EB2D7C"/>
    <w:rsid w:val="00EB4963"/>
    <w:rsid w:val="00EB4BF2"/>
    <w:rsid w:val="00EB5D18"/>
    <w:rsid w:val="00EB784A"/>
    <w:rsid w:val="00EC1DB2"/>
    <w:rsid w:val="00EC1F34"/>
    <w:rsid w:val="00EC28C2"/>
    <w:rsid w:val="00EC3339"/>
    <w:rsid w:val="00EC3CD3"/>
    <w:rsid w:val="00EC5514"/>
    <w:rsid w:val="00EC7393"/>
    <w:rsid w:val="00EC7522"/>
    <w:rsid w:val="00EC7AE9"/>
    <w:rsid w:val="00ED0076"/>
    <w:rsid w:val="00ED2364"/>
    <w:rsid w:val="00ED2903"/>
    <w:rsid w:val="00ED3386"/>
    <w:rsid w:val="00EE00C1"/>
    <w:rsid w:val="00EE36ED"/>
    <w:rsid w:val="00EE6729"/>
    <w:rsid w:val="00EE704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2778"/>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BE7"/>
    <w:rsid w:val="00F7043F"/>
    <w:rsid w:val="00F72535"/>
    <w:rsid w:val="00F729E6"/>
    <w:rsid w:val="00F734F5"/>
    <w:rsid w:val="00F73803"/>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47E8"/>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E7E91"/>
    <w:rsid w:val="00FF11EF"/>
    <w:rsid w:val="00FF1B5D"/>
    <w:rsid w:val="00FF2BB7"/>
    <w:rsid w:val="00FF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2564111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061438">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276055830">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89a210b6f8738c4fa13db242491be8df&amp;mc=true&amp;node=sg38.1.3_1461.sg15&amp;rgn=div7" TargetMode="External"/><Relationship Id="rId18"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3" Type="http://schemas.openxmlformats.org/officeDocument/2006/relationships/customXml" Target="../customXml/item3.xml"/><Relationship Id="rId21" Type="http://schemas.openxmlformats.org/officeDocument/2006/relationships/hyperlink" Target="mailto:PFPOLPROC.VBACO@v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vbaw.vba.va.gov/VetsNet/Claims_Docs/webhelp/Claim_Development1.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vbaw.vba.va.gov/VBMS/docs/VBMS_Release_9_0_UserGuide.pdf" TargetMode="External"/><Relationship Id="rId20" Type="http://schemas.openxmlformats.org/officeDocument/2006/relationships/hyperlink" Target="mailto:PFTNGQUALOVRST.VBACO@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072/M21-1-Part-I-Chapter-2-Section-B-Notice-of-Proposed-Adverse-Action" TargetMode="External"/><Relationship Id="rId23" Type="http://schemas.openxmlformats.org/officeDocument/2006/relationships/hyperlink" Target="mailto:PFBUSMGMT.VBAVACO@va.gov" TargetMode="External"/><Relationship Id="rId10" Type="http://schemas.openxmlformats.org/officeDocument/2006/relationships/endnotes" Target="endnotes.xml"/><Relationship Id="rId19" Type="http://schemas.openxmlformats.org/officeDocument/2006/relationships/hyperlink" Target="https://www.ecfr.gov/cgi-bin/text-idx?SID=d042eb3474dc1f6c89d47fde88f1ab64&amp;mc=true&amp;node=se38.1.3_1103&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978ba41dc474ae71c07e1ada133edefd&amp;mc=true&amp;node=se38.1.3_1103&amp;rgn=div8" TargetMode="External"/><Relationship Id="rId22" Type="http://schemas.openxmlformats.org/officeDocument/2006/relationships/hyperlink" Target="mailto:PFTNGQUALOVRST.VBACO@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3.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2D9D07-98B1-4DA1-B7DB-4442D10D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Field Inquiry Responses</vt:lpstr>
    </vt:vector>
  </TitlesOfParts>
  <Company>Veterans Benefits Administration</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Inquiry Responses</dc:title>
  <dc:creator>Department of Veterans Affairs, Veterans Benefits Administration, Pension Service, STAFF</dc:creator>
  <cp:lastModifiedBy>Kathy Poole</cp:lastModifiedBy>
  <cp:revision>5</cp:revision>
  <cp:lastPrinted>2019-03-18T19:38:00Z</cp:lastPrinted>
  <dcterms:created xsi:type="dcterms:W3CDTF">2019-12-13T02:05:00Z</dcterms:created>
  <dcterms:modified xsi:type="dcterms:W3CDTF">2019-12-16T14:17:00Z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Guide</vt:lpwstr>
  </property>
</Properties>
</file>