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B008B" w14:textId="4477562F" w:rsidR="007A5600" w:rsidRDefault="00C64F3E">
      <w:pPr>
        <w:pStyle w:val="VBALessonPlanName"/>
      </w:pPr>
      <w:proofErr w:type="spellStart"/>
      <w:r>
        <w:rPr>
          <w:color w:val="auto"/>
        </w:rPr>
        <w:t>Codesheet</w:t>
      </w:r>
      <w:proofErr w:type="spellEnd"/>
      <w:r>
        <w:rPr>
          <w:color w:val="auto"/>
        </w:rPr>
        <w:t xml:space="preserve"> Compliance</w:t>
      </w:r>
    </w:p>
    <w:p w14:paraId="7260CF4D" w14:textId="77777777" w:rsidR="007A5600" w:rsidRDefault="007A5600">
      <w:pPr>
        <w:pStyle w:val="VBALessonPlanTitle"/>
        <w:rPr>
          <w:color w:val="auto"/>
        </w:rPr>
      </w:pPr>
      <w:bookmarkStart w:id="0" w:name="_Toc276556863"/>
      <w:r>
        <w:rPr>
          <w:color w:val="auto"/>
        </w:rPr>
        <w:t>Trainee Handout</w:t>
      </w:r>
      <w:bookmarkEnd w:id="0"/>
    </w:p>
    <w:p w14:paraId="06FDB204" w14:textId="77777777" w:rsidR="007A5600" w:rsidRDefault="007A5600">
      <w:pPr>
        <w:pStyle w:val="VBATopicHeading1"/>
      </w:pPr>
      <w:bookmarkStart w:id="1" w:name="_Toc276556864"/>
    </w:p>
    <w:p w14:paraId="4DA2EC70"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7E556C3C" w14:textId="77777777" w:rsidR="007A5600" w:rsidRDefault="007A5600"/>
    <w:p w14:paraId="7A2241BF" w14:textId="121AE1A1" w:rsidR="00883738"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525071665" w:history="1">
        <w:r w:rsidR="00883738" w:rsidRPr="00485250">
          <w:rPr>
            <w:rStyle w:val="Hyperlink"/>
          </w:rPr>
          <w:t>Objectives</w:t>
        </w:r>
        <w:r w:rsidR="00883738">
          <w:rPr>
            <w:webHidden/>
          </w:rPr>
          <w:tab/>
        </w:r>
        <w:r w:rsidR="00883738">
          <w:rPr>
            <w:webHidden/>
          </w:rPr>
          <w:fldChar w:fldCharType="begin"/>
        </w:r>
        <w:r w:rsidR="00883738">
          <w:rPr>
            <w:webHidden/>
          </w:rPr>
          <w:instrText xml:space="preserve"> PAGEREF _Toc525071665 \h </w:instrText>
        </w:r>
        <w:r w:rsidR="00883738">
          <w:rPr>
            <w:webHidden/>
          </w:rPr>
        </w:r>
        <w:r w:rsidR="00883738">
          <w:rPr>
            <w:webHidden/>
          </w:rPr>
          <w:fldChar w:fldCharType="separate"/>
        </w:r>
        <w:r w:rsidR="00883738">
          <w:rPr>
            <w:webHidden/>
          </w:rPr>
          <w:t>2</w:t>
        </w:r>
        <w:r w:rsidR="00883738">
          <w:rPr>
            <w:webHidden/>
          </w:rPr>
          <w:fldChar w:fldCharType="end"/>
        </w:r>
      </w:hyperlink>
    </w:p>
    <w:p w14:paraId="0F412CA2" w14:textId="201E53A0" w:rsidR="00883738" w:rsidRDefault="006B368C">
      <w:pPr>
        <w:pStyle w:val="TOC1"/>
        <w:rPr>
          <w:rFonts w:asciiTheme="minorHAnsi" w:eastAsiaTheme="minorEastAsia" w:hAnsiTheme="minorHAnsi" w:cstheme="minorBidi"/>
          <w:sz w:val="22"/>
        </w:rPr>
      </w:pPr>
      <w:hyperlink w:anchor="_Toc525071666" w:history="1">
        <w:r w:rsidR="00883738" w:rsidRPr="00485250">
          <w:rPr>
            <w:rStyle w:val="Hyperlink"/>
          </w:rPr>
          <w:t>References</w:t>
        </w:r>
        <w:r w:rsidR="00883738">
          <w:rPr>
            <w:webHidden/>
          </w:rPr>
          <w:tab/>
        </w:r>
        <w:r w:rsidR="00883738">
          <w:rPr>
            <w:webHidden/>
          </w:rPr>
          <w:fldChar w:fldCharType="begin"/>
        </w:r>
        <w:r w:rsidR="00883738">
          <w:rPr>
            <w:webHidden/>
          </w:rPr>
          <w:instrText xml:space="preserve"> PAGEREF _Toc525071666 \h </w:instrText>
        </w:r>
        <w:r w:rsidR="00883738">
          <w:rPr>
            <w:webHidden/>
          </w:rPr>
        </w:r>
        <w:r w:rsidR="00883738">
          <w:rPr>
            <w:webHidden/>
          </w:rPr>
          <w:fldChar w:fldCharType="separate"/>
        </w:r>
        <w:r w:rsidR="00883738">
          <w:rPr>
            <w:webHidden/>
          </w:rPr>
          <w:t>3</w:t>
        </w:r>
        <w:r w:rsidR="00883738">
          <w:rPr>
            <w:webHidden/>
          </w:rPr>
          <w:fldChar w:fldCharType="end"/>
        </w:r>
      </w:hyperlink>
    </w:p>
    <w:p w14:paraId="5259FA39" w14:textId="39C5A9AA" w:rsidR="00883738" w:rsidRDefault="006B368C">
      <w:pPr>
        <w:pStyle w:val="TOC1"/>
        <w:rPr>
          <w:rFonts w:asciiTheme="minorHAnsi" w:eastAsiaTheme="minorEastAsia" w:hAnsiTheme="minorHAnsi" w:cstheme="minorBidi"/>
          <w:sz w:val="22"/>
        </w:rPr>
      </w:pPr>
      <w:hyperlink w:anchor="_Toc525071667" w:history="1">
        <w:r w:rsidR="00883738" w:rsidRPr="00485250">
          <w:rPr>
            <w:rStyle w:val="Hyperlink"/>
          </w:rPr>
          <w:t>Topic 1:</w:t>
        </w:r>
        <w:r w:rsidR="00A775CD">
          <w:rPr>
            <w:rStyle w:val="Hyperlink"/>
          </w:rPr>
          <w:t xml:space="preserve"> </w:t>
        </w:r>
        <w:r w:rsidR="00883738" w:rsidRPr="00485250">
          <w:rPr>
            <w:rStyle w:val="Hyperlink"/>
          </w:rPr>
          <w:t>Codesheet Compliance</w:t>
        </w:r>
        <w:r w:rsidR="00883738">
          <w:rPr>
            <w:webHidden/>
          </w:rPr>
          <w:tab/>
        </w:r>
        <w:r w:rsidR="00883738">
          <w:rPr>
            <w:webHidden/>
          </w:rPr>
          <w:fldChar w:fldCharType="begin"/>
        </w:r>
        <w:r w:rsidR="00883738">
          <w:rPr>
            <w:webHidden/>
          </w:rPr>
          <w:instrText xml:space="preserve"> PAGEREF _Toc525071667 \h </w:instrText>
        </w:r>
        <w:r w:rsidR="00883738">
          <w:rPr>
            <w:webHidden/>
          </w:rPr>
        </w:r>
        <w:r w:rsidR="00883738">
          <w:rPr>
            <w:webHidden/>
          </w:rPr>
          <w:fldChar w:fldCharType="separate"/>
        </w:r>
        <w:r w:rsidR="00883738">
          <w:rPr>
            <w:webHidden/>
          </w:rPr>
          <w:t>4</w:t>
        </w:r>
        <w:r w:rsidR="00883738">
          <w:rPr>
            <w:webHidden/>
          </w:rPr>
          <w:fldChar w:fldCharType="end"/>
        </w:r>
      </w:hyperlink>
    </w:p>
    <w:p w14:paraId="04AF2A55" w14:textId="0FEFB5E8" w:rsidR="007A5600" w:rsidRDefault="007A5600">
      <w:pPr>
        <w:pStyle w:val="VBATopicHeading1"/>
        <w:rPr>
          <w:sz w:val="24"/>
        </w:rPr>
      </w:pPr>
      <w:r>
        <w:rPr>
          <w:rStyle w:val="Hyperlink"/>
          <w:bCs/>
          <w:szCs w:val="24"/>
        </w:rPr>
        <w:fldChar w:fldCharType="end"/>
      </w:r>
    </w:p>
    <w:p w14:paraId="4EF7C011" w14:textId="77777777" w:rsidR="007A5600" w:rsidRDefault="007A5600"/>
    <w:p w14:paraId="11902711" w14:textId="77777777" w:rsidR="007A5600" w:rsidRDefault="007A5600"/>
    <w:p w14:paraId="62377750" w14:textId="77777777" w:rsidR="007A5600" w:rsidRDefault="007A5600"/>
    <w:p w14:paraId="04E9247D" w14:textId="77777777" w:rsidR="007A5600" w:rsidRDefault="007A5600"/>
    <w:p w14:paraId="7F297C83" w14:textId="77777777" w:rsidR="007A5600" w:rsidRDefault="007A5600"/>
    <w:p w14:paraId="759ABB20" w14:textId="77777777" w:rsidR="007A5600" w:rsidRDefault="007A5600"/>
    <w:p w14:paraId="4C09BF79" w14:textId="77777777" w:rsidR="007A5600" w:rsidRDefault="007A5600"/>
    <w:p w14:paraId="2D0360BF" w14:textId="77777777" w:rsidR="007A5600" w:rsidRDefault="007A5600"/>
    <w:p w14:paraId="75A3466A" w14:textId="77777777" w:rsidR="007A5600" w:rsidRDefault="007A5600">
      <w:pPr>
        <w:overflowPunct/>
        <w:autoSpaceDE/>
        <w:autoSpaceDN/>
        <w:adjustRightInd/>
        <w:spacing w:before="0"/>
      </w:pPr>
      <w:r>
        <w:br w:type="page"/>
      </w:r>
    </w:p>
    <w:p w14:paraId="13D15835" w14:textId="77777777" w:rsidR="007A5600" w:rsidRDefault="007A5600">
      <w:pPr>
        <w:pStyle w:val="VBATopicHeading1"/>
      </w:pPr>
      <w:bookmarkStart w:id="2" w:name="_Toc525071665"/>
      <w:bookmarkStart w:id="3" w:name="_Toc269888405"/>
      <w:bookmarkStart w:id="4" w:name="_Toc269888748"/>
      <w:bookmarkStart w:id="5" w:name="_Toc278291133"/>
      <w:r>
        <w:lastRenderedPageBreak/>
        <w:t>Objectives</w:t>
      </w:r>
      <w:bookmarkEnd w:id="2"/>
    </w:p>
    <w:p w14:paraId="61319AEE" w14:textId="687B69B7" w:rsidR="00AA6381" w:rsidRPr="00910B74" w:rsidRDefault="00AA6381" w:rsidP="00AA6381">
      <w:pPr>
        <w:pStyle w:val="VBAFirstLevelBullet"/>
      </w:pPr>
      <w:r>
        <w:t xml:space="preserve">Understand the anatomy of a </w:t>
      </w:r>
      <w:r w:rsidR="00883738">
        <w:t xml:space="preserve">rating </w:t>
      </w:r>
      <w:proofErr w:type="spellStart"/>
      <w:r w:rsidR="00883738">
        <w:t>codesheet</w:t>
      </w:r>
      <w:proofErr w:type="spellEnd"/>
      <w:r>
        <w:t xml:space="preserve">.  </w:t>
      </w:r>
    </w:p>
    <w:p w14:paraId="471186B6" w14:textId="1102CA91" w:rsidR="00AA6381" w:rsidRDefault="00AA6381" w:rsidP="00AA6381">
      <w:pPr>
        <w:pStyle w:val="VBAFirstLevelBullet"/>
      </w:pPr>
      <w:r>
        <w:t>Identify</w:t>
      </w:r>
      <w:r w:rsidRPr="00910B74">
        <w:t xml:space="preserve"> the </w:t>
      </w:r>
      <w:r>
        <w:t xml:space="preserve">required elements of a </w:t>
      </w:r>
      <w:r w:rsidR="00883738">
        <w:t xml:space="preserve">rating </w:t>
      </w:r>
      <w:proofErr w:type="spellStart"/>
      <w:r w:rsidR="00883738">
        <w:t>codesheet</w:t>
      </w:r>
      <w:proofErr w:type="spellEnd"/>
      <w:r>
        <w:t>.</w:t>
      </w:r>
      <w:r w:rsidRPr="00910B74">
        <w:t xml:space="preserve"> </w:t>
      </w:r>
    </w:p>
    <w:p w14:paraId="0669BD53" w14:textId="77777777" w:rsidR="00BA6560" w:rsidRDefault="00BA6560" w:rsidP="00AA6381">
      <w:pPr>
        <w:pStyle w:val="VBAFirstLevelBullet"/>
        <w:numPr>
          <w:ilvl w:val="0"/>
          <w:numId w:val="0"/>
        </w:numPr>
        <w:ind w:left="720" w:hanging="360"/>
      </w:pPr>
    </w:p>
    <w:p w14:paraId="2190DE63" w14:textId="77777777" w:rsidR="00212FCB" w:rsidRDefault="00212FCB" w:rsidP="00212FCB">
      <w:pPr>
        <w:pStyle w:val="VBATopicHeading1"/>
        <w:jc w:val="left"/>
        <w:rPr>
          <w:rFonts w:ascii="Times New Roman" w:hAnsi="Times New Roman"/>
          <w:b w:val="0"/>
          <w:smallCaps w:val="0"/>
          <w:sz w:val="24"/>
          <w:szCs w:val="20"/>
        </w:rPr>
      </w:pPr>
    </w:p>
    <w:p w14:paraId="4DB04F82" w14:textId="77777777" w:rsidR="007A5600" w:rsidRDefault="007A5600" w:rsidP="000E3279">
      <w:pPr>
        <w:pStyle w:val="VBATopicHeading1"/>
      </w:pPr>
      <w:r>
        <w:br w:type="page"/>
      </w:r>
      <w:bookmarkStart w:id="6" w:name="_Toc525071666"/>
      <w:r>
        <w:lastRenderedPageBreak/>
        <w:t>References</w:t>
      </w:r>
      <w:bookmarkEnd w:id="6"/>
    </w:p>
    <w:p w14:paraId="7FE71C5E" w14:textId="77777777" w:rsidR="00A0060F" w:rsidRPr="00A0060F" w:rsidRDefault="006B368C" w:rsidP="00AA6381">
      <w:pPr>
        <w:pStyle w:val="ListParagraph"/>
        <w:numPr>
          <w:ilvl w:val="0"/>
          <w:numId w:val="38"/>
        </w:numPr>
      </w:pPr>
      <w:hyperlink r:id="rId12" w:history="1">
        <w:r w:rsidR="00FC7DC8" w:rsidRPr="008479A2">
          <w:rPr>
            <w:rStyle w:val="Hyperlink"/>
          </w:rPr>
          <w:t>38 CFR Part 4, Schedule for Rating Disabilities</w:t>
        </w:r>
      </w:hyperlink>
    </w:p>
    <w:p w14:paraId="603842CC" w14:textId="77777777" w:rsidR="008479A2" w:rsidRDefault="006B368C" w:rsidP="00AA6381">
      <w:pPr>
        <w:pStyle w:val="ListParagraph"/>
        <w:numPr>
          <w:ilvl w:val="0"/>
          <w:numId w:val="38"/>
        </w:numPr>
      </w:pPr>
      <w:hyperlink r:id="rId13" w:anchor="4" w:history="1">
        <w:r w:rsidR="00AA6381" w:rsidRPr="00AA6381">
          <w:rPr>
            <w:rStyle w:val="Hyperlink"/>
          </w:rPr>
          <w:t>M21-1, Part III, Subpart</w:t>
        </w:r>
        <w:r w:rsidR="008479A2">
          <w:rPr>
            <w:rStyle w:val="Hyperlink"/>
          </w:rPr>
          <w:t xml:space="preserve"> iv</w:t>
        </w:r>
        <w:r w:rsidR="00AA6381" w:rsidRPr="00AA6381">
          <w:rPr>
            <w:rStyle w:val="Hyperlink"/>
          </w:rPr>
          <w:t xml:space="preserve">, Chapter 6, D – </w:t>
        </w:r>
        <w:proofErr w:type="spellStart"/>
        <w:r w:rsidR="00AA6381" w:rsidRPr="00AA6381">
          <w:rPr>
            <w:rStyle w:val="Hyperlink"/>
          </w:rPr>
          <w:t>Codesheet</w:t>
        </w:r>
        <w:proofErr w:type="spellEnd"/>
        <w:r w:rsidR="00AA6381" w:rsidRPr="00AA6381">
          <w:rPr>
            <w:rStyle w:val="Hyperlink"/>
          </w:rPr>
          <w:t xml:space="preserve"> Section</w:t>
        </w:r>
      </w:hyperlink>
    </w:p>
    <w:p w14:paraId="696787AA" w14:textId="080637FA" w:rsidR="008479A2" w:rsidRPr="00B1288E" w:rsidRDefault="006B368C" w:rsidP="008479A2">
      <w:pPr>
        <w:pStyle w:val="ListParagraph"/>
        <w:numPr>
          <w:ilvl w:val="0"/>
          <w:numId w:val="38"/>
        </w:numPr>
        <w:rPr>
          <w:rStyle w:val="Hyperlink"/>
          <w:color w:val="auto"/>
          <w:u w:val="none"/>
        </w:rPr>
      </w:pPr>
      <w:hyperlink r:id="rId14" w:history="1">
        <w:r w:rsidR="008479A2" w:rsidRPr="008479A2">
          <w:rPr>
            <w:rStyle w:val="Hyperlink"/>
          </w:rPr>
          <w:t>M21-1, Part III, Subpart iv, Chapter 6, E – Coded Conclusion</w:t>
        </w:r>
      </w:hyperlink>
    </w:p>
    <w:p w14:paraId="719E3840" w14:textId="4635FBA9" w:rsidR="00B1288E" w:rsidRDefault="006B368C" w:rsidP="008479A2">
      <w:pPr>
        <w:pStyle w:val="ListParagraph"/>
        <w:numPr>
          <w:ilvl w:val="0"/>
          <w:numId w:val="38"/>
        </w:numPr>
      </w:pPr>
      <w:hyperlink r:id="rId15" w:history="1">
        <w:r w:rsidR="00B1288E" w:rsidRPr="00B1288E">
          <w:rPr>
            <w:rStyle w:val="Hyperlink"/>
            <w:lang w:val="en"/>
          </w:rPr>
          <w:t>M21-1, Part III, Subpart iv, Chapter 6, Section A - Partial Rating Decisions and Deferred Issues</w:t>
        </w:r>
      </w:hyperlink>
    </w:p>
    <w:p w14:paraId="43CC72C1" w14:textId="53A28850" w:rsidR="00212FCB" w:rsidRDefault="00212FCB" w:rsidP="008479A2">
      <w:r w:rsidRPr="00212FCB">
        <w:rPr>
          <w:noProof/>
        </w:rPr>
        <w:t xml:space="preserve">All M21-1 references are found in the </w:t>
      </w:r>
      <w:hyperlink r:id="rId16" w:history="1">
        <w:r w:rsidRPr="008479A2">
          <w:rPr>
            <w:noProof/>
            <w:u w:val="single"/>
          </w:rPr>
          <w:t>Live Manual Website</w:t>
        </w:r>
      </w:hyperlink>
      <w:r w:rsidRPr="00212FCB">
        <w:rPr>
          <w:noProof/>
        </w:rPr>
        <w:t xml:space="preserve">.  </w:t>
      </w:r>
    </w:p>
    <w:p w14:paraId="155B2278" w14:textId="77777777" w:rsidR="00F86C93" w:rsidRDefault="00F86C93" w:rsidP="00F86C93">
      <w:pPr>
        <w:pStyle w:val="VBATopicHeading1"/>
        <w:ind w:left="720"/>
      </w:pPr>
    </w:p>
    <w:p w14:paraId="64460C97" w14:textId="77777777" w:rsidR="00F86C93" w:rsidRDefault="00F86C93" w:rsidP="00F86C93">
      <w:pPr>
        <w:ind w:left="360"/>
      </w:pPr>
    </w:p>
    <w:p w14:paraId="6E5DE321" w14:textId="77777777" w:rsidR="007A5600" w:rsidRDefault="007A5600">
      <w:pPr>
        <w:overflowPunct/>
        <w:autoSpaceDE/>
        <w:autoSpaceDN/>
        <w:adjustRightInd/>
        <w:spacing w:before="0"/>
        <w:rPr>
          <w:rFonts w:ascii="Times New Roman Bold" w:hAnsi="Times New Roman Bold"/>
          <w:b/>
          <w:smallCaps/>
          <w:sz w:val="32"/>
          <w:szCs w:val="32"/>
        </w:rPr>
      </w:pPr>
    </w:p>
    <w:bookmarkEnd w:id="3"/>
    <w:bookmarkEnd w:id="4"/>
    <w:bookmarkEnd w:id="5"/>
    <w:p w14:paraId="22DF66DF" w14:textId="77777777" w:rsidR="007A5600" w:rsidRDefault="007A5600"/>
    <w:p w14:paraId="6F7A327B" w14:textId="77777777" w:rsidR="007A5600" w:rsidRDefault="007A5600"/>
    <w:p w14:paraId="3DEF7EBD" w14:textId="77777777" w:rsidR="007A5600" w:rsidRDefault="007A5600"/>
    <w:p w14:paraId="27DDDB6C" w14:textId="77777777" w:rsidR="007A5600" w:rsidRDefault="007A5600"/>
    <w:p w14:paraId="05379202" w14:textId="77777777" w:rsidR="007A5600" w:rsidRDefault="007A5600"/>
    <w:p w14:paraId="3FE90D0D" w14:textId="77777777" w:rsidR="007A5600" w:rsidRDefault="007A5600"/>
    <w:p w14:paraId="6AA679A5" w14:textId="77777777" w:rsidR="007A5600" w:rsidRDefault="007A5600"/>
    <w:p w14:paraId="0F95AB8D" w14:textId="77777777" w:rsidR="007A5600" w:rsidRDefault="007A5600"/>
    <w:p w14:paraId="7BE2F651" w14:textId="77777777" w:rsidR="007A5600" w:rsidRDefault="007A5600"/>
    <w:p w14:paraId="4D10872C" w14:textId="77777777" w:rsidR="007A5600" w:rsidRDefault="007A5600"/>
    <w:p w14:paraId="0E1E85AB" w14:textId="77777777" w:rsidR="007A5600" w:rsidRDefault="007A5600"/>
    <w:p w14:paraId="43FAAD10" w14:textId="77777777" w:rsidR="007A5600" w:rsidRDefault="007A5600"/>
    <w:p w14:paraId="02CE24A5" w14:textId="77777777" w:rsidR="007A5600" w:rsidRDefault="007A5600"/>
    <w:p w14:paraId="39607BA6" w14:textId="77777777" w:rsidR="007A5600" w:rsidRDefault="007A5600"/>
    <w:p w14:paraId="45746181" w14:textId="77777777" w:rsidR="007A5600" w:rsidRDefault="007A5600"/>
    <w:p w14:paraId="1CCD664F" w14:textId="77777777" w:rsidR="007A5600" w:rsidRDefault="007A5600"/>
    <w:p w14:paraId="0EDAB361" w14:textId="77777777" w:rsidR="00AA6381" w:rsidRDefault="00AA6381">
      <w:pPr>
        <w:overflowPunct/>
        <w:autoSpaceDE/>
        <w:autoSpaceDN/>
        <w:adjustRightInd/>
        <w:spacing w:before="0"/>
        <w:rPr>
          <w:rFonts w:ascii="Times New Roman Bold" w:hAnsi="Times New Roman Bold"/>
          <w:b/>
          <w:smallCaps/>
          <w:sz w:val="32"/>
          <w:szCs w:val="32"/>
        </w:rPr>
      </w:pPr>
      <w:r>
        <w:br w:type="page"/>
      </w:r>
    </w:p>
    <w:p w14:paraId="77203912" w14:textId="7B59AC3E" w:rsidR="00975461" w:rsidRPr="00212FCB" w:rsidRDefault="00883738" w:rsidP="00212FCB">
      <w:pPr>
        <w:pStyle w:val="VBATopicHeading1"/>
        <w:rPr>
          <w:bCs/>
          <w:i/>
        </w:rPr>
      </w:pPr>
      <w:bookmarkStart w:id="7" w:name="_Toc525071667"/>
      <w:r>
        <w:lastRenderedPageBreak/>
        <w:t>Topic 1:</w:t>
      </w:r>
      <w:r w:rsidR="00EF3445">
        <w:t xml:space="preserve"> </w:t>
      </w:r>
      <w:proofErr w:type="spellStart"/>
      <w:r w:rsidR="00AA6381">
        <w:t>Codesheet</w:t>
      </w:r>
      <w:proofErr w:type="spellEnd"/>
      <w:r w:rsidR="0056570D" w:rsidRPr="0056570D">
        <w:t xml:space="preserve"> Compliance</w:t>
      </w:r>
      <w:bookmarkEnd w:id="7"/>
    </w:p>
    <w:p w14:paraId="2A3A6785" w14:textId="77777777" w:rsidR="00AA1A39" w:rsidRDefault="00AA6381">
      <w:pPr>
        <w:pStyle w:val="VBASubHeading1"/>
        <w:spacing w:before="0"/>
        <w:rPr>
          <w:bCs/>
          <w:i w:val="0"/>
        </w:rPr>
      </w:pPr>
      <w:r w:rsidRPr="00AA6381">
        <w:rPr>
          <w:b/>
          <w:bCs/>
          <w:i w:val="0"/>
          <w:u w:val="single"/>
        </w:rPr>
        <w:t xml:space="preserve">Anatomy of a Rating </w:t>
      </w:r>
      <w:proofErr w:type="spellStart"/>
      <w:r w:rsidRPr="00AA6381">
        <w:rPr>
          <w:b/>
          <w:bCs/>
          <w:i w:val="0"/>
          <w:u w:val="single"/>
        </w:rPr>
        <w:t>Codesheet</w:t>
      </w:r>
      <w:proofErr w:type="spellEnd"/>
      <w:r w:rsidR="00212FCB">
        <w:rPr>
          <w:b/>
          <w:bCs/>
          <w:i w:val="0"/>
          <w:u w:val="single"/>
        </w:rPr>
        <w:t xml:space="preserve"> </w:t>
      </w:r>
    </w:p>
    <w:p w14:paraId="1DA21616" w14:textId="77777777" w:rsidR="00212FCB" w:rsidRPr="0056570D" w:rsidRDefault="00212FCB">
      <w:pPr>
        <w:pStyle w:val="VBASubHeading1"/>
        <w:spacing w:before="0"/>
        <w:rPr>
          <w:bCs/>
          <w:i w:val="0"/>
          <w:sz w:val="12"/>
          <w:szCs w:val="12"/>
        </w:rPr>
      </w:pPr>
    </w:p>
    <w:p w14:paraId="6E360961" w14:textId="3D6F9BA4" w:rsidR="00AA6381" w:rsidRPr="00AA6381" w:rsidRDefault="00AA6381" w:rsidP="00AA6381">
      <w:pPr>
        <w:spacing w:after="120"/>
        <w:textAlignment w:val="baseline"/>
        <w:rPr>
          <w:color w:val="000000" w:themeColor="text1"/>
          <w:szCs w:val="24"/>
        </w:rPr>
      </w:pPr>
      <w:r w:rsidRPr="00AA6381">
        <w:rPr>
          <w:color w:val="000000" w:themeColor="text1"/>
          <w:szCs w:val="24"/>
        </w:rPr>
        <w:t xml:space="preserve">The </w:t>
      </w:r>
      <w:r w:rsidR="001B19BE" w:rsidRPr="00AA6381">
        <w:rPr>
          <w:color w:val="000000" w:themeColor="text1"/>
          <w:szCs w:val="24"/>
        </w:rPr>
        <w:t xml:space="preserve">rating </w:t>
      </w:r>
      <w:proofErr w:type="spellStart"/>
      <w:r w:rsidR="001B19BE" w:rsidRPr="00AA6381">
        <w:rPr>
          <w:color w:val="000000" w:themeColor="text1"/>
          <w:szCs w:val="24"/>
        </w:rPr>
        <w:t>codesheet</w:t>
      </w:r>
      <w:proofErr w:type="spellEnd"/>
      <w:r w:rsidR="001B19BE" w:rsidRPr="00AA6381">
        <w:rPr>
          <w:color w:val="000000" w:themeColor="text1"/>
          <w:szCs w:val="24"/>
        </w:rPr>
        <w:t xml:space="preserve"> </w:t>
      </w:r>
      <w:r w:rsidRPr="00AA6381">
        <w:rPr>
          <w:color w:val="000000" w:themeColor="text1"/>
          <w:szCs w:val="24"/>
        </w:rPr>
        <w:t>includes the following sections:</w:t>
      </w:r>
    </w:p>
    <w:p w14:paraId="2A12C1B4" w14:textId="148C668B" w:rsidR="00AA6381" w:rsidRPr="00AA6381" w:rsidRDefault="00AA6381" w:rsidP="00AA6381">
      <w:pPr>
        <w:numPr>
          <w:ilvl w:val="0"/>
          <w:numId w:val="39"/>
        </w:numPr>
        <w:spacing w:before="0"/>
        <w:textAlignment w:val="baseline"/>
        <w:rPr>
          <w:color w:val="000000" w:themeColor="text1"/>
          <w:szCs w:val="24"/>
        </w:rPr>
      </w:pPr>
      <w:r w:rsidRPr="00AA6381">
        <w:rPr>
          <w:color w:val="000000" w:themeColor="text1"/>
          <w:szCs w:val="24"/>
        </w:rPr>
        <w:t>Dat</w:t>
      </w:r>
      <w:r w:rsidR="009216A6">
        <w:rPr>
          <w:color w:val="000000" w:themeColor="text1"/>
          <w:szCs w:val="24"/>
        </w:rPr>
        <w:t>a</w:t>
      </w:r>
      <w:r w:rsidR="001B19BE">
        <w:rPr>
          <w:color w:val="000000" w:themeColor="text1"/>
          <w:szCs w:val="24"/>
        </w:rPr>
        <w:t xml:space="preserve"> t</w:t>
      </w:r>
      <w:r w:rsidRPr="00AA6381">
        <w:rPr>
          <w:color w:val="000000" w:themeColor="text1"/>
          <w:szCs w:val="24"/>
        </w:rPr>
        <w:t>able</w:t>
      </w:r>
    </w:p>
    <w:p w14:paraId="2C9DECC9" w14:textId="77777777" w:rsidR="00AA6381" w:rsidRPr="00AA6381" w:rsidRDefault="00AA6381" w:rsidP="00AA6381">
      <w:pPr>
        <w:numPr>
          <w:ilvl w:val="0"/>
          <w:numId w:val="39"/>
        </w:numPr>
        <w:spacing w:before="0"/>
        <w:textAlignment w:val="baseline"/>
        <w:rPr>
          <w:color w:val="000000" w:themeColor="text1"/>
          <w:szCs w:val="24"/>
        </w:rPr>
      </w:pPr>
      <w:r w:rsidRPr="00AA6381">
        <w:rPr>
          <w:color w:val="000000" w:themeColor="text1"/>
          <w:szCs w:val="24"/>
        </w:rPr>
        <w:t>Jurisdiction</w:t>
      </w:r>
    </w:p>
    <w:p w14:paraId="41919F0E" w14:textId="60A70132" w:rsidR="00AA6381" w:rsidRPr="00AA6381" w:rsidRDefault="001B19BE" w:rsidP="00AA6381">
      <w:pPr>
        <w:numPr>
          <w:ilvl w:val="0"/>
          <w:numId w:val="39"/>
        </w:numPr>
        <w:spacing w:before="0"/>
        <w:textAlignment w:val="baseline"/>
        <w:rPr>
          <w:color w:val="000000" w:themeColor="text1"/>
          <w:szCs w:val="24"/>
        </w:rPr>
      </w:pPr>
      <w:r>
        <w:rPr>
          <w:color w:val="000000" w:themeColor="text1"/>
          <w:szCs w:val="24"/>
        </w:rPr>
        <w:t>Associated c</w:t>
      </w:r>
      <w:r w:rsidR="00AA6381" w:rsidRPr="00AA6381">
        <w:rPr>
          <w:color w:val="000000" w:themeColor="text1"/>
          <w:szCs w:val="24"/>
        </w:rPr>
        <w:t>laim(s)</w:t>
      </w:r>
    </w:p>
    <w:p w14:paraId="0A8FB33B" w14:textId="76C718D3" w:rsidR="00AA6381" w:rsidRPr="00AA6381" w:rsidRDefault="001B19BE" w:rsidP="00AA6381">
      <w:pPr>
        <w:numPr>
          <w:ilvl w:val="0"/>
          <w:numId w:val="39"/>
        </w:numPr>
        <w:spacing w:before="0"/>
        <w:textAlignment w:val="baseline"/>
        <w:rPr>
          <w:color w:val="000000" w:themeColor="text1"/>
          <w:szCs w:val="24"/>
        </w:rPr>
      </w:pPr>
      <w:r>
        <w:rPr>
          <w:color w:val="000000" w:themeColor="text1"/>
          <w:szCs w:val="24"/>
        </w:rPr>
        <w:t>Coded c</w:t>
      </w:r>
      <w:r w:rsidR="00AA6381" w:rsidRPr="00AA6381">
        <w:rPr>
          <w:color w:val="000000" w:themeColor="text1"/>
          <w:szCs w:val="24"/>
        </w:rPr>
        <w:t>onclusions</w:t>
      </w:r>
    </w:p>
    <w:p w14:paraId="45DB9B6D" w14:textId="3851449D" w:rsidR="00AA6381" w:rsidRDefault="00AA6381" w:rsidP="00AA6381">
      <w:pPr>
        <w:numPr>
          <w:ilvl w:val="0"/>
          <w:numId w:val="39"/>
        </w:numPr>
        <w:spacing w:before="0"/>
        <w:textAlignment w:val="baseline"/>
        <w:rPr>
          <w:color w:val="000000" w:themeColor="text1"/>
          <w:szCs w:val="24"/>
        </w:rPr>
      </w:pPr>
      <w:r w:rsidRPr="00AA6381">
        <w:rPr>
          <w:color w:val="000000" w:themeColor="text1"/>
          <w:szCs w:val="24"/>
        </w:rPr>
        <w:t>Specia</w:t>
      </w:r>
      <w:r w:rsidR="009216A6">
        <w:rPr>
          <w:color w:val="000000" w:themeColor="text1"/>
          <w:szCs w:val="24"/>
        </w:rPr>
        <w:t>l</w:t>
      </w:r>
      <w:r w:rsidR="001B19BE">
        <w:rPr>
          <w:color w:val="000000" w:themeColor="text1"/>
          <w:szCs w:val="24"/>
        </w:rPr>
        <w:t xml:space="preserve"> notations and template f</w:t>
      </w:r>
      <w:r w:rsidRPr="00AA6381">
        <w:rPr>
          <w:color w:val="000000" w:themeColor="text1"/>
          <w:szCs w:val="24"/>
        </w:rPr>
        <w:t>ields</w:t>
      </w:r>
    </w:p>
    <w:p w14:paraId="14E678E5" w14:textId="77777777" w:rsidR="0056570D" w:rsidRPr="00AA6381" w:rsidRDefault="00AA6381" w:rsidP="00AA6381">
      <w:pPr>
        <w:numPr>
          <w:ilvl w:val="0"/>
          <w:numId w:val="39"/>
        </w:numPr>
        <w:spacing w:before="0"/>
        <w:textAlignment w:val="baseline"/>
        <w:rPr>
          <w:color w:val="000000" w:themeColor="text1"/>
          <w:szCs w:val="24"/>
        </w:rPr>
      </w:pPr>
      <w:r w:rsidRPr="00AA6381">
        <w:rPr>
          <w:color w:val="000000" w:themeColor="text1"/>
          <w:szCs w:val="24"/>
        </w:rPr>
        <w:t>Signature(s)</w:t>
      </w:r>
    </w:p>
    <w:p w14:paraId="68B8A9ED" w14:textId="77777777" w:rsidR="00AA6381" w:rsidRDefault="00AA6381" w:rsidP="00212FCB">
      <w:pPr>
        <w:spacing w:before="0"/>
        <w:textAlignment w:val="baseline"/>
        <w:rPr>
          <w:b/>
          <w:u w:val="single"/>
        </w:rPr>
      </w:pPr>
    </w:p>
    <w:p w14:paraId="0F5BE6E8" w14:textId="77777777" w:rsidR="00212FCB" w:rsidRDefault="00AA6381" w:rsidP="00212FCB">
      <w:pPr>
        <w:spacing w:before="0"/>
        <w:textAlignment w:val="baseline"/>
      </w:pPr>
      <w:r w:rsidRPr="00AA6381">
        <w:rPr>
          <w:b/>
          <w:u w:val="single"/>
        </w:rPr>
        <w:t>Data Table</w:t>
      </w:r>
    </w:p>
    <w:p w14:paraId="53B604C8" w14:textId="77777777" w:rsidR="00212FCB" w:rsidRPr="00D9604B" w:rsidRDefault="00212FCB" w:rsidP="00212FCB">
      <w:pPr>
        <w:spacing w:before="0"/>
        <w:textAlignment w:val="baseline"/>
        <w:rPr>
          <w:sz w:val="12"/>
          <w:szCs w:val="12"/>
        </w:rPr>
      </w:pPr>
    </w:p>
    <w:p w14:paraId="08E256D5" w14:textId="4582D62F" w:rsidR="00AA6381" w:rsidRPr="00AA6381" w:rsidRDefault="00AA6381" w:rsidP="00AA6381">
      <w:pPr>
        <w:spacing w:after="120"/>
        <w:textAlignment w:val="baseline"/>
        <w:rPr>
          <w:color w:val="000000" w:themeColor="text1"/>
          <w:szCs w:val="24"/>
        </w:rPr>
      </w:pPr>
      <w:r w:rsidRPr="00AA6381">
        <w:rPr>
          <w:color w:val="000000" w:themeColor="text1"/>
        </w:rPr>
        <w:t xml:space="preserve">The </w:t>
      </w:r>
      <w:r w:rsidR="001B19BE" w:rsidRPr="00AA6381">
        <w:rPr>
          <w:i/>
          <w:color w:val="000000" w:themeColor="text1"/>
        </w:rPr>
        <w:t>data table</w:t>
      </w:r>
      <w:r w:rsidR="001B19BE" w:rsidRPr="00AA6381">
        <w:rPr>
          <w:color w:val="000000" w:themeColor="text1"/>
        </w:rPr>
        <w:t xml:space="preserve"> </w:t>
      </w:r>
      <w:r w:rsidRPr="00AA6381">
        <w:rPr>
          <w:color w:val="000000" w:themeColor="text1"/>
        </w:rPr>
        <w:t>includes the following information:</w:t>
      </w:r>
    </w:p>
    <w:p w14:paraId="6E29EB9D" w14:textId="77777777" w:rsidR="00AA6381" w:rsidRPr="00AA6381" w:rsidRDefault="00AA6381" w:rsidP="00AA6381">
      <w:pPr>
        <w:numPr>
          <w:ilvl w:val="0"/>
          <w:numId w:val="27"/>
        </w:numPr>
        <w:spacing w:before="0"/>
        <w:textAlignment w:val="baseline"/>
        <w:rPr>
          <w:color w:val="000000" w:themeColor="text1"/>
          <w:szCs w:val="24"/>
        </w:rPr>
      </w:pPr>
      <w:r w:rsidRPr="00AA6381">
        <w:rPr>
          <w:color w:val="000000" w:themeColor="text1"/>
        </w:rPr>
        <w:t>Veteran’s name</w:t>
      </w:r>
    </w:p>
    <w:p w14:paraId="5940D5C1" w14:textId="77777777" w:rsidR="00AA6381" w:rsidRPr="00AA6381" w:rsidRDefault="00AA6381" w:rsidP="00AA6381">
      <w:pPr>
        <w:numPr>
          <w:ilvl w:val="0"/>
          <w:numId w:val="27"/>
        </w:numPr>
        <w:spacing w:before="0"/>
        <w:textAlignment w:val="baseline"/>
        <w:rPr>
          <w:color w:val="000000" w:themeColor="text1"/>
          <w:szCs w:val="24"/>
        </w:rPr>
      </w:pPr>
      <w:r w:rsidRPr="00AA6381">
        <w:rPr>
          <w:color w:val="000000" w:themeColor="text1"/>
        </w:rPr>
        <w:t>Veteran’s file number</w:t>
      </w:r>
    </w:p>
    <w:p w14:paraId="2755205C" w14:textId="77777777" w:rsidR="00AA6381" w:rsidRPr="00AA6381" w:rsidRDefault="00AA6381" w:rsidP="00AA6381">
      <w:pPr>
        <w:numPr>
          <w:ilvl w:val="0"/>
          <w:numId w:val="27"/>
        </w:numPr>
        <w:spacing w:before="0"/>
        <w:textAlignment w:val="baseline"/>
        <w:rPr>
          <w:color w:val="000000" w:themeColor="text1"/>
          <w:szCs w:val="24"/>
        </w:rPr>
      </w:pPr>
      <w:r w:rsidRPr="00AA6381">
        <w:rPr>
          <w:color w:val="000000" w:themeColor="text1"/>
        </w:rPr>
        <w:t>Veteran’s Social Security number</w:t>
      </w:r>
    </w:p>
    <w:p w14:paraId="07C73BB2" w14:textId="77777777" w:rsidR="00AA6381" w:rsidRPr="00AA6381" w:rsidRDefault="00AA6381" w:rsidP="00AA6381">
      <w:pPr>
        <w:numPr>
          <w:ilvl w:val="0"/>
          <w:numId w:val="27"/>
        </w:numPr>
        <w:spacing w:before="0"/>
        <w:textAlignment w:val="baseline"/>
        <w:rPr>
          <w:color w:val="000000" w:themeColor="text1"/>
          <w:szCs w:val="24"/>
        </w:rPr>
      </w:pPr>
      <w:r w:rsidRPr="00AA6381">
        <w:rPr>
          <w:color w:val="000000" w:themeColor="text1"/>
        </w:rPr>
        <w:t>Period(s) of service (POS) information</w:t>
      </w:r>
    </w:p>
    <w:p w14:paraId="0149E014" w14:textId="77777777" w:rsidR="00AA6381" w:rsidRPr="00AA6381" w:rsidRDefault="00AA6381" w:rsidP="00AA6381">
      <w:pPr>
        <w:numPr>
          <w:ilvl w:val="0"/>
          <w:numId w:val="27"/>
        </w:numPr>
        <w:spacing w:before="0"/>
        <w:textAlignment w:val="baseline"/>
        <w:rPr>
          <w:color w:val="000000" w:themeColor="text1"/>
          <w:szCs w:val="24"/>
        </w:rPr>
      </w:pPr>
      <w:r w:rsidRPr="00AA6381">
        <w:rPr>
          <w:color w:val="000000" w:themeColor="text1"/>
        </w:rPr>
        <w:t>Power of attorney (POA) information</w:t>
      </w:r>
    </w:p>
    <w:p w14:paraId="0A260C87" w14:textId="54951A85" w:rsidR="00AA6381" w:rsidRPr="00AA6381" w:rsidRDefault="001B19BE" w:rsidP="00AA6381">
      <w:pPr>
        <w:numPr>
          <w:ilvl w:val="0"/>
          <w:numId w:val="27"/>
        </w:numPr>
        <w:spacing w:before="0"/>
        <w:textAlignment w:val="baseline"/>
        <w:rPr>
          <w:color w:val="000000" w:themeColor="text1"/>
          <w:szCs w:val="24"/>
        </w:rPr>
      </w:pPr>
      <w:r>
        <w:rPr>
          <w:color w:val="000000" w:themeColor="text1"/>
        </w:rPr>
        <w:t>Date of r</w:t>
      </w:r>
      <w:r w:rsidR="00AA6381" w:rsidRPr="00AA6381">
        <w:rPr>
          <w:color w:val="000000" w:themeColor="text1"/>
        </w:rPr>
        <w:t>ating</w:t>
      </w:r>
    </w:p>
    <w:p w14:paraId="70BB3F6E" w14:textId="77777777" w:rsidR="00AA6381" w:rsidRPr="00AA6381" w:rsidRDefault="00AA6381" w:rsidP="00AA6381">
      <w:pPr>
        <w:numPr>
          <w:ilvl w:val="0"/>
          <w:numId w:val="27"/>
        </w:numPr>
        <w:spacing w:before="0"/>
        <w:textAlignment w:val="baseline"/>
        <w:rPr>
          <w:color w:val="000000" w:themeColor="text1"/>
          <w:szCs w:val="24"/>
        </w:rPr>
      </w:pPr>
      <w:r w:rsidRPr="00AA6381">
        <w:rPr>
          <w:color w:val="000000" w:themeColor="text1"/>
          <w:szCs w:val="24"/>
        </w:rPr>
        <w:t>Any future exam dates</w:t>
      </w:r>
    </w:p>
    <w:p w14:paraId="5A7D40A1" w14:textId="77777777" w:rsidR="00AA6381" w:rsidRPr="00AA6381" w:rsidRDefault="00AA6381" w:rsidP="00AA6381">
      <w:pPr>
        <w:numPr>
          <w:ilvl w:val="0"/>
          <w:numId w:val="27"/>
        </w:numPr>
        <w:spacing w:before="0"/>
        <w:textAlignment w:val="baseline"/>
        <w:rPr>
          <w:color w:val="000000" w:themeColor="text1"/>
          <w:szCs w:val="24"/>
        </w:rPr>
      </w:pPr>
      <w:r w:rsidRPr="00AA6381">
        <w:rPr>
          <w:color w:val="000000" w:themeColor="text1"/>
          <w:szCs w:val="24"/>
        </w:rPr>
        <w:t>Special Monthly Compensation (SMC) codes</w:t>
      </w:r>
    </w:p>
    <w:p w14:paraId="122544AC" w14:textId="705D48CB" w:rsidR="00AA6381" w:rsidRPr="00AA6381" w:rsidRDefault="001B19BE" w:rsidP="00300B30">
      <w:pPr>
        <w:numPr>
          <w:ilvl w:val="0"/>
          <w:numId w:val="27"/>
        </w:numPr>
        <w:spacing w:before="0"/>
        <w:textAlignment w:val="baseline"/>
        <w:rPr>
          <w:b/>
          <w:u w:val="single"/>
        </w:rPr>
      </w:pPr>
      <w:r>
        <w:rPr>
          <w:color w:val="000000" w:themeColor="text1"/>
          <w:szCs w:val="24"/>
        </w:rPr>
        <w:t>Combat status c</w:t>
      </w:r>
      <w:r w:rsidR="00AA6381" w:rsidRPr="00AA6381">
        <w:rPr>
          <w:color w:val="000000" w:themeColor="text1"/>
          <w:szCs w:val="24"/>
        </w:rPr>
        <w:t>ode</w:t>
      </w:r>
    </w:p>
    <w:p w14:paraId="3AC82857" w14:textId="02A36813" w:rsidR="00880DA6" w:rsidRPr="00AA6381" w:rsidRDefault="00AA6381" w:rsidP="00300B30">
      <w:pPr>
        <w:numPr>
          <w:ilvl w:val="0"/>
          <w:numId w:val="27"/>
        </w:numPr>
        <w:spacing w:before="0"/>
        <w:textAlignment w:val="baseline"/>
        <w:rPr>
          <w:b/>
          <w:u w:val="single"/>
        </w:rPr>
      </w:pPr>
      <w:r w:rsidRPr="00AA6381">
        <w:rPr>
          <w:color w:val="000000" w:themeColor="text1"/>
          <w:szCs w:val="24"/>
        </w:rPr>
        <w:t xml:space="preserve">Additional </w:t>
      </w:r>
      <w:r w:rsidR="001B19BE">
        <w:rPr>
          <w:color w:val="000000" w:themeColor="text1"/>
          <w:szCs w:val="24"/>
        </w:rPr>
        <w:t>s</w:t>
      </w:r>
      <w:r w:rsidRPr="00AA6381">
        <w:rPr>
          <w:color w:val="000000" w:themeColor="text1"/>
          <w:szCs w:val="24"/>
        </w:rPr>
        <w:t>ervice code</w:t>
      </w:r>
    </w:p>
    <w:p w14:paraId="2BC071BD" w14:textId="77777777" w:rsidR="00AA6381" w:rsidRPr="00AA6381" w:rsidRDefault="00AA6381" w:rsidP="00AA6381">
      <w:pPr>
        <w:spacing w:before="0"/>
        <w:textAlignment w:val="baseline"/>
        <w:rPr>
          <w:b/>
          <w:u w:val="single"/>
        </w:rPr>
      </w:pPr>
    </w:p>
    <w:p w14:paraId="10D83B3A" w14:textId="77777777" w:rsidR="007A5600" w:rsidRDefault="00AA6381" w:rsidP="00880DA6">
      <w:pPr>
        <w:spacing w:before="0"/>
      </w:pPr>
      <w:r w:rsidRPr="00AA6381">
        <w:rPr>
          <w:b/>
          <w:u w:val="single"/>
        </w:rPr>
        <w:t>Power of Attorney</w:t>
      </w:r>
    </w:p>
    <w:p w14:paraId="5264D232" w14:textId="77777777" w:rsidR="00212FCB" w:rsidRPr="00D9604B" w:rsidRDefault="00212FCB" w:rsidP="00212FCB">
      <w:pPr>
        <w:spacing w:before="0"/>
        <w:rPr>
          <w:sz w:val="12"/>
          <w:szCs w:val="12"/>
        </w:rPr>
      </w:pPr>
    </w:p>
    <w:p w14:paraId="00E0B5DD" w14:textId="21400F27" w:rsidR="00880DA6" w:rsidRDefault="00AA6381" w:rsidP="00880DA6">
      <w:pPr>
        <w:spacing w:before="0"/>
      </w:pPr>
      <w:r w:rsidRPr="00AA6381">
        <w:t xml:space="preserve">It is extremely important that the POA in VA systems indicate the most recent POA election. Although the POA information should be entered into VA systems before the claim is made ready for decision, the decision maker also </w:t>
      </w:r>
      <w:proofErr w:type="gramStart"/>
      <w:r w:rsidRPr="00AA6381">
        <w:t>has the ability to</w:t>
      </w:r>
      <w:proofErr w:type="gramEnd"/>
      <w:r w:rsidRPr="00AA6381">
        <w:t xml:space="preserve"> update VA systems</w:t>
      </w:r>
      <w:r w:rsidR="00DB0EF8">
        <w:t xml:space="preserve"> using SHARE</w:t>
      </w:r>
      <w:r w:rsidRPr="00AA6381">
        <w:t xml:space="preserve">. </w:t>
      </w:r>
      <w:r>
        <w:t>T</w:t>
      </w:r>
      <w:r w:rsidRPr="00AA6381">
        <w:t>he steps</w:t>
      </w:r>
      <w:r>
        <w:t xml:space="preserve"> to do so are </w:t>
      </w:r>
      <w:r w:rsidRPr="00AA6381">
        <w:t xml:space="preserve">provided in </w:t>
      </w:r>
      <w:hyperlink r:id="rId17" w:anchor="5" w:history="1">
        <w:r w:rsidRPr="00DB0EF8">
          <w:rPr>
            <w:rStyle w:val="Hyperlink"/>
          </w:rPr>
          <w:t>M21-1 III.ii.3.C.5.b</w:t>
        </w:r>
      </w:hyperlink>
      <w:r w:rsidRPr="00AA6381">
        <w:t>.</w:t>
      </w:r>
    </w:p>
    <w:p w14:paraId="47AD8FC3" w14:textId="77777777" w:rsidR="00AA6381" w:rsidRDefault="00AA6381" w:rsidP="00880DA6">
      <w:pPr>
        <w:spacing w:before="0"/>
      </w:pPr>
    </w:p>
    <w:p w14:paraId="687119AF" w14:textId="77777777" w:rsidR="00880DA6" w:rsidRDefault="00AA6381" w:rsidP="00880DA6">
      <w:pPr>
        <w:spacing w:before="0"/>
      </w:pPr>
      <w:r w:rsidRPr="00AA6381">
        <w:rPr>
          <w:b/>
          <w:u w:val="single"/>
        </w:rPr>
        <w:t>Period of Service</w:t>
      </w:r>
    </w:p>
    <w:p w14:paraId="55F33ED1" w14:textId="77777777" w:rsidR="00880DA6" w:rsidRPr="00D9604B" w:rsidRDefault="00880DA6" w:rsidP="00880DA6">
      <w:pPr>
        <w:spacing w:before="0"/>
        <w:rPr>
          <w:sz w:val="12"/>
          <w:szCs w:val="12"/>
        </w:rPr>
      </w:pPr>
    </w:p>
    <w:p w14:paraId="6FBDB582" w14:textId="3A31BD83" w:rsidR="00880DA6" w:rsidRPr="00880DA6" w:rsidRDefault="00AA6381" w:rsidP="00AA6381">
      <w:pPr>
        <w:spacing w:before="0"/>
      </w:pPr>
      <w:r w:rsidRPr="00AA6381">
        <w:t xml:space="preserve">It is also extremely important that the POS(s) are correct and updated </w:t>
      </w:r>
      <w:r w:rsidR="00667D16">
        <w:t>in VA</w:t>
      </w:r>
      <w:r w:rsidRPr="00AA6381">
        <w:t xml:space="preserve"> systems. </w:t>
      </w:r>
      <w:r w:rsidR="007D0F88">
        <w:t>A</w:t>
      </w:r>
      <w:r w:rsidRPr="00AA6381">
        <w:t xml:space="preserve">lthough all verified and pertinent periods of service should be in the system before a claim is made ready for decision, the individual drafting the Rating </w:t>
      </w:r>
      <w:r w:rsidR="007D0F88">
        <w:t xml:space="preserve">still </w:t>
      </w:r>
      <w:r w:rsidRPr="00AA6381">
        <w:t xml:space="preserve">needs to verify this information prior to drafting the Rating. </w:t>
      </w:r>
      <w:r w:rsidR="00DB0EF8">
        <w:t>M</w:t>
      </w:r>
      <w:r w:rsidRPr="00AA6381">
        <w:t xml:space="preserve">ilitary service </w:t>
      </w:r>
      <w:r w:rsidR="00DB0EF8">
        <w:t xml:space="preserve">can be updated and verified </w:t>
      </w:r>
      <w:r w:rsidRPr="00AA6381">
        <w:t>using SHARE and Participant Profile</w:t>
      </w:r>
      <w:r w:rsidR="007D0F88">
        <w:t xml:space="preserve"> (</w:t>
      </w:r>
      <w:hyperlink r:id="rId18" w:anchor="7" w:history="1">
        <w:r w:rsidR="007D0F88" w:rsidRPr="007D0F88">
          <w:rPr>
            <w:rStyle w:val="Hyperlink"/>
          </w:rPr>
          <w:t>M21-1,</w:t>
        </w:r>
        <w:r w:rsidR="007D0F88" w:rsidRPr="007D0F88">
          <w:rPr>
            <w:rStyle w:val="Hyperlink"/>
            <w:rFonts w:ascii="Arial" w:hAnsi="Arial" w:cs="Arial"/>
            <w:sz w:val="21"/>
            <w:szCs w:val="21"/>
          </w:rPr>
          <w:t xml:space="preserve"> </w:t>
        </w:r>
        <w:r w:rsidR="007D0F88" w:rsidRPr="007D0F88">
          <w:rPr>
            <w:rStyle w:val="Hyperlink"/>
          </w:rPr>
          <w:t>III.ii.3.C.7.a</w:t>
        </w:r>
      </w:hyperlink>
      <w:r w:rsidR="007D0F88">
        <w:t>)</w:t>
      </w:r>
      <w:r w:rsidRPr="00AA6381">
        <w:t>.</w:t>
      </w:r>
    </w:p>
    <w:p w14:paraId="5BE93768" w14:textId="77777777" w:rsidR="00AA6381" w:rsidRDefault="00AA6381" w:rsidP="00AA6381">
      <w:pPr>
        <w:spacing w:before="0"/>
        <w:rPr>
          <w:b/>
          <w:u w:val="single"/>
        </w:rPr>
      </w:pPr>
    </w:p>
    <w:p w14:paraId="7F8D76C9" w14:textId="3192065D" w:rsidR="00F50A4C" w:rsidRPr="00F50A4C" w:rsidRDefault="00F50A4C" w:rsidP="00F50A4C">
      <w:pPr>
        <w:spacing w:before="0"/>
      </w:pPr>
      <w:r w:rsidRPr="00F50A4C">
        <w:t xml:space="preserve">Exception: RVSR may determine an injury incurred during ADT so that period of service will not be updated in SHARE prior to the rating being completed - this action is completed after the rating is finalized per </w:t>
      </w:r>
      <w:hyperlink r:id="rId19" w:anchor="2k" w:history="1">
        <w:r w:rsidRPr="00A77E0A">
          <w:rPr>
            <w:rStyle w:val="Hyperlink"/>
          </w:rPr>
          <w:t>M21-1 III.ii.6.A.2.k</w:t>
        </w:r>
      </w:hyperlink>
      <w:r w:rsidR="00A77E0A">
        <w:t>.</w:t>
      </w:r>
      <w:r w:rsidRPr="00F50A4C">
        <w:t xml:space="preserve"> </w:t>
      </w:r>
    </w:p>
    <w:p w14:paraId="1CFF824D" w14:textId="77777777" w:rsidR="00AA6381" w:rsidRDefault="00AA6381" w:rsidP="00AA6381">
      <w:pPr>
        <w:spacing w:before="0"/>
        <w:rPr>
          <w:b/>
          <w:u w:val="single"/>
        </w:rPr>
      </w:pPr>
    </w:p>
    <w:p w14:paraId="11367E92" w14:textId="77777777" w:rsidR="00AA6381" w:rsidRDefault="00AA6381" w:rsidP="00AA6381">
      <w:pPr>
        <w:spacing w:before="0"/>
        <w:rPr>
          <w:b/>
          <w:u w:val="single"/>
        </w:rPr>
      </w:pPr>
    </w:p>
    <w:p w14:paraId="72A25C29" w14:textId="77777777" w:rsidR="00AA6381" w:rsidRDefault="00AA6381" w:rsidP="00AA6381">
      <w:pPr>
        <w:spacing w:before="0"/>
        <w:rPr>
          <w:b/>
          <w:u w:val="single"/>
        </w:rPr>
      </w:pPr>
    </w:p>
    <w:p w14:paraId="59B688C7" w14:textId="77777777" w:rsidR="00DB0EF8" w:rsidRDefault="00DB0EF8" w:rsidP="00AA6381">
      <w:pPr>
        <w:spacing w:before="0"/>
        <w:rPr>
          <w:b/>
          <w:u w:val="single"/>
        </w:rPr>
      </w:pPr>
    </w:p>
    <w:p w14:paraId="4AAA2C1C" w14:textId="77777777" w:rsidR="00D9604B" w:rsidRDefault="00AA6381" w:rsidP="00AA6381">
      <w:pPr>
        <w:spacing w:before="0"/>
        <w:rPr>
          <w:b/>
          <w:u w:val="single"/>
        </w:rPr>
      </w:pPr>
      <w:r w:rsidRPr="00AA6381">
        <w:rPr>
          <w:b/>
          <w:u w:val="single"/>
        </w:rPr>
        <w:t>Jurisdiction</w:t>
      </w:r>
    </w:p>
    <w:p w14:paraId="7D6B04A3" w14:textId="77777777" w:rsidR="00D9604B" w:rsidRDefault="00D9604B" w:rsidP="00D9604B">
      <w:pPr>
        <w:spacing w:before="0"/>
        <w:ind w:left="360"/>
        <w:rPr>
          <w:b/>
          <w:u w:val="single"/>
        </w:rPr>
      </w:pPr>
    </w:p>
    <w:p w14:paraId="0D9DD296" w14:textId="1EE4E82A" w:rsidR="00AA6381" w:rsidRPr="00AA6381" w:rsidRDefault="00AA6381" w:rsidP="00AA6381">
      <w:pPr>
        <w:spacing w:before="0"/>
        <w:rPr>
          <w:i/>
          <w:iCs/>
        </w:rPr>
      </w:pPr>
      <w:r w:rsidRPr="00AA6381">
        <w:t xml:space="preserve">The </w:t>
      </w:r>
      <w:r w:rsidR="001B19BE" w:rsidRPr="00AA6381">
        <w:rPr>
          <w:i/>
          <w:iCs/>
        </w:rPr>
        <w:t>jurisdiction</w:t>
      </w:r>
      <w:r w:rsidR="00EF3445">
        <w:t xml:space="preserve"> </w:t>
      </w:r>
      <w:r w:rsidR="001B19BE" w:rsidRPr="00AA6381">
        <w:t xml:space="preserve">of the </w:t>
      </w:r>
      <w:proofErr w:type="spellStart"/>
      <w:r w:rsidR="001B19BE" w:rsidRPr="00AA6381">
        <w:rPr>
          <w:i/>
          <w:iCs/>
        </w:rPr>
        <w:t>codesheet</w:t>
      </w:r>
      <w:proofErr w:type="spellEnd"/>
    </w:p>
    <w:p w14:paraId="7AA47139" w14:textId="77777777" w:rsidR="00AA6381" w:rsidRPr="00AA6381" w:rsidRDefault="00AA6381" w:rsidP="00AA6381">
      <w:pPr>
        <w:spacing w:before="0"/>
      </w:pPr>
    </w:p>
    <w:p w14:paraId="11988268" w14:textId="77777777" w:rsidR="00AA6381" w:rsidRPr="00AA6381" w:rsidRDefault="00AA6381" w:rsidP="00AA6381">
      <w:pPr>
        <w:numPr>
          <w:ilvl w:val="0"/>
          <w:numId w:val="40"/>
        </w:numPr>
        <w:spacing w:before="0"/>
      </w:pPr>
      <w:r w:rsidRPr="00AA6381">
        <w:t>appears below the heading section</w:t>
      </w:r>
    </w:p>
    <w:p w14:paraId="22CF9C6F" w14:textId="77777777" w:rsidR="00AA6381" w:rsidRPr="00AA6381" w:rsidRDefault="00AA6381" w:rsidP="00AA6381">
      <w:pPr>
        <w:numPr>
          <w:ilvl w:val="0"/>
          <w:numId w:val="40"/>
        </w:numPr>
        <w:spacing w:before="0"/>
      </w:pPr>
      <w:r w:rsidRPr="00AA6381">
        <w:t>explains why the case is before the rating activity</w:t>
      </w:r>
    </w:p>
    <w:p w14:paraId="11B12133" w14:textId="77777777" w:rsidR="00AA6381" w:rsidRDefault="00AA6381" w:rsidP="00AA6381">
      <w:pPr>
        <w:numPr>
          <w:ilvl w:val="0"/>
          <w:numId w:val="40"/>
        </w:numPr>
        <w:spacing w:before="0"/>
      </w:pPr>
      <w:r w:rsidRPr="00AA6381">
        <w:t>refers to the claim at issue, and</w:t>
      </w:r>
    </w:p>
    <w:p w14:paraId="535350F5" w14:textId="77777777" w:rsidR="00D9604B" w:rsidRDefault="00AA6381" w:rsidP="00AA6381">
      <w:pPr>
        <w:numPr>
          <w:ilvl w:val="0"/>
          <w:numId w:val="40"/>
        </w:numPr>
        <w:spacing w:before="0"/>
      </w:pPr>
      <w:r w:rsidRPr="00AA6381">
        <w:t>cites the pertinent jurisdictional date.</w:t>
      </w:r>
    </w:p>
    <w:p w14:paraId="3E55A005" w14:textId="77777777" w:rsidR="00D9604B" w:rsidRDefault="00D9604B">
      <w:pPr>
        <w:overflowPunct/>
        <w:autoSpaceDE/>
        <w:autoSpaceDN/>
        <w:adjustRightInd/>
        <w:spacing w:before="0"/>
        <w:rPr>
          <w:rFonts w:ascii="Times New Roman Bold" w:hAnsi="Times New Roman Bold"/>
          <w:b/>
          <w:smallCaps/>
          <w:sz w:val="32"/>
          <w:szCs w:val="32"/>
        </w:rPr>
      </w:pPr>
    </w:p>
    <w:p w14:paraId="75E8B18F" w14:textId="77777777" w:rsidR="00B047FF" w:rsidRDefault="00B047FF" w:rsidP="00B047FF">
      <w:pPr>
        <w:spacing w:before="0"/>
        <w:rPr>
          <w:b/>
          <w:u w:val="single"/>
        </w:rPr>
      </w:pPr>
      <w:bookmarkStart w:id="8" w:name="_Hlk523903493"/>
      <w:r w:rsidRPr="00B047FF">
        <w:rPr>
          <w:b/>
          <w:u w:val="single"/>
        </w:rPr>
        <w:t>Associated Claim(s)</w:t>
      </w:r>
    </w:p>
    <w:p w14:paraId="7AF0C1AB" w14:textId="77777777" w:rsidR="00B047FF" w:rsidRDefault="00B047FF" w:rsidP="00B047FF">
      <w:pPr>
        <w:spacing w:before="0"/>
        <w:ind w:left="360"/>
        <w:rPr>
          <w:b/>
          <w:u w:val="single"/>
        </w:rPr>
      </w:pPr>
    </w:p>
    <w:p w14:paraId="0142ADBE" w14:textId="4C636199" w:rsidR="00B047FF" w:rsidRDefault="00B047FF" w:rsidP="00B047FF">
      <w:pPr>
        <w:overflowPunct/>
        <w:autoSpaceDE/>
        <w:autoSpaceDN/>
        <w:adjustRightInd/>
        <w:spacing w:before="0"/>
      </w:pPr>
      <w:r w:rsidRPr="00B047FF">
        <w:t xml:space="preserve">The </w:t>
      </w:r>
      <w:r w:rsidR="001B19BE" w:rsidRPr="00B047FF">
        <w:rPr>
          <w:i/>
        </w:rPr>
        <w:t>associated claim(</w:t>
      </w:r>
      <w:r w:rsidRPr="00B047FF">
        <w:rPr>
          <w:i/>
        </w:rPr>
        <w:t>s)</w:t>
      </w:r>
      <w:r w:rsidRPr="00B047FF">
        <w:t xml:space="preserve"> section </w:t>
      </w:r>
    </w:p>
    <w:p w14:paraId="761005CC" w14:textId="77777777" w:rsidR="00B047FF" w:rsidRPr="00B047FF" w:rsidRDefault="00B047FF" w:rsidP="00B047FF">
      <w:pPr>
        <w:overflowPunct/>
        <w:autoSpaceDE/>
        <w:autoSpaceDN/>
        <w:adjustRightInd/>
        <w:spacing w:before="0"/>
      </w:pPr>
    </w:p>
    <w:p w14:paraId="5FBB50A7" w14:textId="74FCB1FA" w:rsidR="00B047FF" w:rsidRPr="00B047FF" w:rsidRDefault="00B047FF" w:rsidP="00B047FF">
      <w:pPr>
        <w:numPr>
          <w:ilvl w:val="0"/>
          <w:numId w:val="41"/>
        </w:numPr>
        <w:overflowPunct/>
        <w:autoSpaceDE/>
        <w:autoSpaceDN/>
        <w:adjustRightInd/>
        <w:spacing w:before="0"/>
      </w:pPr>
      <w:r w:rsidRPr="00B047FF">
        <w:t xml:space="preserve">appears below the </w:t>
      </w:r>
      <w:r w:rsidR="001B19BE" w:rsidRPr="00B047FF">
        <w:rPr>
          <w:i/>
        </w:rPr>
        <w:t>jurisdiction</w:t>
      </w:r>
    </w:p>
    <w:p w14:paraId="3012117A" w14:textId="3455FDF9" w:rsidR="00B047FF" w:rsidRDefault="004C764F" w:rsidP="00B047FF">
      <w:pPr>
        <w:numPr>
          <w:ilvl w:val="0"/>
          <w:numId w:val="41"/>
        </w:numPr>
        <w:overflowPunct/>
        <w:autoSpaceDE/>
        <w:autoSpaceDN/>
        <w:adjustRightInd/>
        <w:spacing w:before="0"/>
      </w:pPr>
      <w:r w:rsidRPr="00B047FF">
        <w:t>include</w:t>
      </w:r>
      <w:r w:rsidR="00B047FF" w:rsidRPr="00B047FF">
        <w:t>s</w:t>
      </w:r>
      <w:r w:rsidRPr="00B047FF">
        <w:t xml:space="preserve"> all </w:t>
      </w:r>
      <w:proofErr w:type="gramStart"/>
      <w:r w:rsidRPr="00B047FF">
        <w:t>end product</w:t>
      </w:r>
      <w:proofErr w:type="gramEnd"/>
      <w:r w:rsidRPr="00B047FF">
        <w:t xml:space="preserve">(s) (EP) associated with the contentions/claims be processed along with the </w:t>
      </w:r>
      <w:r w:rsidR="001B19BE">
        <w:t>date of claim(s) (</w:t>
      </w:r>
      <w:r w:rsidRPr="00B047FF">
        <w:t>DOC) of the claim(s)</w:t>
      </w:r>
    </w:p>
    <w:p w14:paraId="403543FF" w14:textId="77777777" w:rsidR="00B047FF" w:rsidRDefault="00B047FF" w:rsidP="00B047FF">
      <w:pPr>
        <w:numPr>
          <w:ilvl w:val="0"/>
          <w:numId w:val="41"/>
        </w:numPr>
        <w:overflowPunct/>
        <w:autoSpaceDE/>
        <w:autoSpaceDN/>
        <w:adjustRightInd/>
        <w:spacing w:before="0"/>
      </w:pPr>
      <w:r w:rsidRPr="00B047FF">
        <w:t>cites the type of claim(s)</w:t>
      </w:r>
      <w:r w:rsidR="004C764F" w:rsidRPr="00B047FF">
        <w:t xml:space="preserve">  </w:t>
      </w:r>
    </w:p>
    <w:p w14:paraId="567E5CD6" w14:textId="77777777" w:rsidR="00B047FF" w:rsidRDefault="00B047FF" w:rsidP="00B047FF">
      <w:pPr>
        <w:overflowPunct/>
        <w:autoSpaceDE/>
        <w:autoSpaceDN/>
        <w:adjustRightInd/>
        <w:spacing w:before="0"/>
      </w:pPr>
    </w:p>
    <w:bookmarkEnd w:id="8"/>
    <w:p w14:paraId="48BC575B" w14:textId="77777777" w:rsidR="00B047FF" w:rsidRPr="00B047FF" w:rsidRDefault="00B047FF" w:rsidP="00B047FF">
      <w:pPr>
        <w:overflowPunct/>
        <w:autoSpaceDE/>
        <w:autoSpaceDN/>
        <w:adjustRightInd/>
        <w:spacing w:before="0"/>
        <w:rPr>
          <w:b/>
          <w:u w:val="single"/>
        </w:rPr>
      </w:pPr>
      <w:r>
        <w:rPr>
          <w:b/>
          <w:u w:val="single"/>
        </w:rPr>
        <w:t>Coded Conclusions</w:t>
      </w:r>
    </w:p>
    <w:p w14:paraId="7C70212F" w14:textId="77777777" w:rsidR="00B047FF" w:rsidRPr="00B047FF" w:rsidRDefault="00B047FF" w:rsidP="00B047FF">
      <w:pPr>
        <w:overflowPunct/>
        <w:autoSpaceDE/>
        <w:autoSpaceDN/>
        <w:adjustRightInd/>
        <w:spacing w:before="0"/>
        <w:rPr>
          <w:b/>
          <w:u w:val="single"/>
        </w:rPr>
      </w:pPr>
    </w:p>
    <w:p w14:paraId="74B61430" w14:textId="4EAB61B5" w:rsidR="00B047FF" w:rsidRPr="00B047FF" w:rsidRDefault="00B047FF" w:rsidP="00B047FF">
      <w:pPr>
        <w:overflowPunct/>
        <w:autoSpaceDE/>
        <w:autoSpaceDN/>
        <w:adjustRightInd/>
        <w:spacing w:before="0"/>
      </w:pPr>
      <w:r w:rsidRPr="00B047FF">
        <w:t xml:space="preserve">The </w:t>
      </w:r>
      <w:r w:rsidR="001B19BE" w:rsidRPr="00B047FF">
        <w:rPr>
          <w:i/>
        </w:rPr>
        <w:t>coded conclusions</w:t>
      </w:r>
      <w:r w:rsidR="001B19BE" w:rsidRPr="00B047FF">
        <w:t xml:space="preserve"> </w:t>
      </w:r>
      <w:r w:rsidRPr="00B047FF">
        <w:t xml:space="preserve">section provides the list of </w:t>
      </w:r>
      <w:proofErr w:type="spellStart"/>
      <w:r w:rsidRPr="00B047FF">
        <w:t>conditons</w:t>
      </w:r>
      <w:proofErr w:type="spellEnd"/>
      <w:r w:rsidRPr="00B047FF">
        <w:t xml:space="preserve"> that are service connected or not service connected</w:t>
      </w:r>
      <w:r w:rsidR="007D0F88">
        <w:t>, or for pension purposes only</w:t>
      </w:r>
      <w:r w:rsidRPr="00B047FF">
        <w:t xml:space="preserve">. This section must include all rated conditions </w:t>
      </w:r>
      <w:r w:rsidRPr="00B047FF">
        <w:rPr>
          <w:b/>
          <w:u w:val="single"/>
        </w:rPr>
        <w:t>both past and present</w:t>
      </w:r>
      <w:r w:rsidRPr="00B047FF">
        <w:t>.</w:t>
      </w:r>
    </w:p>
    <w:p w14:paraId="0831690E" w14:textId="77777777" w:rsidR="00B047FF" w:rsidRPr="00B047FF" w:rsidRDefault="00B047FF" w:rsidP="00B047FF">
      <w:pPr>
        <w:overflowPunct/>
        <w:autoSpaceDE/>
        <w:autoSpaceDN/>
        <w:adjustRightInd/>
        <w:spacing w:before="0"/>
      </w:pPr>
    </w:p>
    <w:p w14:paraId="6A97FC0D" w14:textId="77777777" w:rsidR="00B047FF" w:rsidRPr="00B047FF" w:rsidRDefault="00B047FF" w:rsidP="00B047FF">
      <w:pPr>
        <w:overflowPunct/>
        <w:autoSpaceDE/>
        <w:autoSpaceDN/>
        <w:adjustRightInd/>
        <w:spacing w:before="0"/>
      </w:pPr>
      <w:r w:rsidRPr="00B047FF">
        <w:t xml:space="preserve">38 CFR Part 4, Rating Schedule for Disabilities, is used to determine disability codes and percentages of evaluation.  </w:t>
      </w:r>
    </w:p>
    <w:p w14:paraId="63AD60E0" w14:textId="77777777" w:rsidR="00B047FF" w:rsidRPr="00B047FF" w:rsidRDefault="00B047FF" w:rsidP="00B047FF">
      <w:pPr>
        <w:overflowPunct/>
        <w:autoSpaceDE/>
        <w:autoSpaceDN/>
        <w:adjustRightInd/>
        <w:spacing w:before="0"/>
      </w:pPr>
    </w:p>
    <w:p w14:paraId="0D6A6FA2" w14:textId="77777777" w:rsidR="00B047FF" w:rsidRPr="00B047FF" w:rsidRDefault="00B047FF" w:rsidP="00B047FF">
      <w:pPr>
        <w:overflowPunct/>
        <w:autoSpaceDE/>
        <w:autoSpaceDN/>
        <w:adjustRightInd/>
        <w:spacing w:before="0"/>
      </w:pPr>
      <w:r w:rsidRPr="00B047FF">
        <w:t xml:space="preserve">If a condition is service connected, it must include </w:t>
      </w:r>
    </w:p>
    <w:p w14:paraId="47494FCD" w14:textId="77777777" w:rsidR="00B047FF" w:rsidRPr="00B047FF" w:rsidRDefault="00B047FF" w:rsidP="00B047FF">
      <w:pPr>
        <w:overflowPunct/>
        <w:autoSpaceDE/>
        <w:autoSpaceDN/>
        <w:adjustRightInd/>
        <w:spacing w:before="0"/>
      </w:pPr>
    </w:p>
    <w:p w14:paraId="62873CEB" w14:textId="77777777" w:rsidR="00B047FF" w:rsidRPr="00B047FF" w:rsidRDefault="004C764F" w:rsidP="00B047FF">
      <w:pPr>
        <w:numPr>
          <w:ilvl w:val="0"/>
          <w:numId w:val="42"/>
        </w:numPr>
        <w:overflowPunct/>
        <w:autoSpaceDE/>
        <w:autoSpaceDN/>
        <w:adjustRightInd/>
        <w:spacing w:before="0"/>
      </w:pPr>
      <w:r w:rsidRPr="00B047FF">
        <w:t xml:space="preserve">the </w:t>
      </w:r>
      <w:r w:rsidR="00841DB6">
        <w:t>current</w:t>
      </w:r>
      <w:r w:rsidRPr="00B047FF">
        <w:t xml:space="preserve"> percentage</w:t>
      </w:r>
      <w:r w:rsidR="00841DB6">
        <w:t xml:space="preserve"> evaluation</w:t>
      </w:r>
      <w:r w:rsidRPr="00B047FF">
        <w:t xml:space="preserve">, </w:t>
      </w:r>
    </w:p>
    <w:p w14:paraId="7938EE37" w14:textId="77777777" w:rsidR="00B047FF" w:rsidRPr="00B047FF" w:rsidRDefault="004C764F" w:rsidP="00B047FF">
      <w:pPr>
        <w:numPr>
          <w:ilvl w:val="0"/>
          <w:numId w:val="42"/>
        </w:numPr>
        <w:overflowPunct/>
        <w:autoSpaceDE/>
        <w:autoSpaceDN/>
        <w:adjustRightInd/>
        <w:spacing w:before="0"/>
      </w:pPr>
      <w:r w:rsidRPr="00B047FF">
        <w:t>the effective date of the grant</w:t>
      </w:r>
      <w:r w:rsidR="00B047FF" w:rsidRPr="00B047FF">
        <w:t xml:space="preserve"> (for each assigned evaluation for that condition)</w:t>
      </w:r>
      <w:r w:rsidRPr="00B047FF">
        <w:t xml:space="preserve">, </w:t>
      </w:r>
    </w:p>
    <w:p w14:paraId="1817B4EF" w14:textId="77777777" w:rsidR="00B047FF" w:rsidRPr="00B047FF" w:rsidRDefault="004C764F" w:rsidP="00B047FF">
      <w:pPr>
        <w:numPr>
          <w:ilvl w:val="0"/>
          <w:numId w:val="42"/>
        </w:numPr>
        <w:overflowPunct/>
        <w:autoSpaceDE/>
        <w:autoSpaceDN/>
        <w:adjustRightInd/>
        <w:spacing w:before="0"/>
      </w:pPr>
      <w:r w:rsidRPr="00B047FF">
        <w:t xml:space="preserve">the era in which the disability was incurred, </w:t>
      </w:r>
    </w:p>
    <w:p w14:paraId="6084FF87" w14:textId="77777777" w:rsidR="00B047FF" w:rsidRPr="00B047FF" w:rsidRDefault="004C764F" w:rsidP="00B047FF">
      <w:pPr>
        <w:numPr>
          <w:ilvl w:val="0"/>
          <w:numId w:val="42"/>
        </w:numPr>
        <w:overflowPunct/>
        <w:autoSpaceDE/>
        <w:autoSpaceDN/>
        <w:adjustRightInd/>
        <w:spacing w:before="0"/>
      </w:pPr>
      <w:r w:rsidRPr="00B047FF">
        <w:t xml:space="preserve">whether the </w:t>
      </w:r>
      <w:r w:rsidR="00B047FF" w:rsidRPr="00B047FF">
        <w:t>condition</w:t>
      </w:r>
      <w:r w:rsidRPr="00B047FF">
        <w:t xml:space="preserve"> is a disability severance condition</w:t>
      </w:r>
      <w:r w:rsidR="00B047FF" w:rsidRPr="00B047FF">
        <w:t xml:space="preserve"> </w:t>
      </w:r>
      <w:r w:rsidR="00B047FF" w:rsidRPr="00B047FF">
        <w:rPr>
          <w:b/>
          <w:u w:val="single"/>
        </w:rPr>
        <w:t>(extremely important)</w:t>
      </w:r>
      <w:r w:rsidRPr="00B047FF">
        <w:t xml:space="preserve">, </w:t>
      </w:r>
    </w:p>
    <w:p w14:paraId="694BBB8D" w14:textId="6417D870" w:rsidR="00B047FF" w:rsidRDefault="004C764F" w:rsidP="00B047FF">
      <w:pPr>
        <w:numPr>
          <w:ilvl w:val="0"/>
          <w:numId w:val="42"/>
        </w:numPr>
        <w:overflowPunct/>
        <w:autoSpaceDE/>
        <w:autoSpaceDN/>
        <w:adjustRightInd/>
        <w:spacing w:before="0"/>
      </w:pPr>
      <w:r w:rsidRPr="00B047FF">
        <w:t>whether the disability</w:t>
      </w:r>
      <w:r w:rsidR="00841DB6">
        <w:t xml:space="preserve"> is static or not,</w:t>
      </w:r>
      <w:r w:rsidRPr="00B047FF">
        <w:t xml:space="preserve"> </w:t>
      </w:r>
    </w:p>
    <w:p w14:paraId="02E18236" w14:textId="77777777" w:rsidR="00E72B02" w:rsidRDefault="00E72B02" w:rsidP="00E72B02">
      <w:pPr>
        <w:numPr>
          <w:ilvl w:val="0"/>
          <w:numId w:val="42"/>
        </w:numPr>
        <w:overflowPunct/>
        <w:autoSpaceDE/>
        <w:autoSpaceDN/>
        <w:adjustRightInd/>
        <w:spacing w:before="0"/>
      </w:pPr>
      <w:r>
        <w:t>basis for a decision (i.e. aggravated, presumptive, direct)</w:t>
      </w:r>
    </w:p>
    <w:p w14:paraId="01D71CA1" w14:textId="64999861" w:rsidR="00E72B02" w:rsidRPr="00B047FF" w:rsidRDefault="00E72B02" w:rsidP="00E72B02">
      <w:pPr>
        <w:numPr>
          <w:ilvl w:val="0"/>
          <w:numId w:val="42"/>
        </w:numPr>
        <w:overflowPunct/>
        <w:autoSpaceDE/>
        <w:autoSpaceDN/>
        <w:adjustRightInd/>
        <w:spacing w:before="0"/>
      </w:pPr>
      <w:r>
        <w:t>special issue (Agent Orange, Asbestos)</w:t>
      </w:r>
    </w:p>
    <w:p w14:paraId="19670470" w14:textId="77777777" w:rsidR="0027297E" w:rsidRDefault="004C764F" w:rsidP="00B047FF">
      <w:pPr>
        <w:numPr>
          <w:ilvl w:val="0"/>
          <w:numId w:val="42"/>
        </w:numPr>
        <w:overflowPunct/>
        <w:autoSpaceDE/>
        <w:autoSpaceDN/>
        <w:adjustRightInd/>
        <w:spacing w:before="0"/>
      </w:pPr>
      <w:r w:rsidRPr="00B047FF">
        <w:t xml:space="preserve">any future exam(s) that may be warranted for that </w:t>
      </w:r>
      <w:proofErr w:type="gramStart"/>
      <w:r w:rsidRPr="00B047FF">
        <w:t xml:space="preserve">particular </w:t>
      </w:r>
      <w:r w:rsidR="00841DB6">
        <w:t>condition</w:t>
      </w:r>
      <w:proofErr w:type="gramEnd"/>
      <w:r w:rsidR="00841DB6">
        <w:t>,</w:t>
      </w:r>
      <w:r w:rsidRPr="00B047FF">
        <w:t xml:space="preserve">  </w:t>
      </w:r>
    </w:p>
    <w:p w14:paraId="20220BF7" w14:textId="77777777" w:rsidR="00841DB6" w:rsidRPr="00841DB6" w:rsidRDefault="00841DB6" w:rsidP="00B047FF">
      <w:pPr>
        <w:numPr>
          <w:ilvl w:val="0"/>
          <w:numId w:val="42"/>
        </w:numPr>
        <w:overflowPunct/>
        <w:autoSpaceDE/>
        <w:autoSpaceDN/>
        <w:adjustRightInd/>
        <w:spacing w:before="0"/>
      </w:pPr>
      <w:r>
        <w:rPr>
          <w:szCs w:val="24"/>
        </w:rPr>
        <w:t>future percentage evaluation and future effective date, if applicable</w:t>
      </w:r>
    </w:p>
    <w:p w14:paraId="5531BCF3" w14:textId="77777777" w:rsidR="00841DB6" w:rsidRPr="00B047FF" w:rsidRDefault="00841DB6" w:rsidP="00841DB6">
      <w:pPr>
        <w:overflowPunct/>
        <w:autoSpaceDE/>
        <w:autoSpaceDN/>
        <w:adjustRightInd/>
        <w:spacing w:before="0"/>
        <w:ind w:left="360"/>
      </w:pPr>
    </w:p>
    <w:p w14:paraId="702A9549" w14:textId="77777777" w:rsidR="00841DB6" w:rsidRPr="00841DB6" w:rsidRDefault="00841DB6" w:rsidP="00841DB6">
      <w:pPr>
        <w:overflowPunct/>
        <w:autoSpaceDE/>
        <w:autoSpaceDN/>
        <w:adjustRightInd/>
        <w:spacing w:before="0"/>
      </w:pPr>
      <w:r w:rsidRPr="00841DB6">
        <w:t xml:space="preserve">At the end of the service connected conditions must be the </w:t>
      </w:r>
    </w:p>
    <w:p w14:paraId="2CADF7A6" w14:textId="77777777" w:rsidR="00841DB6" w:rsidRPr="00841DB6" w:rsidRDefault="00841DB6" w:rsidP="00841DB6">
      <w:pPr>
        <w:overflowPunct/>
        <w:autoSpaceDE/>
        <w:autoSpaceDN/>
        <w:adjustRightInd/>
        <w:spacing w:before="0"/>
      </w:pPr>
    </w:p>
    <w:p w14:paraId="290264F6" w14:textId="77777777" w:rsidR="00841DB6" w:rsidRPr="00841DB6" w:rsidRDefault="004C764F" w:rsidP="00841DB6">
      <w:pPr>
        <w:numPr>
          <w:ilvl w:val="0"/>
          <w:numId w:val="46"/>
        </w:numPr>
        <w:overflowPunct/>
        <w:autoSpaceDE/>
        <w:autoSpaceDN/>
        <w:adjustRightInd/>
        <w:spacing w:before="0"/>
      </w:pPr>
      <w:r w:rsidRPr="00841DB6">
        <w:t xml:space="preserve">combined </w:t>
      </w:r>
      <w:proofErr w:type="spellStart"/>
      <w:r w:rsidR="00841DB6" w:rsidRPr="00841DB6">
        <w:t>combined</w:t>
      </w:r>
      <w:proofErr w:type="spellEnd"/>
      <w:r w:rsidR="00841DB6" w:rsidRPr="00841DB6">
        <w:t xml:space="preserve"> </w:t>
      </w:r>
      <w:r w:rsidRPr="00841DB6">
        <w:t>evaluation</w:t>
      </w:r>
    </w:p>
    <w:p w14:paraId="5BE7FA0C" w14:textId="77777777" w:rsidR="00841DB6" w:rsidRDefault="00841DB6" w:rsidP="00841DB6">
      <w:pPr>
        <w:numPr>
          <w:ilvl w:val="0"/>
          <w:numId w:val="46"/>
        </w:numPr>
        <w:overflowPunct/>
        <w:autoSpaceDE/>
        <w:autoSpaceDN/>
        <w:adjustRightInd/>
        <w:spacing w:before="0"/>
      </w:pPr>
      <w:r w:rsidRPr="00841DB6">
        <w:lastRenderedPageBreak/>
        <w:t>historical combined evaluation, and</w:t>
      </w:r>
    </w:p>
    <w:p w14:paraId="6D707F8A" w14:textId="77777777" w:rsidR="00B047FF" w:rsidRPr="00B047FF" w:rsidRDefault="004C764F" w:rsidP="00841DB6">
      <w:pPr>
        <w:numPr>
          <w:ilvl w:val="0"/>
          <w:numId w:val="46"/>
        </w:numPr>
        <w:overflowPunct/>
        <w:autoSpaceDE/>
        <w:autoSpaceDN/>
        <w:adjustRightInd/>
        <w:spacing w:before="0"/>
      </w:pPr>
      <w:r w:rsidRPr="00841DB6">
        <w:t>the effective date</w:t>
      </w:r>
      <w:r w:rsidR="00841DB6" w:rsidRPr="00841DB6">
        <w:t xml:space="preserve">(s) </w:t>
      </w:r>
      <w:r w:rsidRPr="00841DB6">
        <w:t>f</w:t>
      </w:r>
      <w:r w:rsidR="00841DB6" w:rsidRPr="00841DB6">
        <w:t>or each combined evaluation</w:t>
      </w:r>
      <w:r w:rsidRPr="00841DB6">
        <w:t xml:space="preserve">. </w:t>
      </w:r>
      <w:r w:rsidR="00B047FF" w:rsidRPr="00B047FF">
        <w:t xml:space="preserve"> </w:t>
      </w:r>
    </w:p>
    <w:p w14:paraId="0FD9C187" w14:textId="77777777" w:rsidR="00B047FF" w:rsidRPr="00B047FF" w:rsidRDefault="00B047FF" w:rsidP="00B047FF">
      <w:pPr>
        <w:overflowPunct/>
        <w:autoSpaceDE/>
        <w:autoSpaceDN/>
        <w:adjustRightInd/>
        <w:spacing w:before="0"/>
      </w:pPr>
    </w:p>
    <w:p w14:paraId="2FE21D34" w14:textId="1FD03D6A" w:rsidR="00B047FF" w:rsidRPr="00B047FF" w:rsidRDefault="00B047FF" w:rsidP="00B047FF">
      <w:pPr>
        <w:overflowPunct/>
        <w:autoSpaceDE/>
        <w:autoSpaceDN/>
        <w:adjustRightInd/>
        <w:spacing w:before="0"/>
      </w:pPr>
      <w:r w:rsidRPr="00B047FF">
        <w:t xml:space="preserve">All denials for service connection must include the date of the original denial along with the reason and era. If the Veteran has ever claimed pension, each non-service connected condition must include a disability percentage for pension purposes. Furthermore, the </w:t>
      </w:r>
      <w:proofErr w:type="spellStart"/>
      <w:r w:rsidR="001B19BE" w:rsidRPr="00B047FF">
        <w:rPr>
          <w:i/>
        </w:rPr>
        <w:t>code</w:t>
      </w:r>
      <w:r w:rsidRPr="00B047FF">
        <w:rPr>
          <w:i/>
        </w:rPr>
        <w:t>sheet</w:t>
      </w:r>
      <w:proofErr w:type="spellEnd"/>
      <w:r w:rsidRPr="00B047FF">
        <w:t xml:space="preserve"> must include the combined evaluation of all service connected and non-service connected conditions for pension purposes.  </w:t>
      </w:r>
    </w:p>
    <w:p w14:paraId="10872078" w14:textId="77777777" w:rsidR="00B047FF" w:rsidRPr="00B047FF" w:rsidRDefault="00B047FF" w:rsidP="00B047FF">
      <w:pPr>
        <w:overflowPunct/>
        <w:autoSpaceDE/>
        <w:autoSpaceDN/>
        <w:adjustRightInd/>
        <w:spacing w:before="0"/>
      </w:pPr>
    </w:p>
    <w:p w14:paraId="2AF5677F" w14:textId="77777777" w:rsidR="00B047FF" w:rsidRPr="00B047FF" w:rsidRDefault="00B047FF" w:rsidP="00B047FF">
      <w:pPr>
        <w:overflowPunct/>
        <w:autoSpaceDE/>
        <w:autoSpaceDN/>
        <w:adjustRightInd/>
        <w:spacing w:before="0"/>
      </w:pPr>
      <w:r w:rsidRPr="00B047FF">
        <w:rPr>
          <w:b/>
          <w:i/>
        </w:rPr>
        <w:t>Please note</w:t>
      </w:r>
      <w:r w:rsidRPr="00B047FF">
        <w:t xml:space="preserve"> that </w:t>
      </w:r>
      <w:proofErr w:type="gramStart"/>
      <w:r w:rsidRPr="00B047FF">
        <w:t>in order to</w:t>
      </w:r>
      <w:proofErr w:type="gramEnd"/>
      <w:r w:rsidRPr="00B047FF">
        <w:t xml:space="preserve"> identify a condition that received disability severance pay, one must select “Disability Severance” from the “Withholding Information” drop down under the “Diagnosis Information” chevron under the “Disability Decisions” tab in VBMS-R.  </w:t>
      </w:r>
    </w:p>
    <w:p w14:paraId="23904D0D" w14:textId="77777777" w:rsidR="00B047FF" w:rsidRPr="00B047FF" w:rsidRDefault="00B047FF" w:rsidP="00B047FF">
      <w:pPr>
        <w:overflowPunct/>
        <w:autoSpaceDE/>
        <w:autoSpaceDN/>
        <w:adjustRightInd/>
        <w:spacing w:before="0"/>
      </w:pPr>
    </w:p>
    <w:p w14:paraId="71E8C45C" w14:textId="77777777" w:rsidR="00B047FF" w:rsidRPr="00B047FF" w:rsidRDefault="001E6254" w:rsidP="00B047FF">
      <w:pPr>
        <w:overflowPunct/>
        <w:autoSpaceDE/>
        <w:autoSpaceDN/>
        <w:adjustRightInd/>
        <w:spacing w:before="0"/>
      </w:pPr>
      <w:r>
        <w:rPr>
          <w:noProof/>
        </w:rPr>
        <w:drawing>
          <wp:inline distT="0" distB="0" distL="0" distR="0" wp14:anchorId="7F53F7AA" wp14:editId="5EFCAB8C">
            <wp:extent cx="6149519" cy="27432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55721" cy="2745967"/>
                    </a:xfrm>
                    <a:prstGeom prst="rect">
                      <a:avLst/>
                    </a:prstGeom>
                  </pic:spPr>
                </pic:pic>
              </a:graphicData>
            </a:graphic>
          </wp:inline>
        </w:drawing>
      </w:r>
      <w:r>
        <w:rPr>
          <w:noProof/>
        </w:rPr>
        <w:t xml:space="preserve"> </w:t>
      </w:r>
    </w:p>
    <w:p w14:paraId="09C1F90F" w14:textId="77777777" w:rsidR="00B047FF" w:rsidRPr="00B047FF" w:rsidRDefault="00B047FF" w:rsidP="00B047FF">
      <w:pPr>
        <w:overflowPunct/>
        <w:autoSpaceDE/>
        <w:autoSpaceDN/>
        <w:adjustRightInd/>
        <w:spacing w:before="0"/>
      </w:pPr>
    </w:p>
    <w:p w14:paraId="717C5CD5" w14:textId="12D0CB20" w:rsidR="00B047FF" w:rsidRPr="00B047FF" w:rsidRDefault="00B047FF" w:rsidP="00B047FF">
      <w:pPr>
        <w:overflowPunct/>
        <w:autoSpaceDE/>
        <w:autoSpaceDN/>
        <w:adjustRightInd/>
        <w:spacing w:before="0"/>
      </w:pPr>
      <w:r w:rsidRPr="00B047FF">
        <w:t>Conditions that need further development before a proper decision can be made will be listed under the heading “Deferred Issues.” It is extremely important that when a final decision for a deferred issue is made that the condition is removed from the “Deferred Issues” subsection.</w:t>
      </w:r>
    </w:p>
    <w:p w14:paraId="4B0253E9" w14:textId="77777777" w:rsidR="00B047FF" w:rsidRPr="00B047FF" w:rsidRDefault="00B047FF" w:rsidP="00B047FF">
      <w:pPr>
        <w:overflowPunct/>
        <w:autoSpaceDE/>
        <w:autoSpaceDN/>
        <w:adjustRightInd/>
        <w:spacing w:before="0"/>
      </w:pPr>
    </w:p>
    <w:p w14:paraId="3359E74A" w14:textId="6F0D4644" w:rsidR="00B047FF" w:rsidRDefault="00CE10BA" w:rsidP="00B047FF">
      <w:pPr>
        <w:overflowPunct/>
        <w:autoSpaceDE/>
        <w:autoSpaceDN/>
        <w:adjustRightInd/>
        <w:spacing w:before="0"/>
      </w:pPr>
      <w:r>
        <w:t xml:space="preserve">Additionally, </w:t>
      </w:r>
      <w:r w:rsidR="00B047FF" w:rsidRPr="00B047FF">
        <w:t xml:space="preserve">a condition cannot be listed simultaneously under the Service Connected subsection and the Not Service Connected subsection. This is duplicate and non-compliant with properly updated VA systems.  </w:t>
      </w:r>
    </w:p>
    <w:p w14:paraId="1B0ACCF7" w14:textId="77777777" w:rsidR="00B047FF" w:rsidRDefault="00B047FF" w:rsidP="00B047FF">
      <w:pPr>
        <w:overflowPunct/>
        <w:autoSpaceDE/>
        <w:autoSpaceDN/>
        <w:adjustRightInd/>
        <w:spacing w:before="0"/>
      </w:pPr>
    </w:p>
    <w:p w14:paraId="0865D35C" w14:textId="77777777" w:rsidR="00B047FF" w:rsidRPr="00B047FF" w:rsidRDefault="00B047FF" w:rsidP="00B047FF">
      <w:pPr>
        <w:overflowPunct/>
        <w:autoSpaceDE/>
        <w:autoSpaceDN/>
        <w:adjustRightInd/>
        <w:spacing w:before="0"/>
        <w:rPr>
          <w:b/>
          <w:u w:val="single"/>
        </w:rPr>
      </w:pPr>
      <w:r w:rsidRPr="00B047FF">
        <w:rPr>
          <w:b/>
          <w:u w:val="single"/>
        </w:rPr>
        <w:t>Specia</w:t>
      </w:r>
      <w:r>
        <w:rPr>
          <w:b/>
          <w:u w:val="single"/>
        </w:rPr>
        <w:t>l</w:t>
      </w:r>
      <w:r w:rsidRPr="00B047FF">
        <w:rPr>
          <w:b/>
          <w:u w:val="single"/>
        </w:rPr>
        <w:t xml:space="preserve"> Notations and Template Fields</w:t>
      </w:r>
    </w:p>
    <w:p w14:paraId="456A29AB" w14:textId="77777777" w:rsidR="00B047FF" w:rsidRPr="00B047FF" w:rsidRDefault="00B047FF" w:rsidP="00B047FF">
      <w:pPr>
        <w:overflowPunct/>
        <w:autoSpaceDE/>
        <w:autoSpaceDN/>
        <w:adjustRightInd/>
        <w:spacing w:before="0"/>
        <w:rPr>
          <w:b/>
          <w:u w:val="single"/>
        </w:rPr>
      </w:pPr>
    </w:p>
    <w:p w14:paraId="14CD5645" w14:textId="3039F5AB" w:rsidR="00B047FF" w:rsidRPr="00B047FF" w:rsidRDefault="00B047FF" w:rsidP="00B047FF">
      <w:pPr>
        <w:overflowPunct/>
        <w:autoSpaceDE/>
        <w:autoSpaceDN/>
        <w:adjustRightInd/>
        <w:spacing w:before="0"/>
      </w:pPr>
      <w:r w:rsidRPr="00B047FF">
        <w:t xml:space="preserve">The primary purposes of notations made in the </w:t>
      </w:r>
      <w:r w:rsidRPr="00B047FF">
        <w:rPr>
          <w:i/>
        </w:rPr>
        <w:t>special notation</w:t>
      </w:r>
      <w:r w:rsidRPr="00B047FF">
        <w:t xml:space="preserve"> and the notification </w:t>
      </w:r>
      <w:r w:rsidRPr="00B047FF">
        <w:rPr>
          <w:i/>
        </w:rPr>
        <w:t>template</w:t>
      </w:r>
      <w:r w:rsidRPr="00B047FF">
        <w:t xml:space="preserve"> fields on </w:t>
      </w:r>
      <w:r w:rsidR="000B2046" w:rsidRPr="00B047FF">
        <w:t xml:space="preserve">the </w:t>
      </w:r>
      <w:proofErr w:type="spellStart"/>
      <w:r w:rsidR="000B2046" w:rsidRPr="00B047FF">
        <w:rPr>
          <w:i/>
          <w:iCs/>
        </w:rPr>
        <w:t>codesheet</w:t>
      </w:r>
      <w:proofErr w:type="spellEnd"/>
      <w:r w:rsidR="000B2046" w:rsidRPr="00B047FF">
        <w:rPr>
          <w:i/>
          <w:iCs/>
        </w:rPr>
        <w:t xml:space="preserve"> </w:t>
      </w:r>
      <w:r w:rsidRPr="00B047FF">
        <w:t>are to</w:t>
      </w:r>
    </w:p>
    <w:p w14:paraId="2473640B" w14:textId="77777777" w:rsidR="00B047FF" w:rsidRPr="00B047FF" w:rsidRDefault="00B047FF" w:rsidP="00B047FF">
      <w:pPr>
        <w:overflowPunct/>
        <w:autoSpaceDE/>
        <w:autoSpaceDN/>
        <w:adjustRightInd/>
        <w:spacing w:before="0"/>
      </w:pPr>
    </w:p>
    <w:p w14:paraId="79D1BEB4" w14:textId="77777777" w:rsidR="00B047FF" w:rsidRPr="00B047FF" w:rsidRDefault="00B047FF" w:rsidP="00B047FF">
      <w:pPr>
        <w:numPr>
          <w:ilvl w:val="0"/>
          <w:numId w:val="43"/>
        </w:numPr>
        <w:overflowPunct/>
        <w:autoSpaceDE/>
        <w:autoSpaceDN/>
        <w:adjustRightInd/>
        <w:spacing w:before="0"/>
      </w:pPr>
      <w:r w:rsidRPr="00B047FF">
        <w:t>record special remarks or approvals applicable to the rating decision, and</w:t>
      </w:r>
    </w:p>
    <w:p w14:paraId="7E8DEEE1" w14:textId="77777777" w:rsidR="00B047FF" w:rsidRPr="00B047FF" w:rsidRDefault="00B047FF" w:rsidP="00B047FF">
      <w:pPr>
        <w:numPr>
          <w:ilvl w:val="0"/>
          <w:numId w:val="43"/>
        </w:numPr>
        <w:overflowPunct/>
        <w:autoSpaceDE/>
        <w:autoSpaceDN/>
        <w:adjustRightInd/>
        <w:spacing w:before="0"/>
      </w:pPr>
      <w:r w:rsidRPr="00B047FF">
        <w:t>communicate an instruction or administrative message to the authorization activity.</w:t>
      </w:r>
    </w:p>
    <w:p w14:paraId="261238BB" w14:textId="77777777" w:rsidR="00B047FF" w:rsidRPr="00B047FF" w:rsidRDefault="00B047FF" w:rsidP="00B047FF">
      <w:pPr>
        <w:overflowPunct/>
        <w:autoSpaceDE/>
        <w:autoSpaceDN/>
        <w:adjustRightInd/>
        <w:spacing w:before="0"/>
      </w:pPr>
    </w:p>
    <w:p w14:paraId="241735AD" w14:textId="7CD284A5" w:rsidR="00B047FF" w:rsidRPr="00B047FF" w:rsidRDefault="00B047FF" w:rsidP="00B047FF">
      <w:pPr>
        <w:overflowPunct/>
        <w:autoSpaceDE/>
        <w:autoSpaceDN/>
        <w:adjustRightInd/>
        <w:spacing w:before="0"/>
      </w:pPr>
      <w:r w:rsidRPr="00B047FF">
        <w:lastRenderedPageBreak/>
        <w:t>For instance, for Rating Narratives that propose to reduce and/or sever a service connected condition, the proposed combined evaluation will be included in this section</w:t>
      </w:r>
      <w:r w:rsidR="009C3F8E">
        <w:t xml:space="preserve"> (</w:t>
      </w:r>
      <w:hyperlink r:id="rId21" w:anchor="3" w:history="1">
        <w:r w:rsidR="009C3F8E" w:rsidRPr="00433AEE">
          <w:rPr>
            <w:rStyle w:val="Hyperlink"/>
          </w:rPr>
          <w:t>M21-1,</w:t>
        </w:r>
        <w:r w:rsidR="009C3F8E" w:rsidRPr="00433AEE">
          <w:rPr>
            <w:rStyle w:val="Hyperlink"/>
            <w:rFonts w:ascii="Arial" w:hAnsi="Arial" w:cs="Arial"/>
            <w:sz w:val="21"/>
            <w:szCs w:val="21"/>
          </w:rPr>
          <w:t xml:space="preserve"> </w:t>
        </w:r>
        <w:r w:rsidR="009C3F8E" w:rsidRPr="00433AEE">
          <w:rPr>
            <w:rStyle w:val="Hyperlink"/>
          </w:rPr>
          <w:t>IV.ii.3.A.3.a</w:t>
        </w:r>
      </w:hyperlink>
      <w:r w:rsidR="00C651A3">
        <w:t xml:space="preserve"> and </w:t>
      </w:r>
      <w:hyperlink r:id="rId22" w:anchor="1" w:history="1">
        <w:r w:rsidR="00C651A3" w:rsidRPr="00C651A3">
          <w:rPr>
            <w:rStyle w:val="Hyperlink"/>
          </w:rPr>
          <w:t>III.iv.8.B.1.b</w:t>
        </w:r>
      </w:hyperlink>
      <w:r w:rsidR="00C651A3">
        <w:t>)</w:t>
      </w:r>
      <w:r w:rsidRPr="00B047FF">
        <w:t xml:space="preserve">.  </w:t>
      </w:r>
    </w:p>
    <w:p w14:paraId="2972FC39" w14:textId="77777777" w:rsidR="00B047FF" w:rsidRPr="00B047FF" w:rsidRDefault="00B047FF" w:rsidP="00B047FF">
      <w:pPr>
        <w:overflowPunct/>
        <w:autoSpaceDE/>
        <w:autoSpaceDN/>
        <w:adjustRightInd/>
        <w:spacing w:before="0"/>
        <w:rPr>
          <w:b/>
          <w:bCs/>
          <w:i/>
          <w:iCs/>
        </w:rPr>
      </w:pPr>
    </w:p>
    <w:p w14:paraId="3B42F066" w14:textId="6B4D8F05" w:rsidR="00B047FF" w:rsidRPr="00B047FF" w:rsidRDefault="00B047FF" w:rsidP="00B047FF">
      <w:pPr>
        <w:overflowPunct/>
        <w:autoSpaceDE/>
        <w:autoSpaceDN/>
        <w:adjustRightInd/>
        <w:spacing w:before="0"/>
      </w:pPr>
      <w:r w:rsidRPr="00B047FF">
        <w:rPr>
          <w:b/>
          <w:bCs/>
          <w:i/>
          <w:iCs/>
        </w:rPr>
        <w:t>Note</w:t>
      </w:r>
      <w:r w:rsidRPr="00B047FF">
        <w:t xml:space="preserve">:  All </w:t>
      </w:r>
      <w:r w:rsidRPr="00B047FF">
        <w:rPr>
          <w:i/>
        </w:rPr>
        <w:t>special notations</w:t>
      </w:r>
      <w:r w:rsidRPr="00B047FF">
        <w:t xml:space="preserve"> and </w:t>
      </w:r>
      <w:r w:rsidRPr="00B047FF">
        <w:rPr>
          <w:i/>
        </w:rPr>
        <w:t>templates</w:t>
      </w:r>
      <w:r w:rsidRPr="00B047FF">
        <w:t xml:space="preserve"> are generated through input in the ISSUE MANAGEMENT tab of VBMS-R.</w:t>
      </w:r>
    </w:p>
    <w:p w14:paraId="120D3CCB" w14:textId="77777777" w:rsidR="00B047FF" w:rsidRPr="00B047FF" w:rsidRDefault="00B047FF" w:rsidP="00B047FF">
      <w:pPr>
        <w:overflowPunct/>
        <w:autoSpaceDE/>
        <w:autoSpaceDN/>
        <w:adjustRightInd/>
        <w:spacing w:before="0"/>
      </w:pPr>
    </w:p>
    <w:p w14:paraId="20E1F304" w14:textId="1F2574E9" w:rsidR="00B047FF" w:rsidRPr="00B047FF" w:rsidRDefault="00B047FF" w:rsidP="00B047FF">
      <w:pPr>
        <w:overflowPunct/>
        <w:autoSpaceDE/>
        <w:autoSpaceDN/>
        <w:adjustRightInd/>
        <w:spacing w:before="0"/>
      </w:pPr>
      <w:r w:rsidRPr="00B047FF">
        <w:t>Use the SPECIAL NOTATION field, accessible from VBMS-R's PROFILE tab,</w:t>
      </w:r>
      <w:r w:rsidR="00EF3445">
        <w:t xml:space="preserve"> </w:t>
      </w:r>
      <w:r w:rsidRPr="00B047FF">
        <w:t xml:space="preserve">to communicate an instruction or administrative message to the VSR. Clarify if the message is solely administrative (for example, </w:t>
      </w:r>
      <w:r w:rsidRPr="00B047FF">
        <w:rPr>
          <w:i/>
          <w:iCs/>
        </w:rPr>
        <w:t>Cancel the erroneously established EP 930</w:t>
      </w:r>
      <w:r w:rsidRPr="00B047FF">
        <w:t xml:space="preserve">) or to be shared with the Veteran (for example, </w:t>
      </w:r>
      <w:r w:rsidRPr="00B047FF">
        <w:rPr>
          <w:i/>
          <w:iCs/>
        </w:rPr>
        <w:t>Tell the Veteran that the evaluation of his nephrolithiasis is currently under appeal and will be addressed in a future decision</w:t>
      </w:r>
      <w:r w:rsidRPr="00B047FF">
        <w:t>).</w:t>
      </w:r>
    </w:p>
    <w:p w14:paraId="1734ADEF" w14:textId="77777777" w:rsidR="00B047FF" w:rsidRPr="00B047FF" w:rsidRDefault="00B047FF" w:rsidP="00B047FF">
      <w:pPr>
        <w:overflowPunct/>
        <w:autoSpaceDE/>
        <w:autoSpaceDN/>
        <w:adjustRightInd/>
        <w:spacing w:before="0"/>
        <w:rPr>
          <w:b/>
          <w:bCs/>
          <w:i/>
          <w:iCs/>
        </w:rPr>
      </w:pPr>
    </w:p>
    <w:p w14:paraId="5B015641" w14:textId="6171631F" w:rsidR="00B047FF" w:rsidRPr="00B047FF" w:rsidRDefault="00B047FF" w:rsidP="00B047FF">
      <w:pPr>
        <w:overflowPunct/>
        <w:autoSpaceDE/>
        <w:autoSpaceDN/>
        <w:adjustRightInd/>
        <w:spacing w:before="0"/>
      </w:pPr>
      <w:r w:rsidRPr="00B047FF">
        <w:rPr>
          <w:b/>
          <w:bCs/>
          <w:i/>
          <w:iCs/>
        </w:rPr>
        <w:t>Note</w:t>
      </w:r>
      <w:r w:rsidRPr="00B047FF">
        <w:t xml:space="preserve">:  The special notation text appears at the bottom of the </w:t>
      </w:r>
      <w:proofErr w:type="spellStart"/>
      <w:r w:rsidR="001B19BE" w:rsidRPr="00B047FF">
        <w:rPr>
          <w:i/>
          <w:iCs/>
        </w:rPr>
        <w:t>codeshe</w:t>
      </w:r>
      <w:r w:rsidRPr="00B047FF">
        <w:rPr>
          <w:i/>
          <w:iCs/>
        </w:rPr>
        <w:t>et</w:t>
      </w:r>
      <w:proofErr w:type="spellEnd"/>
      <w:r w:rsidRPr="00B047FF">
        <w:t xml:space="preserve"> above the signature(s)</w:t>
      </w:r>
      <w:r w:rsidR="002625AB" w:rsidRPr="002625AB">
        <w:rPr>
          <w:szCs w:val="24"/>
        </w:rPr>
        <w:t xml:space="preserve"> </w:t>
      </w:r>
      <w:r w:rsidR="002625AB" w:rsidRPr="002625AB">
        <w:t xml:space="preserve">(unless the Rating is for a clear and unmistakable error (CUE). In that case, the special notation text appears at the top of the </w:t>
      </w:r>
      <w:proofErr w:type="spellStart"/>
      <w:r w:rsidR="002625AB" w:rsidRPr="002625AB">
        <w:t>codesheet</w:t>
      </w:r>
      <w:proofErr w:type="spellEnd"/>
      <w:r w:rsidR="002625AB" w:rsidRPr="002625AB">
        <w:t>).</w:t>
      </w:r>
    </w:p>
    <w:p w14:paraId="5D56F0CD" w14:textId="77777777" w:rsidR="00B047FF" w:rsidRPr="00B047FF" w:rsidRDefault="00B047FF" w:rsidP="00B047FF">
      <w:pPr>
        <w:overflowPunct/>
        <w:autoSpaceDE/>
        <w:autoSpaceDN/>
        <w:adjustRightInd/>
        <w:spacing w:before="0"/>
        <w:rPr>
          <w:b/>
          <w:bCs/>
          <w:i/>
          <w:iCs/>
        </w:rPr>
      </w:pPr>
    </w:p>
    <w:p w14:paraId="6B60C59B" w14:textId="77777777" w:rsidR="00B047FF" w:rsidRDefault="00B047FF" w:rsidP="00B047FF">
      <w:pPr>
        <w:overflowPunct/>
        <w:autoSpaceDE/>
        <w:autoSpaceDN/>
        <w:adjustRightInd/>
        <w:spacing w:before="0"/>
      </w:pPr>
      <w:r w:rsidRPr="00B047FF">
        <w:rPr>
          <w:b/>
          <w:bCs/>
          <w:i/>
          <w:iCs/>
        </w:rPr>
        <w:t>Reference</w:t>
      </w:r>
      <w:r w:rsidRPr="00B047FF">
        <w:t xml:space="preserve">:  For further information on the ISSUE MANAGEMENT tab or SPECIAL NOTATION field, see the </w:t>
      </w:r>
      <w:hyperlink r:id="rId23" w:tgtFrame="_blank" w:history="1">
        <w:r w:rsidRPr="00B047FF">
          <w:rPr>
            <w:rStyle w:val="Hyperlink"/>
          </w:rPr>
          <w:t>VBMS-R User Guide</w:t>
        </w:r>
      </w:hyperlink>
      <w:r w:rsidRPr="00B047FF">
        <w:t>.</w:t>
      </w:r>
    </w:p>
    <w:p w14:paraId="7A89C30A" w14:textId="77777777" w:rsidR="00B047FF" w:rsidRDefault="00B047FF" w:rsidP="00B047FF">
      <w:pPr>
        <w:overflowPunct/>
        <w:autoSpaceDE/>
        <w:autoSpaceDN/>
        <w:adjustRightInd/>
        <w:spacing w:before="0"/>
      </w:pPr>
    </w:p>
    <w:p w14:paraId="120C6107" w14:textId="77777777" w:rsidR="00B047FF" w:rsidRPr="00B047FF" w:rsidRDefault="00B047FF" w:rsidP="00B047FF">
      <w:pPr>
        <w:overflowPunct/>
        <w:autoSpaceDE/>
        <w:autoSpaceDN/>
        <w:adjustRightInd/>
        <w:spacing w:before="0"/>
        <w:rPr>
          <w:b/>
          <w:u w:val="single"/>
        </w:rPr>
      </w:pPr>
      <w:r>
        <w:rPr>
          <w:b/>
          <w:u w:val="single"/>
        </w:rPr>
        <w:t>Signature</w:t>
      </w:r>
    </w:p>
    <w:p w14:paraId="7FF30FE6" w14:textId="77777777" w:rsidR="00B047FF" w:rsidRPr="00B047FF" w:rsidRDefault="00B047FF" w:rsidP="00B047FF">
      <w:pPr>
        <w:overflowPunct/>
        <w:autoSpaceDE/>
        <w:autoSpaceDN/>
        <w:adjustRightInd/>
        <w:spacing w:before="0"/>
        <w:rPr>
          <w:b/>
          <w:u w:val="single"/>
        </w:rPr>
      </w:pPr>
    </w:p>
    <w:p w14:paraId="2AB5D9E6" w14:textId="7B02C1F8" w:rsidR="002E27F6" w:rsidRPr="002E27F6" w:rsidRDefault="002E27F6" w:rsidP="002E27F6">
      <w:pPr>
        <w:overflowPunct/>
        <w:autoSpaceDE/>
        <w:autoSpaceDN/>
        <w:adjustRightInd/>
        <w:spacing w:before="0"/>
      </w:pPr>
      <w:bookmarkStart w:id="9" w:name="_Hlk523903618"/>
      <w:r w:rsidRPr="002E27F6">
        <w:t>Rating decisions must contain the decision maker’s</w:t>
      </w:r>
      <w:r w:rsidR="00CF4855">
        <w:t xml:space="preserve"> </w:t>
      </w:r>
      <w:r w:rsidRPr="002E27F6">
        <w:t xml:space="preserve">standard digital signature on the bottom of the last page of the </w:t>
      </w:r>
      <w:proofErr w:type="spellStart"/>
      <w:r w:rsidR="001B19BE" w:rsidRPr="002E27F6">
        <w:rPr>
          <w:i/>
          <w:iCs/>
        </w:rPr>
        <w:t>co</w:t>
      </w:r>
      <w:r w:rsidRPr="002E27F6">
        <w:rPr>
          <w:i/>
          <w:iCs/>
        </w:rPr>
        <w:t>desheet</w:t>
      </w:r>
      <w:proofErr w:type="spellEnd"/>
      <w:r w:rsidR="001B19BE">
        <w:t>. “w</w:t>
      </w:r>
      <w:r w:rsidRPr="002E27F6">
        <w:t>et signatures” are no longer required.</w:t>
      </w:r>
    </w:p>
    <w:p w14:paraId="1D752366" w14:textId="77777777" w:rsidR="002E27F6" w:rsidRPr="002E27F6" w:rsidRDefault="002E27F6" w:rsidP="002E27F6">
      <w:pPr>
        <w:overflowPunct/>
        <w:autoSpaceDE/>
        <w:autoSpaceDN/>
        <w:adjustRightInd/>
        <w:spacing w:before="0"/>
      </w:pPr>
    </w:p>
    <w:p w14:paraId="31DBC78A" w14:textId="77777777" w:rsidR="002E27F6" w:rsidRPr="002E27F6" w:rsidRDefault="002E27F6" w:rsidP="002E27F6">
      <w:pPr>
        <w:overflowPunct/>
        <w:autoSpaceDE/>
        <w:autoSpaceDN/>
        <w:adjustRightInd/>
        <w:spacing w:before="0"/>
      </w:pPr>
      <w:r w:rsidRPr="002E27F6">
        <w:t xml:space="preserve">A rating decision </w:t>
      </w:r>
      <w:r w:rsidRPr="002E27F6">
        <w:rPr>
          <w:b/>
          <w:bCs/>
          <w:i/>
          <w:iCs/>
        </w:rPr>
        <w:t>signature</w:t>
      </w:r>
      <w:r w:rsidRPr="002E27F6">
        <w:t xml:space="preserve"> is defined as</w:t>
      </w:r>
    </w:p>
    <w:p w14:paraId="5782B78C" w14:textId="77777777" w:rsidR="002E27F6" w:rsidRPr="002E27F6" w:rsidRDefault="002E27F6" w:rsidP="002E27F6">
      <w:pPr>
        <w:overflowPunct/>
        <w:autoSpaceDE/>
        <w:autoSpaceDN/>
        <w:adjustRightInd/>
        <w:spacing w:before="0"/>
      </w:pPr>
    </w:p>
    <w:p w14:paraId="4CC85B76" w14:textId="77777777" w:rsidR="002E27F6" w:rsidRPr="002E27F6" w:rsidRDefault="002E27F6" w:rsidP="002E27F6">
      <w:pPr>
        <w:numPr>
          <w:ilvl w:val="0"/>
          <w:numId w:val="44"/>
        </w:numPr>
        <w:overflowPunct/>
        <w:autoSpaceDE/>
        <w:autoSpaceDN/>
        <w:adjustRightInd/>
        <w:spacing w:before="0"/>
      </w:pPr>
      <w:r w:rsidRPr="002E27F6">
        <w:t>an electronic signature certification statement, and</w:t>
      </w:r>
    </w:p>
    <w:p w14:paraId="3D69A365" w14:textId="77777777" w:rsidR="002E27F6" w:rsidRPr="002E27F6" w:rsidRDefault="002E27F6" w:rsidP="002E27F6">
      <w:pPr>
        <w:numPr>
          <w:ilvl w:val="0"/>
          <w:numId w:val="44"/>
        </w:numPr>
        <w:overflowPunct/>
        <w:autoSpaceDE/>
        <w:autoSpaceDN/>
        <w:adjustRightInd/>
        <w:spacing w:before="0"/>
      </w:pPr>
      <w:r w:rsidRPr="002E27F6">
        <w:t xml:space="preserve">the user’s </w:t>
      </w:r>
    </w:p>
    <w:p w14:paraId="18AE3841" w14:textId="77777777" w:rsidR="002E27F6" w:rsidRPr="002E27F6" w:rsidRDefault="002E27F6" w:rsidP="002E27F6">
      <w:pPr>
        <w:overflowPunct/>
        <w:autoSpaceDE/>
        <w:autoSpaceDN/>
        <w:adjustRightInd/>
        <w:spacing w:before="0"/>
      </w:pPr>
    </w:p>
    <w:p w14:paraId="6EB0D1EE" w14:textId="77777777" w:rsidR="002E27F6" w:rsidRPr="002E27F6" w:rsidRDefault="002E27F6" w:rsidP="002E27F6">
      <w:pPr>
        <w:numPr>
          <w:ilvl w:val="1"/>
          <w:numId w:val="44"/>
        </w:numPr>
        <w:overflowPunct/>
        <w:autoSpaceDE/>
        <w:autoSpaceDN/>
        <w:adjustRightInd/>
        <w:spacing w:before="0"/>
      </w:pPr>
      <w:r w:rsidRPr="002E27F6">
        <w:t>Local Area Network identification (LAN ID), and</w:t>
      </w:r>
    </w:p>
    <w:p w14:paraId="107279C5" w14:textId="77777777" w:rsidR="002E27F6" w:rsidRPr="002E27F6" w:rsidRDefault="002E27F6" w:rsidP="002E27F6">
      <w:pPr>
        <w:numPr>
          <w:ilvl w:val="1"/>
          <w:numId w:val="44"/>
        </w:numPr>
        <w:overflowPunct/>
        <w:autoSpaceDE/>
        <w:autoSpaceDN/>
        <w:adjustRightInd/>
        <w:spacing w:before="0"/>
      </w:pPr>
      <w:r w:rsidRPr="002E27F6">
        <w:t>job title.</w:t>
      </w:r>
    </w:p>
    <w:p w14:paraId="12B63A09" w14:textId="77777777" w:rsidR="002E27F6" w:rsidRPr="002E27F6" w:rsidRDefault="002E27F6" w:rsidP="002E27F6">
      <w:pPr>
        <w:overflowPunct/>
        <w:autoSpaceDE/>
        <w:autoSpaceDN/>
        <w:adjustRightInd/>
        <w:spacing w:before="0"/>
      </w:pPr>
    </w:p>
    <w:p w14:paraId="73DD18F9" w14:textId="77777777" w:rsidR="002E27F6" w:rsidRPr="002E27F6" w:rsidRDefault="002E27F6" w:rsidP="002E27F6">
      <w:pPr>
        <w:overflowPunct/>
        <w:autoSpaceDE/>
        <w:autoSpaceDN/>
        <w:adjustRightInd/>
        <w:spacing w:before="0"/>
      </w:pPr>
      <w:r w:rsidRPr="002E27F6">
        <w:t>To establish the standardized digital signature, users should navigate to the SIGNATURE/DOCUMENT TITLE tab, and populate the AUTHOR SIGNATURE LINE field as follows:</w:t>
      </w:r>
    </w:p>
    <w:p w14:paraId="04140105" w14:textId="77777777" w:rsidR="002E27F6" w:rsidRPr="002E27F6" w:rsidRDefault="002E27F6" w:rsidP="002E27F6">
      <w:pPr>
        <w:overflowPunct/>
        <w:autoSpaceDE/>
        <w:autoSpaceDN/>
        <w:adjustRightInd/>
        <w:spacing w:before="0"/>
      </w:pPr>
    </w:p>
    <w:p w14:paraId="0E77DA56" w14:textId="77777777" w:rsidR="002E27F6" w:rsidRPr="002E27F6" w:rsidRDefault="002E27F6" w:rsidP="002E27F6">
      <w:pPr>
        <w:overflowPunct/>
        <w:autoSpaceDE/>
        <w:autoSpaceDN/>
        <w:adjustRightInd/>
        <w:spacing w:before="0"/>
      </w:pPr>
      <w:proofErr w:type="spellStart"/>
      <w:r w:rsidRPr="002E27F6">
        <w:rPr>
          <w:i/>
          <w:iCs/>
        </w:rPr>
        <w:t>eSign</w:t>
      </w:r>
      <w:proofErr w:type="spellEnd"/>
      <w:r w:rsidRPr="002E27F6">
        <w:rPr>
          <w:i/>
          <w:iCs/>
        </w:rPr>
        <w:t>: certified by [decision maker’s LAN ID, job title] </w:t>
      </w:r>
    </w:p>
    <w:p w14:paraId="26FFCD97" w14:textId="77777777" w:rsidR="002E27F6" w:rsidRPr="002E27F6" w:rsidRDefault="002E27F6" w:rsidP="002E27F6">
      <w:pPr>
        <w:overflowPunct/>
        <w:autoSpaceDE/>
        <w:autoSpaceDN/>
        <w:adjustRightInd/>
        <w:spacing w:before="0"/>
        <w:rPr>
          <w:b/>
          <w:bCs/>
          <w:i/>
          <w:iCs/>
        </w:rPr>
      </w:pPr>
    </w:p>
    <w:p w14:paraId="3E7EE41C" w14:textId="77777777" w:rsidR="002E27F6" w:rsidRPr="002E27F6" w:rsidRDefault="002E27F6" w:rsidP="002E27F6">
      <w:pPr>
        <w:overflowPunct/>
        <w:autoSpaceDE/>
        <w:autoSpaceDN/>
        <w:adjustRightInd/>
        <w:spacing w:before="0"/>
      </w:pPr>
      <w:r w:rsidRPr="002E27F6">
        <w:rPr>
          <w:b/>
          <w:bCs/>
          <w:i/>
          <w:iCs/>
        </w:rPr>
        <w:t>Example</w:t>
      </w:r>
      <w:r w:rsidRPr="002E27F6">
        <w:rPr>
          <w:i/>
          <w:iCs/>
        </w:rPr>
        <w:t>:  </w:t>
      </w:r>
      <w:proofErr w:type="spellStart"/>
      <w:r w:rsidRPr="002E27F6">
        <w:rPr>
          <w:i/>
          <w:iCs/>
        </w:rPr>
        <w:t>eSign</w:t>
      </w:r>
      <w:proofErr w:type="spellEnd"/>
      <w:r w:rsidRPr="002E27F6">
        <w:rPr>
          <w:i/>
          <w:iCs/>
        </w:rPr>
        <w:t>: certified by VSCJSMIT, RVSR</w:t>
      </w:r>
    </w:p>
    <w:p w14:paraId="2501E03D" w14:textId="77777777" w:rsidR="002E27F6" w:rsidRPr="002E27F6" w:rsidRDefault="002E27F6" w:rsidP="002E27F6">
      <w:pPr>
        <w:overflowPunct/>
        <w:autoSpaceDE/>
        <w:autoSpaceDN/>
        <w:adjustRightInd/>
        <w:spacing w:before="0"/>
        <w:rPr>
          <w:b/>
          <w:bCs/>
          <w:i/>
          <w:iCs/>
        </w:rPr>
      </w:pPr>
    </w:p>
    <w:p w14:paraId="5404445F" w14:textId="53745803" w:rsidR="002E27F6" w:rsidRPr="002E27F6" w:rsidRDefault="002E27F6" w:rsidP="002E27F6">
      <w:pPr>
        <w:overflowPunct/>
        <w:autoSpaceDE/>
        <w:autoSpaceDN/>
        <w:adjustRightInd/>
        <w:spacing w:before="0"/>
      </w:pPr>
      <w:r w:rsidRPr="002E27F6">
        <w:rPr>
          <w:b/>
          <w:bCs/>
          <w:i/>
          <w:iCs/>
        </w:rPr>
        <w:t>Exception</w:t>
      </w:r>
      <w:r w:rsidRPr="002E27F6">
        <w:t xml:space="preserve">:  If a rating decision requires more than one signature, the rating decision </w:t>
      </w:r>
      <w:proofErr w:type="spellStart"/>
      <w:r w:rsidR="001B19BE" w:rsidRPr="002E27F6">
        <w:rPr>
          <w:i/>
          <w:iCs/>
        </w:rPr>
        <w:t>cod</w:t>
      </w:r>
      <w:r w:rsidRPr="002E27F6">
        <w:rPr>
          <w:i/>
          <w:iCs/>
        </w:rPr>
        <w:t>esheet</w:t>
      </w:r>
      <w:proofErr w:type="spellEnd"/>
      <w:r w:rsidRPr="002E27F6">
        <w:t xml:space="preserve"> must display the required additional signature fields, but the digital signatures of the additional reviewers must be documented on </w:t>
      </w:r>
      <w:hyperlink r:id="rId24" w:tgtFrame="_blank" w:history="1">
        <w:r w:rsidRPr="002E27F6">
          <w:rPr>
            <w:rStyle w:val="Hyperlink"/>
          </w:rPr>
          <w:t>VA Form 21-0961, Electronic Signatures</w:t>
        </w:r>
      </w:hyperlink>
      <w:r w:rsidRPr="002E27F6">
        <w:t>.</w:t>
      </w:r>
    </w:p>
    <w:p w14:paraId="42BFE3E7" w14:textId="77777777" w:rsidR="002E27F6" w:rsidRPr="002E27F6" w:rsidRDefault="002E27F6" w:rsidP="002E27F6">
      <w:pPr>
        <w:overflowPunct/>
        <w:autoSpaceDE/>
        <w:autoSpaceDN/>
        <w:adjustRightInd/>
        <w:spacing w:before="0"/>
      </w:pPr>
    </w:p>
    <w:p w14:paraId="5696E444" w14:textId="77777777" w:rsidR="00B047FF" w:rsidRPr="00B047FF" w:rsidRDefault="002E27F6" w:rsidP="002E27F6">
      <w:pPr>
        <w:overflowPunct/>
        <w:autoSpaceDE/>
        <w:autoSpaceDN/>
        <w:adjustRightInd/>
        <w:spacing w:before="0"/>
      </w:pPr>
      <w:r w:rsidRPr="002E27F6">
        <w:rPr>
          <w:b/>
          <w:bCs/>
          <w:i/>
          <w:iCs/>
        </w:rPr>
        <w:lastRenderedPageBreak/>
        <w:t>Important</w:t>
      </w:r>
      <w:r w:rsidRPr="002E27F6">
        <w:t>:  The signature of the decision maker(s) certifies that the claims folder was reviewed and all phases of the claims process leading to the decision were correctly handled.</w:t>
      </w:r>
      <w:bookmarkEnd w:id="9"/>
    </w:p>
    <w:p w14:paraId="75BFEC40" w14:textId="77777777" w:rsidR="00B5605A" w:rsidRDefault="00B5605A">
      <w:pPr>
        <w:overflowPunct/>
        <w:autoSpaceDE/>
        <w:autoSpaceDN/>
        <w:adjustRightInd/>
        <w:spacing w:before="0"/>
        <w:rPr>
          <w:b/>
          <w:i/>
          <w:u w:val="single"/>
        </w:rPr>
      </w:pPr>
      <w:r>
        <w:rPr>
          <w:b/>
          <w:i/>
          <w:u w:val="single"/>
        </w:rPr>
        <w:br w:type="page"/>
      </w:r>
    </w:p>
    <w:p w14:paraId="5ED75480" w14:textId="77777777" w:rsidR="00B047FF" w:rsidRPr="00B047FF" w:rsidRDefault="00B047FF" w:rsidP="00B047FF">
      <w:pPr>
        <w:overflowPunct/>
        <w:autoSpaceDE/>
        <w:autoSpaceDN/>
        <w:adjustRightInd/>
        <w:spacing w:before="0"/>
        <w:rPr>
          <w:b/>
          <w:u w:val="single"/>
        </w:rPr>
      </w:pPr>
      <w:r w:rsidRPr="00B047FF">
        <w:rPr>
          <w:b/>
          <w:i/>
          <w:u w:val="single"/>
        </w:rPr>
        <w:lastRenderedPageBreak/>
        <w:t>Single or Multiple Signatures</w:t>
      </w:r>
    </w:p>
    <w:p w14:paraId="05D19915" w14:textId="77777777" w:rsidR="00B047FF" w:rsidRPr="00B047FF" w:rsidRDefault="00B047FF" w:rsidP="00B047FF">
      <w:pPr>
        <w:overflowPunct/>
        <w:autoSpaceDE/>
        <w:autoSpaceDN/>
        <w:adjustRightInd/>
        <w:spacing w:before="0"/>
        <w:rPr>
          <w:b/>
          <w:u w:val="single"/>
        </w:rPr>
      </w:pPr>
    </w:p>
    <w:p w14:paraId="54EA614A" w14:textId="77777777" w:rsidR="00B047FF" w:rsidRPr="00B047FF" w:rsidRDefault="00B047FF" w:rsidP="00B047FF">
      <w:pPr>
        <w:overflowPunct/>
        <w:autoSpaceDE/>
        <w:autoSpaceDN/>
        <w:adjustRightInd/>
        <w:spacing w:before="0"/>
      </w:pPr>
      <w:r w:rsidRPr="00B047FF">
        <w:t>Single-signature authority is restricted to RVSRs whose ability to produce quality work independently without additional oversight has been demonstrated by review.</w:t>
      </w:r>
    </w:p>
    <w:p w14:paraId="3EA34998" w14:textId="77777777" w:rsidR="00B047FF" w:rsidRPr="00B047FF" w:rsidRDefault="00B047FF" w:rsidP="00B047FF">
      <w:pPr>
        <w:overflowPunct/>
        <w:autoSpaceDE/>
        <w:autoSpaceDN/>
        <w:adjustRightInd/>
        <w:spacing w:before="0"/>
      </w:pPr>
    </w:p>
    <w:p w14:paraId="194B33C6" w14:textId="77777777" w:rsidR="00B047FF" w:rsidRPr="00B047FF" w:rsidRDefault="00B047FF" w:rsidP="00B047FF">
      <w:pPr>
        <w:overflowPunct/>
        <w:autoSpaceDE/>
        <w:autoSpaceDN/>
        <w:adjustRightInd/>
        <w:spacing w:before="0"/>
      </w:pPr>
      <w:r w:rsidRPr="00B047FF">
        <w:t>All rating decisions require the signatures of two decision makers, unless approved as single-signature ratings by the Veterans Service Center Manager (VSCM) or Pension Maintenance Center Manager (PMCM).</w:t>
      </w:r>
    </w:p>
    <w:p w14:paraId="750DE774" w14:textId="77777777" w:rsidR="00B047FF" w:rsidRPr="00B047FF" w:rsidRDefault="00B047FF" w:rsidP="00B047FF">
      <w:pPr>
        <w:overflowPunct/>
        <w:autoSpaceDE/>
        <w:autoSpaceDN/>
        <w:adjustRightInd/>
        <w:spacing w:before="0"/>
      </w:pPr>
    </w:p>
    <w:p w14:paraId="317533A5" w14:textId="33D83131" w:rsidR="00B047FF" w:rsidRPr="00B047FF" w:rsidRDefault="00B047FF" w:rsidP="00B047FF">
      <w:pPr>
        <w:overflowPunct/>
        <w:autoSpaceDE/>
        <w:autoSpaceDN/>
        <w:adjustRightInd/>
        <w:spacing w:before="0"/>
      </w:pPr>
      <w:r w:rsidRPr="00B047FF">
        <w:rPr>
          <w:b/>
          <w:bCs/>
          <w:i/>
          <w:iCs/>
        </w:rPr>
        <w:t>Exception</w:t>
      </w:r>
      <w:r w:rsidRPr="00B047FF">
        <w:t>:  The VSCM/PMCM does not have authority to grant single-signature authority in all cases.</w:t>
      </w:r>
      <w:bookmarkStart w:id="10" w:name="_GoBack"/>
      <w:bookmarkEnd w:id="10"/>
      <w:r w:rsidRPr="00B047FF">
        <w:t xml:space="preserve"> Please refer to the table in </w:t>
      </w:r>
      <w:hyperlink r:id="rId25" w:anchor="7" w:history="1">
        <w:r w:rsidRPr="00B5605A">
          <w:rPr>
            <w:rStyle w:val="Hyperlink"/>
          </w:rPr>
          <w:t>M21-1, Part III, Subpart iv, 6.D.7.d</w:t>
        </w:r>
      </w:hyperlink>
      <w:r w:rsidRPr="00B047FF">
        <w:t xml:space="preserve"> for information on when second signatures are warranted.  </w:t>
      </w:r>
    </w:p>
    <w:sectPr w:rsidR="00B047FF" w:rsidRPr="00B047FF">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CADB4" w14:textId="77777777" w:rsidR="006B368C" w:rsidRDefault="006B368C">
      <w:pPr>
        <w:spacing w:before="0"/>
      </w:pPr>
      <w:r>
        <w:separator/>
      </w:r>
    </w:p>
  </w:endnote>
  <w:endnote w:type="continuationSeparator" w:id="0">
    <w:p w14:paraId="6E9639DA" w14:textId="77777777" w:rsidR="006B368C" w:rsidRDefault="006B368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814C9" w14:textId="1FBCDB33" w:rsidR="00AA1A39" w:rsidRDefault="00F554F4">
    <w:pPr>
      <w:pStyle w:val="VBAFooter"/>
    </w:pPr>
    <w:r>
      <w:t>September</w:t>
    </w:r>
    <w:r w:rsidR="00BA6560">
      <w:t xml:space="preserve"> 2018</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B61F1E">
      <w:rPr>
        <w:noProof/>
      </w:rPr>
      <w:t>1</w:t>
    </w:r>
    <w:r w:rsidR="00AA1A39">
      <w:fldChar w:fldCharType="end"/>
    </w:r>
  </w:p>
  <w:p w14:paraId="41221A04" w14:textId="77777777" w:rsidR="00AA1A39" w:rsidRDefault="00AA1A39">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64352" w14:textId="77777777" w:rsidR="006B368C" w:rsidRDefault="006B368C">
      <w:pPr>
        <w:spacing w:before="0"/>
      </w:pPr>
      <w:r>
        <w:separator/>
      </w:r>
    </w:p>
  </w:footnote>
  <w:footnote w:type="continuationSeparator" w:id="0">
    <w:p w14:paraId="187EADFA" w14:textId="77777777" w:rsidR="006B368C" w:rsidRDefault="006B368C">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9529E"/>
    <w:multiLevelType w:val="multilevel"/>
    <w:tmpl w:val="9272C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484C4F"/>
    <w:multiLevelType w:val="hybridMultilevel"/>
    <w:tmpl w:val="A8EE565C"/>
    <w:lvl w:ilvl="0" w:tplc="A4165C7A">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50011"/>
    <w:multiLevelType w:val="hybridMultilevel"/>
    <w:tmpl w:val="92B83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95EE0"/>
    <w:multiLevelType w:val="hybridMultilevel"/>
    <w:tmpl w:val="E676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20392"/>
    <w:multiLevelType w:val="hybridMultilevel"/>
    <w:tmpl w:val="6A98A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1777BA"/>
    <w:multiLevelType w:val="multilevel"/>
    <w:tmpl w:val="D2720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BA5D30"/>
    <w:multiLevelType w:val="hybridMultilevel"/>
    <w:tmpl w:val="B0B49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1EA67D12"/>
    <w:multiLevelType w:val="hybridMultilevel"/>
    <w:tmpl w:val="BCAC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EA23D2"/>
    <w:multiLevelType w:val="hybridMultilevel"/>
    <w:tmpl w:val="CA243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220C31"/>
    <w:multiLevelType w:val="hybridMultilevel"/>
    <w:tmpl w:val="D150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C15E1"/>
    <w:multiLevelType w:val="multilevel"/>
    <w:tmpl w:val="FC8A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1E3166"/>
    <w:multiLevelType w:val="multilevel"/>
    <w:tmpl w:val="87DE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6507AC"/>
    <w:multiLevelType w:val="hybridMultilevel"/>
    <w:tmpl w:val="F086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3C7E7E1A"/>
    <w:multiLevelType w:val="hybridMultilevel"/>
    <w:tmpl w:val="0F9C3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3CF14FE"/>
    <w:multiLevelType w:val="multilevel"/>
    <w:tmpl w:val="06D68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05313D"/>
    <w:multiLevelType w:val="multilevel"/>
    <w:tmpl w:val="3DCA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26494A"/>
    <w:multiLevelType w:val="multilevel"/>
    <w:tmpl w:val="C32E3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E14408"/>
    <w:multiLevelType w:val="hybridMultilevel"/>
    <w:tmpl w:val="5796A0DA"/>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30" w15:restartNumberingAfterBreak="0">
    <w:nsid w:val="4B0243AD"/>
    <w:multiLevelType w:val="hybridMultilevel"/>
    <w:tmpl w:val="0C78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BB471F"/>
    <w:multiLevelType w:val="hybridMultilevel"/>
    <w:tmpl w:val="7EA27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124509"/>
    <w:multiLevelType w:val="hybridMultilevel"/>
    <w:tmpl w:val="5808A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A6353E"/>
    <w:multiLevelType w:val="multilevel"/>
    <w:tmpl w:val="813EB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6A0E0F"/>
    <w:multiLevelType w:val="hybridMultilevel"/>
    <w:tmpl w:val="F11C4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AB698F"/>
    <w:multiLevelType w:val="hybridMultilevel"/>
    <w:tmpl w:val="9E00E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7477BB"/>
    <w:multiLevelType w:val="hybridMultilevel"/>
    <w:tmpl w:val="2022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8444CF"/>
    <w:multiLevelType w:val="multilevel"/>
    <w:tmpl w:val="DD5A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8B71A8"/>
    <w:multiLevelType w:val="multilevel"/>
    <w:tmpl w:val="0EFC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EE6B8C"/>
    <w:multiLevelType w:val="hybridMultilevel"/>
    <w:tmpl w:val="5260A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876C96"/>
    <w:multiLevelType w:val="multilevel"/>
    <w:tmpl w:val="E774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3"/>
  </w:num>
  <w:num w:numId="3">
    <w:abstractNumId w:val="25"/>
  </w:num>
  <w:num w:numId="4">
    <w:abstractNumId w:val="22"/>
  </w:num>
  <w:num w:numId="5">
    <w:abstractNumId w:val="39"/>
  </w:num>
  <w:num w:numId="6">
    <w:abstractNumId w:val="3"/>
  </w:num>
  <w:num w:numId="7">
    <w:abstractNumId w:val="14"/>
  </w:num>
  <w:num w:numId="8">
    <w:abstractNumId w:val="41"/>
  </w:num>
  <w:num w:numId="9">
    <w:abstractNumId w:val="23"/>
  </w:num>
  <w:num w:numId="10">
    <w:abstractNumId w:val="2"/>
  </w:num>
  <w:num w:numId="11">
    <w:abstractNumId w:val="20"/>
  </w:num>
  <w:num w:numId="12">
    <w:abstractNumId w:val="45"/>
  </w:num>
  <w:num w:numId="13">
    <w:abstractNumId w:val="0"/>
  </w:num>
  <w:num w:numId="14">
    <w:abstractNumId w:val="38"/>
  </w:num>
  <w:num w:numId="15">
    <w:abstractNumId w:val="21"/>
  </w:num>
  <w:num w:numId="16">
    <w:abstractNumId w:val="8"/>
  </w:num>
  <w:num w:numId="17">
    <w:abstractNumId w:val="29"/>
  </w:num>
  <w:num w:numId="18">
    <w:abstractNumId w:val="9"/>
  </w:num>
  <w:num w:numId="19">
    <w:abstractNumId w:val="30"/>
  </w:num>
  <w:num w:numId="20">
    <w:abstractNumId w:val="42"/>
  </w:num>
  <w:num w:numId="21">
    <w:abstractNumId w:val="32"/>
  </w:num>
  <w:num w:numId="22">
    <w:abstractNumId w:val="26"/>
  </w:num>
  <w:num w:numId="23">
    <w:abstractNumId w:val="16"/>
  </w:num>
  <w:num w:numId="24">
    <w:abstractNumId w:val="28"/>
  </w:num>
  <w:num w:numId="25">
    <w:abstractNumId w:val="34"/>
  </w:num>
  <w:num w:numId="26">
    <w:abstractNumId w:val="11"/>
  </w:num>
  <w:num w:numId="27">
    <w:abstractNumId w:val="7"/>
  </w:num>
  <w:num w:numId="28">
    <w:abstractNumId w:val="13"/>
  </w:num>
  <w:num w:numId="29">
    <w:abstractNumId w:val="5"/>
  </w:num>
  <w:num w:numId="30">
    <w:abstractNumId w:val="24"/>
  </w:num>
  <w:num w:numId="31">
    <w:abstractNumId w:val="10"/>
  </w:num>
  <w:num w:numId="32">
    <w:abstractNumId w:val="17"/>
  </w:num>
  <w:num w:numId="33">
    <w:abstractNumId w:val="44"/>
  </w:num>
  <w:num w:numId="34">
    <w:abstractNumId w:val="33"/>
  </w:num>
  <w:num w:numId="35">
    <w:abstractNumId w:val="4"/>
  </w:num>
  <w:num w:numId="36">
    <w:abstractNumId w:val="35"/>
  </w:num>
  <w:num w:numId="37">
    <w:abstractNumId w:val="6"/>
  </w:num>
  <w:num w:numId="38">
    <w:abstractNumId w:val="36"/>
  </w:num>
  <w:num w:numId="39">
    <w:abstractNumId w:val="18"/>
  </w:num>
  <w:num w:numId="40">
    <w:abstractNumId w:val="27"/>
  </w:num>
  <w:num w:numId="41">
    <w:abstractNumId w:val="12"/>
  </w:num>
  <w:num w:numId="42">
    <w:abstractNumId w:val="15"/>
  </w:num>
  <w:num w:numId="43">
    <w:abstractNumId w:val="37"/>
  </w:num>
  <w:num w:numId="44">
    <w:abstractNumId w:val="1"/>
  </w:num>
  <w:num w:numId="45">
    <w:abstractNumId w:val="40"/>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8D3"/>
    <w:rsid w:val="0002027C"/>
    <w:rsid w:val="00064CBF"/>
    <w:rsid w:val="000B2046"/>
    <w:rsid w:val="000B44D3"/>
    <w:rsid w:val="000E3279"/>
    <w:rsid w:val="001026F8"/>
    <w:rsid w:val="00137637"/>
    <w:rsid w:val="001948B1"/>
    <w:rsid w:val="001B0445"/>
    <w:rsid w:val="001B19BE"/>
    <w:rsid w:val="001C38D3"/>
    <w:rsid w:val="001E6254"/>
    <w:rsid w:val="00212FCB"/>
    <w:rsid w:val="00213D89"/>
    <w:rsid w:val="00217739"/>
    <w:rsid w:val="00244857"/>
    <w:rsid w:val="002625AB"/>
    <w:rsid w:val="002B0353"/>
    <w:rsid w:val="002E27F6"/>
    <w:rsid w:val="002E3595"/>
    <w:rsid w:val="00335191"/>
    <w:rsid w:val="00344A94"/>
    <w:rsid w:val="00360905"/>
    <w:rsid w:val="00375E4E"/>
    <w:rsid w:val="003B11BD"/>
    <w:rsid w:val="003C2F3B"/>
    <w:rsid w:val="003C3F7E"/>
    <w:rsid w:val="003F7729"/>
    <w:rsid w:val="004333C0"/>
    <w:rsid w:val="00433AEE"/>
    <w:rsid w:val="0044318F"/>
    <w:rsid w:val="00445D86"/>
    <w:rsid w:val="00457B81"/>
    <w:rsid w:val="004B3D28"/>
    <w:rsid w:val="004C764F"/>
    <w:rsid w:val="004F7AB4"/>
    <w:rsid w:val="005112B1"/>
    <w:rsid w:val="005175F0"/>
    <w:rsid w:val="0052286D"/>
    <w:rsid w:val="005361DF"/>
    <w:rsid w:val="0056570D"/>
    <w:rsid w:val="0059633D"/>
    <w:rsid w:val="005E6CC5"/>
    <w:rsid w:val="00667D16"/>
    <w:rsid w:val="006B0C0F"/>
    <w:rsid w:val="006B368C"/>
    <w:rsid w:val="006E056A"/>
    <w:rsid w:val="00714930"/>
    <w:rsid w:val="0078765B"/>
    <w:rsid w:val="007A5600"/>
    <w:rsid w:val="007D0F88"/>
    <w:rsid w:val="00841DB6"/>
    <w:rsid w:val="008479A2"/>
    <w:rsid w:val="00880DA6"/>
    <w:rsid w:val="00883738"/>
    <w:rsid w:val="009216A6"/>
    <w:rsid w:val="00975461"/>
    <w:rsid w:val="00997C66"/>
    <w:rsid w:val="009A671D"/>
    <w:rsid w:val="009C3F8E"/>
    <w:rsid w:val="00A0060F"/>
    <w:rsid w:val="00A26F18"/>
    <w:rsid w:val="00A674C4"/>
    <w:rsid w:val="00A71C1B"/>
    <w:rsid w:val="00A775CD"/>
    <w:rsid w:val="00A77E0A"/>
    <w:rsid w:val="00AA1A39"/>
    <w:rsid w:val="00AA6381"/>
    <w:rsid w:val="00B047FF"/>
    <w:rsid w:val="00B11B27"/>
    <w:rsid w:val="00B1288E"/>
    <w:rsid w:val="00B20406"/>
    <w:rsid w:val="00B5605A"/>
    <w:rsid w:val="00B61F1E"/>
    <w:rsid w:val="00BA6560"/>
    <w:rsid w:val="00BD181F"/>
    <w:rsid w:val="00BD6254"/>
    <w:rsid w:val="00BF0882"/>
    <w:rsid w:val="00C4491F"/>
    <w:rsid w:val="00C64F3E"/>
    <w:rsid w:val="00C651A3"/>
    <w:rsid w:val="00C7114B"/>
    <w:rsid w:val="00C72C62"/>
    <w:rsid w:val="00C81DA8"/>
    <w:rsid w:val="00CA26E5"/>
    <w:rsid w:val="00CB2F63"/>
    <w:rsid w:val="00CE10BA"/>
    <w:rsid w:val="00CE5117"/>
    <w:rsid w:val="00CF4855"/>
    <w:rsid w:val="00D05745"/>
    <w:rsid w:val="00D15074"/>
    <w:rsid w:val="00D32452"/>
    <w:rsid w:val="00D8602E"/>
    <w:rsid w:val="00D90DC8"/>
    <w:rsid w:val="00D9604B"/>
    <w:rsid w:val="00DA38DE"/>
    <w:rsid w:val="00DB0EF8"/>
    <w:rsid w:val="00DE69DC"/>
    <w:rsid w:val="00E24F7C"/>
    <w:rsid w:val="00E35C8B"/>
    <w:rsid w:val="00E35F03"/>
    <w:rsid w:val="00E45692"/>
    <w:rsid w:val="00E72B02"/>
    <w:rsid w:val="00E733F5"/>
    <w:rsid w:val="00E81749"/>
    <w:rsid w:val="00EB4BEF"/>
    <w:rsid w:val="00EC4154"/>
    <w:rsid w:val="00EF3445"/>
    <w:rsid w:val="00F04839"/>
    <w:rsid w:val="00F14ADF"/>
    <w:rsid w:val="00F37346"/>
    <w:rsid w:val="00F47561"/>
    <w:rsid w:val="00F50A4C"/>
    <w:rsid w:val="00F554F4"/>
    <w:rsid w:val="00F86C93"/>
    <w:rsid w:val="00F94931"/>
    <w:rsid w:val="00FC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31660"/>
  <w15:docId w15:val="{E70D829E-154B-437C-B625-B16AB7FC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5">
    <w:name w:val="heading 5"/>
    <w:basedOn w:val="Normal"/>
    <w:next w:val="Normal"/>
    <w:link w:val="Heading5Char"/>
    <w:uiPriority w:val="9"/>
    <w:semiHidden/>
    <w:unhideWhenUsed/>
    <w:qFormat/>
    <w:rsid w:val="00880DA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BodyText">
    <w:name w:val="Body Text"/>
    <w:basedOn w:val="Normal"/>
    <w:link w:val="BodyTextChar"/>
    <w:semiHidden/>
    <w:rsid w:val="00212FCB"/>
    <w:pPr>
      <w:widowControl w:val="0"/>
      <w:spacing w:after="120"/>
      <w:textAlignment w:val="baseline"/>
    </w:pPr>
  </w:style>
  <w:style w:type="character" w:customStyle="1" w:styleId="BodyTextChar">
    <w:name w:val="Body Text Char"/>
    <w:basedOn w:val="DefaultParagraphFont"/>
    <w:link w:val="BodyText"/>
    <w:semiHidden/>
    <w:rsid w:val="00212FCB"/>
    <w:rPr>
      <w:rFonts w:eastAsia="Times New Roman"/>
      <w:sz w:val="24"/>
    </w:rPr>
  </w:style>
  <w:style w:type="paragraph" w:styleId="ListParagraph">
    <w:name w:val="List Paragraph"/>
    <w:basedOn w:val="Normal"/>
    <w:uiPriority w:val="34"/>
    <w:qFormat/>
    <w:rsid w:val="00212FCB"/>
    <w:pPr>
      <w:ind w:left="720"/>
      <w:contextualSpacing/>
    </w:pPr>
  </w:style>
  <w:style w:type="character" w:styleId="PageNumber">
    <w:name w:val="page number"/>
    <w:semiHidden/>
    <w:rsid w:val="00212FCB"/>
    <w:rPr>
      <w:rFonts w:ascii="Times New Roman" w:hAnsi="Times New Roman" w:cs="Times New Roman"/>
    </w:rPr>
  </w:style>
  <w:style w:type="table" w:styleId="TableGrid">
    <w:name w:val="Table Grid"/>
    <w:basedOn w:val="TableNormal"/>
    <w:uiPriority w:val="59"/>
    <w:rsid w:val="00212FC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semiHidden/>
    <w:rsid w:val="00BA6560"/>
    <w:pPr>
      <w:widowControl w:val="0"/>
      <w:textAlignment w:val="baseline"/>
    </w:pPr>
    <w:rPr>
      <w:rFonts w:ascii="Courier New" w:hAnsi="Courier New" w:cs="Courier New"/>
    </w:rPr>
  </w:style>
  <w:style w:type="character" w:customStyle="1" w:styleId="PlainTextChar">
    <w:name w:val="Plain Text Char"/>
    <w:basedOn w:val="DefaultParagraphFont"/>
    <w:link w:val="PlainText"/>
    <w:semiHidden/>
    <w:rsid w:val="00BA6560"/>
    <w:rPr>
      <w:rFonts w:ascii="Courier New" w:eastAsia="Times New Roman" w:hAnsi="Courier New" w:cs="Courier New"/>
      <w:sz w:val="24"/>
    </w:rPr>
  </w:style>
  <w:style w:type="character" w:customStyle="1" w:styleId="Heading5Char">
    <w:name w:val="Heading 5 Char"/>
    <w:basedOn w:val="DefaultParagraphFont"/>
    <w:link w:val="Heading5"/>
    <w:uiPriority w:val="9"/>
    <w:semiHidden/>
    <w:rsid w:val="00880DA6"/>
    <w:rPr>
      <w:rFonts w:asciiTheme="majorHAnsi" w:eastAsiaTheme="majorEastAsia" w:hAnsiTheme="majorHAnsi" w:cstheme="majorBidi"/>
      <w:color w:val="243F60" w:themeColor="accent1" w:themeShade="7F"/>
      <w:sz w:val="24"/>
    </w:rPr>
  </w:style>
  <w:style w:type="paragraph" w:customStyle="1" w:styleId="VBALevel2Heading">
    <w:name w:val="VBA Level 2 Heading"/>
    <w:basedOn w:val="Normal"/>
    <w:qFormat/>
    <w:rsid w:val="001B0445"/>
    <w:pPr>
      <w:textAlignment w:val="baseline"/>
    </w:pPr>
    <w:rPr>
      <w:b/>
      <w:color w:val="0070C0"/>
    </w:rPr>
  </w:style>
  <w:style w:type="character" w:styleId="UnresolvedMention">
    <w:name w:val="Unresolved Mention"/>
    <w:basedOn w:val="DefaultParagraphFont"/>
    <w:uiPriority w:val="99"/>
    <w:semiHidden/>
    <w:unhideWhenUsed/>
    <w:rsid w:val="00AA6381"/>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137637"/>
    <w:rPr>
      <w:b/>
      <w:bCs/>
      <w:sz w:val="20"/>
    </w:rPr>
  </w:style>
  <w:style w:type="character" w:customStyle="1" w:styleId="CommentTextChar1">
    <w:name w:val="Comment Text Char1"/>
    <w:basedOn w:val="DefaultParagraphFont"/>
    <w:link w:val="CommentText"/>
    <w:semiHidden/>
    <w:rsid w:val="00137637"/>
    <w:rPr>
      <w:rFonts w:eastAsia="Times New Roman"/>
      <w:sz w:val="24"/>
    </w:rPr>
  </w:style>
  <w:style w:type="character" w:customStyle="1" w:styleId="CommentSubjectChar">
    <w:name w:val="Comment Subject Char"/>
    <w:basedOn w:val="CommentTextChar1"/>
    <w:link w:val="CommentSubject"/>
    <w:uiPriority w:val="99"/>
    <w:semiHidden/>
    <w:rsid w:val="00137637"/>
    <w:rPr>
      <w:rFonts w:eastAsia="Times New Roman"/>
      <w:b/>
      <w:bCs/>
      <w:sz w:val="24"/>
    </w:rPr>
  </w:style>
  <w:style w:type="character" w:styleId="FollowedHyperlink">
    <w:name w:val="FollowedHyperlink"/>
    <w:basedOn w:val="DefaultParagraphFont"/>
    <w:uiPriority w:val="99"/>
    <w:semiHidden/>
    <w:unhideWhenUsed/>
    <w:rsid w:val="002B03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829978090">
      <w:bodyDiv w:val="1"/>
      <w:marLeft w:val="0"/>
      <w:marRight w:val="0"/>
      <w:marTop w:val="0"/>
      <w:marBottom w:val="0"/>
      <w:divBdr>
        <w:top w:val="none" w:sz="0" w:space="0" w:color="auto"/>
        <w:left w:val="none" w:sz="0" w:space="0" w:color="auto"/>
        <w:bottom w:val="none" w:sz="0" w:space="0" w:color="auto"/>
        <w:right w:val="none" w:sz="0" w:space="0" w:color="auto"/>
      </w:divBdr>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vrm.km.va.gov/system/templates/selfservice/va_kanew/help/agent/locale/en-US/portal/554400000001034/content/554400000014207/M21-1-Part-III-Subpart-iv-Chapter-6-Section-D-Codesheet-Section" TargetMode="External"/><Relationship Id="rId18" Type="http://schemas.openxmlformats.org/officeDocument/2006/relationships/hyperlink" Target="https://vaww.vrm.km.va.gov/system/templates/selfservice/va_kanew/help/agent/locale/en-US/portal/554400000001034/content/554400000014125/M21-1-Part-III-Subpart-ii-Chapter-3-Section-C-System-Updat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vaww.vrm.km.va.gov/system/templates/selfservice/va_kanew/help/agent/locale/en-US/portal/554400000001034/content/554400000014588/M21-1,-Part-IV,-Subpart-ii,-Chapter-3,-Section-A---General-Authorization-and-Claimant-Notification-Issues" TargetMode="External"/><Relationship Id="rId7" Type="http://schemas.openxmlformats.org/officeDocument/2006/relationships/styles" Target="styles.xml"/><Relationship Id="rId12" Type="http://schemas.openxmlformats.org/officeDocument/2006/relationships/hyperlink" Target="https://www.ecfr.gov/cgi-bin/text-idx?SID=ad275643432556b9dda942343fb89296&amp;mc=true&amp;node=pt38.1.4&amp;rgn=div5" TargetMode="External"/><Relationship Id="rId17" Type="http://schemas.openxmlformats.org/officeDocument/2006/relationships/hyperlink" Target="https://vaww.vrm.km.va.gov/system/templates/selfservice/va_kanew/help/agent/locale/en-US/portal/554400000001034/content/554400000014125/M21-1-Part-III-Subpart-ii-Chapter-3-Section-C-System-Updates" TargetMode="External"/><Relationship Id="rId25" Type="http://schemas.openxmlformats.org/officeDocument/2006/relationships/hyperlink" Target="https://vaww.vrm.km.va.gov/system/templates/selfservice/va_kanew/help/agent/locale/en-US/portal/554400000001034/content/554400000014207/M21-1-Part-III-Subpart-iv-Chapter-6-Section-D-Codesheet-Section" TargetMode="External"/><Relationship Id="rId2" Type="http://schemas.openxmlformats.org/officeDocument/2006/relationships/customXml" Target="../customXml/item2.xml"/><Relationship Id="rId16" Type="http://schemas.openxmlformats.org/officeDocument/2006/relationships/hyperlink" Target="https://vaww.compensation.pension.km.va.gov/"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vbaw.vba.va.gov/bl/20/cio/20s5/forms/VBA-21-0961-ARE.pdf" TargetMode="External"/><Relationship Id="rId5" Type="http://schemas.openxmlformats.org/officeDocument/2006/relationships/customXml" Target="../customXml/item5.xml"/><Relationship Id="rId15" Type="http://schemas.openxmlformats.org/officeDocument/2006/relationships/hyperlink" Target="https://vaww.vrm.km.va.gov/system/templates/selfservice/va_kanew/help/agent/locale/en-US/portal/554400000001034/content/554400000014204/M21-1-Part-III-Subpart-iv-Chapter-6-Section-A-Partial-Rating-Decisions-and-Deferred-Issues" TargetMode="External"/><Relationship Id="rId23" Type="http://schemas.openxmlformats.org/officeDocument/2006/relationships/hyperlink" Target="http://vbaw.vba.va.gov/VBMS/Resources_Technical_Information.as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vaww.vrm.km.va.gov/system/templates/selfservice/va_kanew/help/agent/locale/en-US/portal/554400000001034/content/554400000014143/M21-1-Part-III-Subpart-ii-Chapter-6-Section-A-Establishing-Veteran-Statu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vrm.km.va.gov/system/templates/selfservice/va_kanew/help/agent/locale/en-US/portal/554400000001034/content/554400000014208/M21-1-Part-III-Subpart-iv-Chapter-6-Section-E-Coded-Conclusion" TargetMode="External"/><Relationship Id="rId22" Type="http://schemas.openxmlformats.org/officeDocument/2006/relationships/hyperlink" Target="https://vaww.vrm.km.va.gov/system/templates/selfservice/va_kanew/help/agent/locale/en-US/portal/554400000001034/content/554400000014212/M21-1-Part-III-Subpart-iv-Chapter-8-Section-B-Proposed-Rating-Decisions"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RO317-839076992-12624</_dlc_DocId>
    <_dlc_DocIdUrl xmlns="b62c6c12-24c5-4d47-ac4d-c5cc93bcdf7b">
      <Url>https://vaww.vashare.vba.va.gov/sites/SPTNCIO/focusedveterans/training/VSRvirtualtraining/_layouts/15/DocIdRedir.aspx?ID=RO317-839076992-12624</Url>
      <Description>RO317-839076992-12624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C304E-8876-4C02-A8C7-062B7A768E75}">
  <ds:schemaRefs>
    <ds:schemaRef ds:uri="http://schemas.microsoft.com/sharepoint/events"/>
  </ds:schemaRefs>
</ds:datastoreItem>
</file>

<file path=customXml/itemProps2.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b62c6c12-24c5-4d47-ac4d-c5cc93bcdf7b"/>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E3D1FBE0-29B0-43A7-81DC-B2742B001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B123C5-54FE-49B6-94FA-D9E303F97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6</TotalTime>
  <Pages>9</Pages>
  <Words>1601</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Codesheet Compliance Handout</vt:lpstr>
    </vt:vector>
  </TitlesOfParts>
  <Company>Veterans Benefits Administration</Company>
  <LinksUpToDate>false</LinksUpToDate>
  <CharactersWithSpaces>10712</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Codesheet Compliance Handout</dc:title>
  <dc:subject>RVSR, RQRS, DRO</dc:subject>
  <dc:creator>Department of Veterans Affairs, Veterans Benefits Administration, Compensation Service, STAFF</dc:creator>
  <cp:keywords>System compliance, SI, compliance, System Updates, POA, power of attorney, period of service, POS, military service, quality errors</cp:keywords>
  <dc:description>This lesson educates and/or reinforces the required elements of the rating codesheet. This lesson includes discussions and/or exercises that allow students to gain a better understanding of the required elements of the rating codesheet.</dc:description>
  <cp:lastModifiedBy>Kathy Poole</cp:lastModifiedBy>
  <cp:revision>5</cp:revision>
  <dcterms:created xsi:type="dcterms:W3CDTF">2018-10-03T21:20:00Z</dcterms:created>
  <dcterms:modified xsi:type="dcterms:W3CDTF">2018-10-04T19:47:00Z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cca4e547-1a09-455e-973a-8c008438108e</vt:lpwstr>
  </property>
  <property fmtid="{D5CDD505-2E9C-101B-9397-08002B2CF9AE}" pid="4" name="Language">
    <vt:lpwstr>en</vt:lpwstr>
  </property>
  <property fmtid="{D5CDD505-2E9C-101B-9397-08002B2CF9AE}" pid="5" name="Type">
    <vt:lpwstr>Guide</vt:lpwstr>
  </property>
</Properties>
</file>