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1C9DF" w14:textId="77777777" w:rsidR="00635E85" w:rsidRDefault="00635E85" w:rsidP="00635E85">
      <w:pPr>
        <w:spacing w:after="0" w:line="240" w:lineRule="auto"/>
        <w:rPr>
          <w:rFonts w:ascii="Times New Roman" w:hAnsi="Times New Roman" w:cs="Times New Roman"/>
          <w:b/>
          <w:sz w:val="24"/>
          <w:szCs w:val="24"/>
        </w:rPr>
      </w:pPr>
      <w:bookmarkStart w:id="0" w:name="_GoBack"/>
      <w:bookmarkEnd w:id="0"/>
      <w:r w:rsidRPr="00C157BA">
        <w:rPr>
          <w:rFonts w:ascii="Times New Roman" w:hAnsi="Times New Roman" w:cs="Times New Roman"/>
          <w:b/>
          <w:sz w:val="24"/>
          <w:szCs w:val="24"/>
        </w:rPr>
        <w:t>Exciting new updates to the rating schedule (using this and the currently published VA Rating Schedule, you should be able to answer all quiz questions in the video) …</w:t>
      </w:r>
    </w:p>
    <w:p w14:paraId="4161C9E0" w14:textId="77777777" w:rsidR="00635E85" w:rsidRPr="00C157BA" w:rsidRDefault="00635E85" w:rsidP="00635E85">
      <w:pPr>
        <w:spacing w:after="0" w:line="240" w:lineRule="auto"/>
        <w:rPr>
          <w:rFonts w:ascii="Times New Roman" w:hAnsi="Times New Roman" w:cs="Times New Roman"/>
          <w:b/>
          <w:sz w:val="24"/>
          <w:szCs w:val="24"/>
        </w:rPr>
      </w:pPr>
    </w:p>
    <w:tbl>
      <w:tblPr>
        <w:tblW w:w="9240" w:type="dxa"/>
        <w:tblInd w:w="93" w:type="dxa"/>
        <w:tblLook w:val="04A0" w:firstRow="1" w:lastRow="0" w:firstColumn="1" w:lastColumn="0" w:noHBand="0" w:noVBand="1"/>
      </w:tblPr>
      <w:tblGrid>
        <w:gridCol w:w="1420"/>
        <w:gridCol w:w="7820"/>
      </w:tblGrid>
      <w:tr w:rsidR="0041308B" w:rsidRPr="0041308B" w14:paraId="4161C9E3" w14:textId="77777777" w:rsidTr="0041308B">
        <w:trPr>
          <w:trHeight w:val="300"/>
        </w:trPr>
        <w:tc>
          <w:tcPr>
            <w:tcW w:w="1420" w:type="dxa"/>
            <w:tcBorders>
              <w:top w:val="single" w:sz="8" w:space="0" w:color="auto"/>
              <w:left w:val="single" w:sz="8" w:space="0" w:color="auto"/>
              <w:bottom w:val="single" w:sz="4" w:space="0" w:color="auto"/>
              <w:right w:val="single" w:sz="4" w:space="0" w:color="auto"/>
            </w:tcBorders>
            <w:shd w:val="clear" w:color="000000" w:fill="A6A6A6"/>
            <w:vAlign w:val="center"/>
            <w:hideMark/>
          </w:tcPr>
          <w:p w14:paraId="4161C9E1" w14:textId="77777777" w:rsidR="0041308B" w:rsidRPr="0041308B" w:rsidRDefault="0041308B" w:rsidP="0041308B">
            <w:pPr>
              <w:spacing w:after="0" w:line="240" w:lineRule="auto"/>
              <w:jc w:val="center"/>
              <w:rPr>
                <w:rFonts w:ascii="Times New Roman" w:eastAsia="Times New Roman" w:hAnsi="Times New Roman" w:cs="Times New Roman"/>
                <w:b/>
                <w:bCs/>
                <w:color w:val="000000"/>
              </w:rPr>
            </w:pPr>
            <w:r w:rsidRPr="0041308B">
              <w:rPr>
                <w:rFonts w:ascii="Times New Roman" w:eastAsia="Times New Roman" w:hAnsi="Times New Roman" w:cs="Times New Roman"/>
                <w:b/>
                <w:bCs/>
                <w:color w:val="000000"/>
              </w:rPr>
              <w:t>Code</w:t>
            </w:r>
          </w:p>
        </w:tc>
        <w:tc>
          <w:tcPr>
            <w:tcW w:w="7820" w:type="dxa"/>
            <w:tcBorders>
              <w:top w:val="single" w:sz="8" w:space="0" w:color="auto"/>
              <w:left w:val="nil"/>
              <w:bottom w:val="single" w:sz="4" w:space="0" w:color="auto"/>
              <w:right w:val="single" w:sz="8" w:space="0" w:color="auto"/>
            </w:tcBorders>
            <w:shd w:val="clear" w:color="000000" w:fill="A6A6A6"/>
            <w:vAlign w:val="center"/>
            <w:hideMark/>
          </w:tcPr>
          <w:p w14:paraId="4161C9E2" w14:textId="77777777" w:rsidR="0041308B" w:rsidRPr="0041308B" w:rsidRDefault="0041308B" w:rsidP="0041308B">
            <w:pPr>
              <w:spacing w:after="0" w:line="240" w:lineRule="auto"/>
              <w:jc w:val="center"/>
              <w:rPr>
                <w:rFonts w:ascii="Times New Roman" w:eastAsia="Times New Roman" w:hAnsi="Times New Roman" w:cs="Times New Roman"/>
                <w:b/>
                <w:bCs/>
                <w:color w:val="000000"/>
              </w:rPr>
            </w:pPr>
            <w:r w:rsidRPr="0041308B">
              <w:rPr>
                <w:rFonts w:ascii="Times New Roman" w:eastAsia="Times New Roman" w:hAnsi="Times New Roman" w:cs="Times New Roman"/>
                <w:b/>
                <w:bCs/>
                <w:color w:val="000000"/>
              </w:rPr>
              <w:t>Change Description</w:t>
            </w:r>
          </w:p>
        </w:tc>
      </w:tr>
      <w:tr w:rsidR="0041308B" w:rsidRPr="0041308B" w14:paraId="4161C9E6" w14:textId="77777777" w:rsidTr="0041308B">
        <w:trPr>
          <w:trHeight w:val="1007"/>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161C9E4" w14:textId="77777777" w:rsidR="0041308B" w:rsidRPr="0041308B" w:rsidRDefault="0041308B" w:rsidP="0041308B">
            <w:pPr>
              <w:spacing w:after="0" w:line="240" w:lineRule="auto"/>
              <w:jc w:val="center"/>
              <w:rPr>
                <w:rFonts w:ascii="Times New Roman" w:eastAsia="Times New Roman" w:hAnsi="Times New Roman" w:cs="Times New Roman"/>
                <w:color w:val="000000"/>
              </w:rPr>
            </w:pPr>
            <w:r w:rsidRPr="0041308B">
              <w:rPr>
                <w:rFonts w:ascii="Times New Roman" w:eastAsia="Times New Roman" w:hAnsi="Times New Roman" w:cs="Times New Roman"/>
                <w:color w:val="000000"/>
              </w:rPr>
              <w:t>§4.77</w:t>
            </w:r>
          </w:p>
        </w:tc>
        <w:tc>
          <w:tcPr>
            <w:tcW w:w="7820" w:type="dxa"/>
            <w:tcBorders>
              <w:top w:val="nil"/>
              <w:left w:val="nil"/>
              <w:bottom w:val="single" w:sz="4" w:space="0" w:color="auto"/>
              <w:right w:val="single" w:sz="8" w:space="0" w:color="auto"/>
            </w:tcBorders>
            <w:shd w:val="clear" w:color="auto" w:fill="auto"/>
            <w:vAlign w:val="bottom"/>
            <w:hideMark/>
          </w:tcPr>
          <w:p w14:paraId="4161C9E5" w14:textId="77777777" w:rsidR="0041308B" w:rsidRPr="0041308B" w:rsidRDefault="0041308B" w:rsidP="0041308B">
            <w:pPr>
              <w:spacing w:after="0" w:line="240" w:lineRule="auto"/>
              <w:rPr>
                <w:rFonts w:ascii="Times New Roman" w:eastAsia="Times New Roman" w:hAnsi="Times New Roman" w:cs="Times New Roman"/>
                <w:color w:val="000000"/>
              </w:rPr>
            </w:pPr>
            <w:r w:rsidRPr="0041308B">
              <w:rPr>
                <w:rFonts w:ascii="Times New Roman" w:eastAsia="Times New Roman" w:hAnsi="Times New Roman" w:cs="Times New Roman"/>
                <w:color w:val="000000"/>
              </w:rPr>
              <w:t xml:space="preserve">Examiner must </w:t>
            </w:r>
            <w:r w:rsidRPr="0041308B">
              <w:rPr>
                <w:rFonts w:ascii="Times New Roman" w:eastAsia="Times New Roman" w:hAnsi="Times New Roman" w:cs="Times New Roman"/>
                <w:color w:val="000000"/>
                <w:u w:val="single"/>
              </w:rPr>
              <w:t>chart</w:t>
            </w:r>
            <w:r w:rsidRPr="00A14DD7">
              <w:rPr>
                <w:rFonts w:ascii="Times New Roman" w:eastAsia="Times New Roman" w:hAnsi="Times New Roman" w:cs="Times New Roman"/>
                <w:color w:val="000000"/>
              </w:rPr>
              <w:t xml:space="preserve"> at least 16 meridians 22 ½ </w:t>
            </w:r>
            <w:r w:rsidRPr="0041308B">
              <w:rPr>
                <w:rFonts w:ascii="Times New Roman" w:eastAsia="Times New Roman" w:hAnsi="Times New Roman" w:cs="Times New Roman"/>
                <w:color w:val="000000"/>
              </w:rPr>
              <w:t xml:space="preserve">degrees apart for each eye and indicate the Goldmann equivalent used. The examination report </w:t>
            </w:r>
            <w:r w:rsidRPr="0041308B">
              <w:rPr>
                <w:rFonts w:ascii="Times New Roman" w:eastAsia="Times New Roman" w:hAnsi="Times New Roman" w:cs="Times New Roman"/>
                <w:color w:val="000000"/>
                <w:u w:val="single"/>
              </w:rPr>
              <w:t>must document the results</w:t>
            </w:r>
            <w:r w:rsidRPr="0041308B">
              <w:rPr>
                <w:rFonts w:ascii="Times New Roman" w:eastAsia="Times New Roman" w:hAnsi="Times New Roman" w:cs="Times New Roman"/>
                <w:color w:val="000000"/>
              </w:rPr>
              <w:t xml:space="preserve"> of either the tangent screen or of the 30-degree threshold visual field with the Goldmann III stimulus size.</w:t>
            </w:r>
          </w:p>
        </w:tc>
      </w:tr>
      <w:tr w:rsidR="0041308B" w:rsidRPr="0041308B" w14:paraId="4161C9E9" w14:textId="77777777" w:rsidTr="00227140">
        <w:trPr>
          <w:trHeight w:val="1250"/>
        </w:trPr>
        <w:tc>
          <w:tcPr>
            <w:tcW w:w="1420" w:type="dxa"/>
            <w:tcBorders>
              <w:top w:val="nil"/>
              <w:left w:val="single" w:sz="8" w:space="0" w:color="auto"/>
              <w:bottom w:val="single" w:sz="4" w:space="0" w:color="auto"/>
              <w:right w:val="single" w:sz="4" w:space="0" w:color="auto"/>
            </w:tcBorders>
            <w:shd w:val="clear" w:color="auto" w:fill="D9D9D9" w:themeFill="background1" w:themeFillShade="D9"/>
            <w:noWrap/>
            <w:hideMark/>
          </w:tcPr>
          <w:p w14:paraId="4161C9E7" w14:textId="77777777" w:rsidR="0041308B" w:rsidRPr="0041308B" w:rsidRDefault="0041308B" w:rsidP="0041308B">
            <w:pPr>
              <w:spacing w:after="0" w:line="240" w:lineRule="auto"/>
              <w:jc w:val="center"/>
              <w:rPr>
                <w:rFonts w:ascii="Times New Roman" w:eastAsia="Times New Roman" w:hAnsi="Times New Roman" w:cs="Times New Roman"/>
                <w:color w:val="000000"/>
              </w:rPr>
            </w:pPr>
            <w:r w:rsidRPr="0041308B">
              <w:rPr>
                <w:rFonts w:ascii="Times New Roman" w:eastAsia="Times New Roman" w:hAnsi="Times New Roman" w:cs="Times New Roman"/>
                <w:color w:val="000000"/>
              </w:rPr>
              <w:t>§4.78a</w:t>
            </w:r>
          </w:p>
        </w:tc>
        <w:tc>
          <w:tcPr>
            <w:tcW w:w="7820" w:type="dxa"/>
            <w:tcBorders>
              <w:top w:val="nil"/>
              <w:left w:val="nil"/>
              <w:bottom w:val="single" w:sz="4" w:space="0" w:color="auto"/>
              <w:right w:val="single" w:sz="8" w:space="0" w:color="auto"/>
            </w:tcBorders>
            <w:shd w:val="clear" w:color="auto" w:fill="D9D9D9" w:themeFill="background1" w:themeFillShade="D9"/>
            <w:vAlign w:val="bottom"/>
            <w:hideMark/>
          </w:tcPr>
          <w:p w14:paraId="4161C9E8" w14:textId="77777777" w:rsidR="0041308B" w:rsidRPr="0041308B" w:rsidRDefault="0041308B" w:rsidP="0041308B">
            <w:pPr>
              <w:spacing w:after="0" w:line="240" w:lineRule="auto"/>
              <w:rPr>
                <w:rFonts w:ascii="Times New Roman" w:eastAsia="Times New Roman" w:hAnsi="Times New Roman" w:cs="Times New Roman"/>
                <w:color w:val="000000"/>
              </w:rPr>
            </w:pPr>
            <w:r w:rsidRPr="0041308B">
              <w:rPr>
                <w:rFonts w:ascii="Times New Roman" w:eastAsia="Times New Roman" w:hAnsi="Times New Roman" w:cs="Times New Roman"/>
                <w:color w:val="000000"/>
              </w:rPr>
              <w:t xml:space="preserve">The examiner must use a Goldmann perimeter chart </w:t>
            </w:r>
            <w:r w:rsidRPr="0041308B">
              <w:rPr>
                <w:rFonts w:ascii="Times New Roman" w:eastAsia="Times New Roman" w:hAnsi="Times New Roman" w:cs="Times New Roman"/>
                <w:color w:val="000000"/>
                <w:u w:val="single"/>
              </w:rPr>
              <w:t>or the Tangent method</w:t>
            </w:r>
            <w:r w:rsidRPr="0041308B">
              <w:rPr>
                <w:rFonts w:ascii="Times New Roman" w:eastAsia="Times New Roman" w:hAnsi="Times New Roman" w:cs="Times New Roman"/>
                <w:color w:val="000000"/>
              </w:rPr>
              <w:t xml:space="preserve"> that identifies the four major quadrants (upward, downward, left and right lateral) and the central field (20 degrees or less) (see Figure 2). The examiner must document the results of muscle function testing by identifying the quadrant(s), range(s) of degrees in which diplopia exists. </w:t>
            </w:r>
          </w:p>
        </w:tc>
      </w:tr>
      <w:tr w:rsidR="0041308B" w:rsidRPr="0041308B" w14:paraId="4161C9EC" w14:textId="77777777" w:rsidTr="0041308B">
        <w:trPr>
          <w:trHeight w:val="300"/>
        </w:trPr>
        <w:tc>
          <w:tcPr>
            <w:tcW w:w="1420" w:type="dxa"/>
            <w:vMerge w:val="restart"/>
            <w:tcBorders>
              <w:top w:val="nil"/>
              <w:left w:val="single" w:sz="8" w:space="0" w:color="auto"/>
              <w:bottom w:val="single" w:sz="4" w:space="0" w:color="auto"/>
              <w:right w:val="single" w:sz="4" w:space="0" w:color="auto"/>
            </w:tcBorders>
            <w:shd w:val="clear" w:color="auto" w:fill="auto"/>
            <w:noWrap/>
            <w:hideMark/>
          </w:tcPr>
          <w:p w14:paraId="4161C9EA" w14:textId="77777777" w:rsidR="0041308B" w:rsidRPr="0041308B" w:rsidRDefault="0041308B" w:rsidP="0041308B">
            <w:pPr>
              <w:spacing w:after="0" w:line="240" w:lineRule="auto"/>
              <w:jc w:val="center"/>
              <w:rPr>
                <w:rFonts w:ascii="Times New Roman" w:eastAsia="Times New Roman" w:hAnsi="Times New Roman" w:cs="Times New Roman"/>
                <w:color w:val="000000"/>
              </w:rPr>
            </w:pPr>
            <w:r w:rsidRPr="0041308B">
              <w:rPr>
                <w:rFonts w:ascii="Times New Roman" w:eastAsia="Times New Roman" w:hAnsi="Times New Roman" w:cs="Times New Roman"/>
                <w:color w:val="000000"/>
              </w:rPr>
              <w:t>§4.79</w:t>
            </w:r>
          </w:p>
        </w:tc>
        <w:tc>
          <w:tcPr>
            <w:tcW w:w="7820" w:type="dxa"/>
            <w:tcBorders>
              <w:top w:val="nil"/>
              <w:left w:val="nil"/>
              <w:bottom w:val="nil"/>
              <w:right w:val="single" w:sz="8" w:space="0" w:color="auto"/>
            </w:tcBorders>
            <w:shd w:val="clear" w:color="auto" w:fill="auto"/>
            <w:vAlign w:val="bottom"/>
            <w:hideMark/>
          </w:tcPr>
          <w:p w14:paraId="4161C9EB" w14:textId="65D8203E" w:rsidR="0041308B" w:rsidRPr="0041308B" w:rsidRDefault="0041308B" w:rsidP="0041308B">
            <w:pPr>
              <w:spacing w:after="0" w:line="240" w:lineRule="auto"/>
              <w:rPr>
                <w:rFonts w:ascii="Times New Roman" w:eastAsia="Times New Roman" w:hAnsi="Times New Roman" w:cs="Times New Roman"/>
                <w:color w:val="000000"/>
              </w:rPr>
            </w:pPr>
            <w:r w:rsidRPr="0041308B">
              <w:rPr>
                <w:rFonts w:ascii="Times New Roman" w:eastAsia="Times New Roman" w:hAnsi="Times New Roman" w:cs="Times New Roman"/>
                <w:color w:val="000000"/>
              </w:rPr>
              <w:t xml:space="preserve">General rating formula revised and three notes added. </w:t>
            </w:r>
            <w:r w:rsidR="00240B81">
              <w:rPr>
                <w:rFonts w:ascii="Times New Roman" w:eastAsia="Times New Roman" w:hAnsi="Times New Roman" w:cs="Times New Roman"/>
                <w:color w:val="000000"/>
              </w:rPr>
              <w:t xml:space="preserve"> </w:t>
            </w:r>
            <w:r w:rsidR="0096651D">
              <w:rPr>
                <w:rFonts w:ascii="Times New Roman" w:eastAsia="Times New Roman" w:hAnsi="Times New Roman" w:cs="Times New Roman"/>
                <w:color w:val="000000"/>
              </w:rPr>
              <w:t xml:space="preserve">The location of the General Rating Formula has moved to the top of the rating schedule. </w:t>
            </w:r>
          </w:p>
        </w:tc>
      </w:tr>
      <w:tr w:rsidR="0041308B" w:rsidRPr="0041308B" w14:paraId="4161C9EF" w14:textId="77777777" w:rsidTr="0041308B">
        <w:trPr>
          <w:trHeight w:val="300"/>
        </w:trPr>
        <w:tc>
          <w:tcPr>
            <w:tcW w:w="1420" w:type="dxa"/>
            <w:vMerge/>
            <w:tcBorders>
              <w:top w:val="nil"/>
              <w:left w:val="single" w:sz="8" w:space="0" w:color="auto"/>
              <w:bottom w:val="single" w:sz="4" w:space="0" w:color="auto"/>
              <w:right w:val="single" w:sz="4" w:space="0" w:color="auto"/>
            </w:tcBorders>
            <w:vAlign w:val="center"/>
            <w:hideMark/>
          </w:tcPr>
          <w:p w14:paraId="4161C9ED" w14:textId="77777777" w:rsidR="0041308B" w:rsidRPr="0041308B" w:rsidRDefault="0041308B" w:rsidP="0041308B">
            <w:pPr>
              <w:spacing w:after="0" w:line="240" w:lineRule="auto"/>
              <w:rPr>
                <w:rFonts w:ascii="Times New Roman" w:eastAsia="Times New Roman" w:hAnsi="Times New Roman" w:cs="Times New Roman"/>
                <w:color w:val="000000"/>
              </w:rPr>
            </w:pPr>
          </w:p>
        </w:tc>
        <w:tc>
          <w:tcPr>
            <w:tcW w:w="7820" w:type="dxa"/>
            <w:tcBorders>
              <w:top w:val="single" w:sz="4" w:space="0" w:color="auto"/>
              <w:left w:val="nil"/>
              <w:bottom w:val="nil"/>
              <w:right w:val="single" w:sz="8" w:space="0" w:color="auto"/>
            </w:tcBorders>
            <w:shd w:val="clear" w:color="auto" w:fill="auto"/>
            <w:vAlign w:val="center"/>
            <w:hideMark/>
          </w:tcPr>
          <w:p w14:paraId="4161C9EE" w14:textId="77777777" w:rsidR="0041308B" w:rsidRPr="0041308B" w:rsidRDefault="0041308B" w:rsidP="0041308B">
            <w:pPr>
              <w:spacing w:after="0" w:line="240" w:lineRule="auto"/>
              <w:rPr>
                <w:rFonts w:ascii="Times New Roman" w:eastAsia="Times New Roman" w:hAnsi="Times New Roman" w:cs="Times New Roman"/>
                <w:color w:val="000000"/>
              </w:rPr>
            </w:pPr>
            <w:r w:rsidRPr="0041308B">
              <w:rPr>
                <w:rFonts w:ascii="Times New Roman" w:eastAsia="Times New Roman" w:hAnsi="Times New Roman" w:cs="Times New Roman"/>
                <w:color w:val="000000"/>
              </w:rPr>
              <w:t>General Rating Formula for Diseases of the Eye:</w:t>
            </w:r>
          </w:p>
        </w:tc>
      </w:tr>
      <w:tr w:rsidR="0041308B" w:rsidRPr="0041308B" w14:paraId="4161C9F2" w14:textId="77777777" w:rsidTr="0041308B">
        <w:trPr>
          <w:trHeight w:val="600"/>
        </w:trPr>
        <w:tc>
          <w:tcPr>
            <w:tcW w:w="1420" w:type="dxa"/>
            <w:vMerge/>
            <w:tcBorders>
              <w:top w:val="nil"/>
              <w:left w:val="single" w:sz="8" w:space="0" w:color="auto"/>
              <w:bottom w:val="single" w:sz="4" w:space="0" w:color="auto"/>
              <w:right w:val="single" w:sz="4" w:space="0" w:color="auto"/>
            </w:tcBorders>
            <w:vAlign w:val="center"/>
            <w:hideMark/>
          </w:tcPr>
          <w:p w14:paraId="4161C9F0" w14:textId="77777777" w:rsidR="0041308B" w:rsidRPr="0041308B" w:rsidRDefault="0041308B" w:rsidP="0041308B">
            <w:pPr>
              <w:spacing w:after="0" w:line="240" w:lineRule="auto"/>
              <w:rPr>
                <w:rFonts w:ascii="Times New Roman" w:eastAsia="Times New Roman" w:hAnsi="Times New Roman" w:cs="Times New Roman"/>
                <w:color w:val="000000"/>
              </w:rPr>
            </w:pPr>
          </w:p>
        </w:tc>
        <w:tc>
          <w:tcPr>
            <w:tcW w:w="7820" w:type="dxa"/>
            <w:tcBorders>
              <w:top w:val="nil"/>
              <w:left w:val="nil"/>
              <w:bottom w:val="nil"/>
              <w:right w:val="single" w:sz="8" w:space="0" w:color="auto"/>
            </w:tcBorders>
            <w:shd w:val="clear" w:color="auto" w:fill="auto"/>
            <w:vAlign w:val="center"/>
            <w:hideMark/>
          </w:tcPr>
          <w:p w14:paraId="4161C9F1" w14:textId="77777777" w:rsidR="0041308B" w:rsidRPr="0041308B" w:rsidRDefault="0041308B" w:rsidP="0041308B">
            <w:pPr>
              <w:spacing w:after="0" w:line="240" w:lineRule="auto"/>
              <w:rPr>
                <w:rFonts w:ascii="Times New Roman" w:eastAsia="Times New Roman" w:hAnsi="Times New Roman" w:cs="Times New Roman"/>
                <w:color w:val="000000"/>
              </w:rPr>
            </w:pPr>
            <w:r w:rsidRPr="0041308B">
              <w:rPr>
                <w:rFonts w:ascii="Times New Roman" w:eastAsia="Times New Roman" w:hAnsi="Times New Roman" w:cs="Times New Roman"/>
                <w:color w:val="000000"/>
              </w:rPr>
              <w:t>Evaluate on the basis of either visual impairment due to the particular condition or on incapacitating episodes, whichever results in a higher evaluation.</w:t>
            </w:r>
          </w:p>
        </w:tc>
      </w:tr>
      <w:tr w:rsidR="0041308B" w:rsidRPr="0041308B" w14:paraId="4161C9F5" w14:textId="77777777" w:rsidTr="0041308B">
        <w:trPr>
          <w:trHeight w:val="600"/>
        </w:trPr>
        <w:tc>
          <w:tcPr>
            <w:tcW w:w="1420" w:type="dxa"/>
            <w:vMerge/>
            <w:tcBorders>
              <w:top w:val="nil"/>
              <w:left w:val="single" w:sz="8" w:space="0" w:color="auto"/>
              <w:bottom w:val="single" w:sz="4" w:space="0" w:color="auto"/>
              <w:right w:val="single" w:sz="4" w:space="0" w:color="auto"/>
            </w:tcBorders>
            <w:vAlign w:val="center"/>
            <w:hideMark/>
          </w:tcPr>
          <w:p w14:paraId="4161C9F3" w14:textId="77777777" w:rsidR="0041308B" w:rsidRPr="0041308B" w:rsidRDefault="0041308B" w:rsidP="0041308B">
            <w:pPr>
              <w:spacing w:after="0" w:line="240" w:lineRule="auto"/>
              <w:rPr>
                <w:rFonts w:ascii="Times New Roman" w:eastAsia="Times New Roman" w:hAnsi="Times New Roman" w:cs="Times New Roman"/>
                <w:color w:val="000000"/>
              </w:rPr>
            </w:pPr>
          </w:p>
        </w:tc>
        <w:tc>
          <w:tcPr>
            <w:tcW w:w="7820" w:type="dxa"/>
            <w:tcBorders>
              <w:top w:val="nil"/>
              <w:left w:val="nil"/>
              <w:bottom w:val="nil"/>
              <w:right w:val="single" w:sz="8" w:space="0" w:color="auto"/>
            </w:tcBorders>
            <w:shd w:val="clear" w:color="auto" w:fill="auto"/>
            <w:vAlign w:val="center"/>
            <w:hideMark/>
          </w:tcPr>
          <w:p w14:paraId="4161C9F4" w14:textId="77777777" w:rsidR="0041308B" w:rsidRPr="0041308B" w:rsidRDefault="0041308B" w:rsidP="0041308B">
            <w:pPr>
              <w:spacing w:after="0" w:line="240" w:lineRule="auto"/>
              <w:rPr>
                <w:rFonts w:ascii="Times New Roman" w:eastAsia="Times New Roman" w:hAnsi="Times New Roman" w:cs="Times New Roman"/>
                <w:color w:val="000000"/>
              </w:rPr>
            </w:pPr>
            <w:r w:rsidRPr="0041308B">
              <w:rPr>
                <w:rFonts w:ascii="Times New Roman" w:eastAsia="Times New Roman" w:hAnsi="Times New Roman" w:cs="Times New Roman"/>
                <w:color w:val="000000"/>
              </w:rPr>
              <w:t>- With documented incapacitating episodes requiring 7 or more treatment visits for an eye condition during the past 12 months … 60 percent</w:t>
            </w:r>
          </w:p>
        </w:tc>
      </w:tr>
      <w:tr w:rsidR="0041308B" w:rsidRPr="0041308B" w14:paraId="4161C9F8" w14:textId="77777777" w:rsidTr="0041308B">
        <w:trPr>
          <w:trHeight w:val="600"/>
        </w:trPr>
        <w:tc>
          <w:tcPr>
            <w:tcW w:w="1420" w:type="dxa"/>
            <w:vMerge/>
            <w:tcBorders>
              <w:top w:val="nil"/>
              <w:left w:val="single" w:sz="8" w:space="0" w:color="auto"/>
              <w:bottom w:val="single" w:sz="4" w:space="0" w:color="auto"/>
              <w:right w:val="single" w:sz="4" w:space="0" w:color="auto"/>
            </w:tcBorders>
            <w:vAlign w:val="center"/>
            <w:hideMark/>
          </w:tcPr>
          <w:p w14:paraId="4161C9F6" w14:textId="77777777" w:rsidR="0041308B" w:rsidRPr="0041308B" w:rsidRDefault="0041308B" w:rsidP="0041308B">
            <w:pPr>
              <w:spacing w:after="0" w:line="240" w:lineRule="auto"/>
              <w:rPr>
                <w:rFonts w:ascii="Times New Roman" w:eastAsia="Times New Roman" w:hAnsi="Times New Roman" w:cs="Times New Roman"/>
                <w:color w:val="000000"/>
              </w:rPr>
            </w:pPr>
          </w:p>
        </w:tc>
        <w:tc>
          <w:tcPr>
            <w:tcW w:w="7820" w:type="dxa"/>
            <w:tcBorders>
              <w:top w:val="nil"/>
              <w:left w:val="nil"/>
              <w:bottom w:val="nil"/>
              <w:right w:val="single" w:sz="8" w:space="0" w:color="auto"/>
            </w:tcBorders>
            <w:shd w:val="clear" w:color="auto" w:fill="auto"/>
            <w:vAlign w:val="center"/>
            <w:hideMark/>
          </w:tcPr>
          <w:p w14:paraId="4161C9F7" w14:textId="77777777" w:rsidR="0041308B" w:rsidRPr="0041308B" w:rsidRDefault="0041308B" w:rsidP="0041308B">
            <w:pPr>
              <w:spacing w:after="0" w:line="240" w:lineRule="auto"/>
              <w:rPr>
                <w:rFonts w:ascii="Times New Roman" w:eastAsia="Times New Roman" w:hAnsi="Times New Roman" w:cs="Times New Roman"/>
                <w:color w:val="000000"/>
              </w:rPr>
            </w:pPr>
            <w:r w:rsidRPr="0041308B">
              <w:rPr>
                <w:rFonts w:ascii="Times New Roman" w:eastAsia="Times New Roman" w:hAnsi="Times New Roman" w:cs="Times New Roman"/>
                <w:color w:val="000000"/>
              </w:rPr>
              <w:t>- With documented incapacitating episodes requiring at least 5 but less than 7 treatment visits for an eye condition during the past 12 months … 40 percent</w:t>
            </w:r>
          </w:p>
        </w:tc>
      </w:tr>
      <w:tr w:rsidR="0041308B" w:rsidRPr="0041308B" w14:paraId="4161C9FB" w14:textId="77777777" w:rsidTr="0041308B">
        <w:trPr>
          <w:trHeight w:val="600"/>
        </w:trPr>
        <w:tc>
          <w:tcPr>
            <w:tcW w:w="1420" w:type="dxa"/>
            <w:vMerge/>
            <w:tcBorders>
              <w:top w:val="nil"/>
              <w:left w:val="single" w:sz="8" w:space="0" w:color="auto"/>
              <w:bottom w:val="single" w:sz="4" w:space="0" w:color="auto"/>
              <w:right w:val="single" w:sz="4" w:space="0" w:color="auto"/>
            </w:tcBorders>
            <w:vAlign w:val="center"/>
            <w:hideMark/>
          </w:tcPr>
          <w:p w14:paraId="4161C9F9" w14:textId="77777777" w:rsidR="0041308B" w:rsidRPr="0041308B" w:rsidRDefault="0041308B" w:rsidP="0041308B">
            <w:pPr>
              <w:spacing w:after="0" w:line="240" w:lineRule="auto"/>
              <w:rPr>
                <w:rFonts w:ascii="Times New Roman" w:eastAsia="Times New Roman" w:hAnsi="Times New Roman" w:cs="Times New Roman"/>
                <w:color w:val="000000"/>
              </w:rPr>
            </w:pPr>
          </w:p>
        </w:tc>
        <w:tc>
          <w:tcPr>
            <w:tcW w:w="7820" w:type="dxa"/>
            <w:tcBorders>
              <w:top w:val="nil"/>
              <w:left w:val="nil"/>
              <w:bottom w:val="nil"/>
              <w:right w:val="single" w:sz="8" w:space="0" w:color="auto"/>
            </w:tcBorders>
            <w:shd w:val="clear" w:color="auto" w:fill="auto"/>
            <w:vAlign w:val="center"/>
            <w:hideMark/>
          </w:tcPr>
          <w:p w14:paraId="4161C9FA" w14:textId="77777777" w:rsidR="0041308B" w:rsidRPr="0041308B" w:rsidRDefault="005A0C95" w:rsidP="0041308B">
            <w:pPr>
              <w:spacing w:after="0" w:line="240" w:lineRule="auto"/>
              <w:rPr>
                <w:rFonts w:ascii="Times New Roman" w:eastAsia="Times New Roman" w:hAnsi="Times New Roman" w:cs="Times New Roman"/>
                <w:color w:val="000000"/>
              </w:rPr>
            </w:pPr>
            <w:r>
              <w:rPr>
                <w:rFonts w:ascii="Times New Roman" w:hAnsi="Times New Roman" w:cs="Times New Roman"/>
                <w:b/>
                <w:noProof/>
                <w:sz w:val="32"/>
              </w:rPr>
              <mc:AlternateContent>
                <mc:Choice Requires="wps">
                  <w:drawing>
                    <wp:anchor distT="0" distB="0" distL="114300" distR="114300" simplePos="0" relativeHeight="251659264" behindDoc="0" locked="0" layoutInCell="1" allowOverlap="1" wp14:anchorId="4161CA35" wp14:editId="4161CA36">
                      <wp:simplePos x="0" y="0"/>
                      <wp:positionH relativeFrom="column">
                        <wp:posOffset>1799590</wp:posOffset>
                      </wp:positionH>
                      <wp:positionV relativeFrom="paragraph">
                        <wp:posOffset>149860</wp:posOffset>
                      </wp:positionV>
                      <wp:extent cx="7419340" cy="756920"/>
                      <wp:effectExtent l="0" t="2540" r="26670" b="26670"/>
                      <wp:wrapNone/>
                      <wp:docPr id="1" name="Rectangle 1"/>
                      <wp:cNvGraphicFramePr/>
                      <a:graphic xmlns:a="http://schemas.openxmlformats.org/drawingml/2006/main">
                        <a:graphicData uri="http://schemas.microsoft.com/office/word/2010/wordprocessingShape">
                          <wps:wsp>
                            <wps:cNvSpPr/>
                            <wps:spPr>
                              <a:xfrm rot="16200000">
                                <a:off x="0" y="0"/>
                                <a:ext cx="7419340" cy="756920"/>
                              </a:xfrm>
                              <a:prstGeom prst="rect">
                                <a:avLst/>
                              </a:prstGeom>
                              <a:solidFill>
                                <a:srgbClr val="4F81BD">
                                  <a:lumMod val="40000"/>
                                  <a:lumOff val="60000"/>
                                </a:srgbClr>
                              </a:solidFill>
                              <a:ln w="25400" cap="flat" cmpd="sng" algn="ctr">
                                <a:solidFill>
                                  <a:srgbClr val="4F81BD">
                                    <a:shade val="50000"/>
                                  </a:srgbClr>
                                </a:solidFill>
                                <a:prstDash val="solid"/>
                              </a:ln>
                              <a:effectLst/>
                            </wps:spPr>
                            <wps:txbx>
                              <w:txbxContent>
                                <w:p w14:paraId="4161CA43" w14:textId="77777777" w:rsidR="00227140" w:rsidRPr="003F5A9B" w:rsidRDefault="00227140" w:rsidP="00227140">
                                  <w:pPr>
                                    <w:spacing w:after="0" w:line="240" w:lineRule="auto"/>
                                    <w:jc w:val="center"/>
                                    <w:rPr>
                                      <w:b/>
                                      <w:color w:val="C00000"/>
                                      <w:sz w:val="52"/>
                                      <w:szCs w:val="52"/>
                                      <w14:textOutline w14:w="12700" w14:cap="rnd" w14:cmpd="sng" w14:algn="ctr">
                                        <w14:solidFill>
                                          <w14:schemeClr w14:val="tx2">
                                            <w14:lumMod w14:val="75000"/>
                                          </w14:schemeClr>
                                        </w14:solidFill>
                                        <w14:prstDash w14:val="solid"/>
                                        <w14:bevel/>
                                      </w14:textOutline>
                                    </w:rPr>
                                  </w:pPr>
                                  <w:r w:rsidRPr="003F5A9B">
                                    <w:rPr>
                                      <w:b/>
                                      <w:color w:val="C00000"/>
                                      <w:sz w:val="52"/>
                                      <w:szCs w:val="52"/>
                                      <w14:textOutline w14:w="12700" w14:cap="rnd" w14:cmpd="sng" w14:algn="ctr">
                                        <w14:solidFill>
                                          <w14:schemeClr w14:val="tx2">
                                            <w14:lumMod w14:val="75000"/>
                                          </w14:schemeClr>
                                        </w14:solidFill>
                                        <w14:prstDash w14:val="solid"/>
                                        <w14:bevel/>
                                      </w14:textOutline>
                                    </w:rPr>
                                    <w:t>Law Change</w:t>
                                  </w:r>
                                  <w:r>
                                    <w:rPr>
                                      <w:b/>
                                      <w:color w:val="C00000"/>
                                      <w:sz w:val="52"/>
                                      <w:szCs w:val="52"/>
                                      <w14:textOutline w14:w="12700" w14:cap="rnd" w14:cmpd="sng" w14:algn="ctr">
                                        <w14:solidFill>
                                          <w14:schemeClr w14:val="tx2">
                                            <w14:lumMod w14:val="75000"/>
                                          </w14:schemeClr>
                                        </w14:solidFill>
                                        <w14:prstDash w14:val="solid"/>
                                        <w14:bevel/>
                                      </w14:textOutline>
                                    </w:rPr>
                                    <w:t xml:space="preserve"> Effective May 13,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1CA35" id="Rectangle 1" o:spid="_x0000_s1026" style="position:absolute;margin-left:141.7pt;margin-top:11.8pt;width:584.2pt;height:59.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" fillcolor="#b9cde5" strokecolor="#385d8a" strokeweight="2pt">
                      <v:textbox>
                        <w:txbxContent>
                          <w:p w14:paraId="4161CA43" w14:textId="77777777" w:rsidR="00227140" w:rsidRPr="003F5A9B" w:rsidRDefault="00227140" w:rsidP="00227140">
                            <w:pPr>
                              <w:spacing w:after="0" w:line="240" w:lineRule="auto"/>
                              <w:jc w:val="center"/>
                              <w:rPr>
                                <w:b/>
                                <w:color w:val="C00000"/>
                                <w:sz w:val="52"/>
                                <w:szCs w:val="52"/>
                                <w14:textOutline w14:w="12700" w14:cap="rnd" w14:cmpd="sng" w14:algn="ctr">
                                  <w14:solidFill>
                                    <w14:schemeClr w14:val="tx2">
                                      <w14:lumMod w14:val="75000"/>
                                    </w14:schemeClr>
                                  </w14:solidFill>
                                  <w14:prstDash w14:val="solid"/>
                                  <w14:bevel/>
                                </w14:textOutline>
                              </w:rPr>
                            </w:pPr>
                            <w:r w:rsidRPr="003F5A9B">
                              <w:rPr>
                                <w:b/>
                                <w:color w:val="C00000"/>
                                <w:sz w:val="52"/>
                                <w:szCs w:val="52"/>
                                <w14:textOutline w14:w="12700" w14:cap="rnd" w14:cmpd="sng" w14:algn="ctr">
                                  <w14:solidFill>
                                    <w14:schemeClr w14:val="tx2">
                                      <w14:lumMod w14:val="75000"/>
                                    </w14:schemeClr>
                                  </w14:solidFill>
                                  <w14:prstDash w14:val="solid"/>
                                  <w14:bevel/>
                                </w14:textOutline>
                              </w:rPr>
                              <w:t>Law Change</w:t>
                            </w:r>
                            <w:r>
                              <w:rPr>
                                <w:b/>
                                <w:color w:val="C00000"/>
                                <w:sz w:val="52"/>
                                <w:szCs w:val="52"/>
                                <w14:textOutline w14:w="12700" w14:cap="rnd" w14:cmpd="sng" w14:algn="ctr">
                                  <w14:solidFill>
                                    <w14:schemeClr w14:val="tx2">
                                      <w14:lumMod w14:val="75000"/>
                                    </w14:schemeClr>
                                  </w14:solidFill>
                                  <w14:prstDash w14:val="solid"/>
                                  <w14:bevel/>
                                </w14:textOutline>
                              </w:rPr>
                              <w:t xml:space="preserve"> Effective May 13, 2018</w:t>
                            </w:r>
                          </w:p>
                        </w:txbxContent>
                      </v:textbox>
                    </v:rect>
                  </w:pict>
                </mc:Fallback>
              </mc:AlternateContent>
            </w:r>
            <w:r w:rsidR="0041308B" w:rsidRPr="0041308B">
              <w:rPr>
                <w:rFonts w:ascii="Times New Roman" w:eastAsia="Times New Roman" w:hAnsi="Times New Roman" w:cs="Times New Roman"/>
                <w:color w:val="000000"/>
              </w:rPr>
              <w:t>- With documented incapacitating episodes requiring at least 3 but less than 5 treatment visits for an eye condition during the past 12 months … 20 percent</w:t>
            </w:r>
          </w:p>
        </w:tc>
      </w:tr>
      <w:tr w:rsidR="0041308B" w:rsidRPr="0041308B" w14:paraId="4161C9FE" w14:textId="77777777" w:rsidTr="0041308B">
        <w:trPr>
          <w:trHeight w:val="600"/>
        </w:trPr>
        <w:tc>
          <w:tcPr>
            <w:tcW w:w="1420" w:type="dxa"/>
            <w:vMerge/>
            <w:tcBorders>
              <w:top w:val="nil"/>
              <w:left w:val="single" w:sz="8" w:space="0" w:color="auto"/>
              <w:bottom w:val="single" w:sz="4" w:space="0" w:color="auto"/>
              <w:right w:val="single" w:sz="4" w:space="0" w:color="auto"/>
            </w:tcBorders>
            <w:vAlign w:val="center"/>
            <w:hideMark/>
          </w:tcPr>
          <w:p w14:paraId="4161C9FC" w14:textId="77777777" w:rsidR="0041308B" w:rsidRPr="0041308B" w:rsidRDefault="0041308B" w:rsidP="0041308B">
            <w:pPr>
              <w:spacing w:after="0" w:line="240" w:lineRule="auto"/>
              <w:rPr>
                <w:rFonts w:ascii="Times New Roman" w:eastAsia="Times New Roman" w:hAnsi="Times New Roman" w:cs="Times New Roman"/>
                <w:color w:val="000000"/>
              </w:rPr>
            </w:pPr>
          </w:p>
        </w:tc>
        <w:tc>
          <w:tcPr>
            <w:tcW w:w="7820" w:type="dxa"/>
            <w:tcBorders>
              <w:top w:val="nil"/>
              <w:left w:val="nil"/>
              <w:bottom w:val="single" w:sz="4" w:space="0" w:color="auto"/>
              <w:right w:val="single" w:sz="8" w:space="0" w:color="auto"/>
            </w:tcBorders>
            <w:shd w:val="clear" w:color="auto" w:fill="auto"/>
            <w:vAlign w:val="center"/>
            <w:hideMark/>
          </w:tcPr>
          <w:p w14:paraId="4161C9FD" w14:textId="77777777" w:rsidR="0041308B" w:rsidRPr="0041308B" w:rsidRDefault="0041308B" w:rsidP="0041308B">
            <w:pPr>
              <w:spacing w:after="0" w:line="240" w:lineRule="auto"/>
              <w:rPr>
                <w:rFonts w:ascii="Times New Roman" w:eastAsia="Times New Roman" w:hAnsi="Times New Roman" w:cs="Times New Roman"/>
                <w:color w:val="000000"/>
              </w:rPr>
            </w:pPr>
            <w:r w:rsidRPr="0041308B">
              <w:rPr>
                <w:rFonts w:ascii="Times New Roman" w:eastAsia="Times New Roman" w:hAnsi="Times New Roman" w:cs="Times New Roman"/>
                <w:color w:val="000000"/>
              </w:rPr>
              <w:t>- With documented incapacitating episodes requiring at least 1 but less than 3 treatment visits for an eye condition during the past 12 months … 10 percent</w:t>
            </w:r>
          </w:p>
        </w:tc>
      </w:tr>
      <w:tr w:rsidR="0041308B" w:rsidRPr="0041308B" w14:paraId="4161CA01" w14:textId="77777777" w:rsidTr="0041308B">
        <w:trPr>
          <w:trHeight w:val="800"/>
        </w:trPr>
        <w:tc>
          <w:tcPr>
            <w:tcW w:w="1420" w:type="dxa"/>
            <w:vMerge/>
            <w:tcBorders>
              <w:top w:val="nil"/>
              <w:left w:val="single" w:sz="8" w:space="0" w:color="auto"/>
              <w:bottom w:val="single" w:sz="4" w:space="0" w:color="auto"/>
              <w:right w:val="single" w:sz="4" w:space="0" w:color="auto"/>
            </w:tcBorders>
            <w:vAlign w:val="center"/>
            <w:hideMark/>
          </w:tcPr>
          <w:p w14:paraId="4161C9FF" w14:textId="77777777" w:rsidR="0041308B" w:rsidRPr="0041308B" w:rsidRDefault="0041308B" w:rsidP="0041308B">
            <w:pPr>
              <w:spacing w:after="0" w:line="240" w:lineRule="auto"/>
              <w:rPr>
                <w:rFonts w:ascii="Times New Roman" w:eastAsia="Times New Roman" w:hAnsi="Times New Roman" w:cs="Times New Roman"/>
                <w:color w:val="000000"/>
              </w:rPr>
            </w:pPr>
          </w:p>
        </w:tc>
        <w:tc>
          <w:tcPr>
            <w:tcW w:w="7820" w:type="dxa"/>
            <w:tcBorders>
              <w:top w:val="nil"/>
              <w:left w:val="nil"/>
              <w:bottom w:val="single" w:sz="4" w:space="0" w:color="auto"/>
              <w:right w:val="single" w:sz="8" w:space="0" w:color="auto"/>
            </w:tcBorders>
            <w:shd w:val="clear" w:color="auto" w:fill="auto"/>
            <w:vAlign w:val="center"/>
            <w:hideMark/>
          </w:tcPr>
          <w:p w14:paraId="4161CA00" w14:textId="77777777" w:rsidR="0041308B" w:rsidRPr="0041308B" w:rsidRDefault="0041308B" w:rsidP="0041308B">
            <w:pPr>
              <w:spacing w:after="0" w:line="240" w:lineRule="auto"/>
              <w:rPr>
                <w:rFonts w:ascii="Times New Roman" w:eastAsia="Times New Roman" w:hAnsi="Times New Roman" w:cs="Times New Roman"/>
                <w:color w:val="000000"/>
              </w:rPr>
            </w:pPr>
            <w:r w:rsidRPr="0041308B">
              <w:rPr>
                <w:rFonts w:ascii="Times New Roman" w:eastAsia="Times New Roman" w:hAnsi="Times New Roman" w:cs="Times New Roman"/>
                <w:color w:val="000000"/>
              </w:rPr>
              <w:t>Note (1): For the purposes of evaluation under 38 CFR 4.79, an incapacitating episode is an eye condition severe enough to require a clinic visit to a provider specifically for treatment purposes.</w:t>
            </w:r>
          </w:p>
        </w:tc>
      </w:tr>
      <w:tr w:rsidR="0041308B" w:rsidRPr="0041308B" w14:paraId="4161CA04" w14:textId="77777777" w:rsidTr="0041308B">
        <w:trPr>
          <w:trHeight w:val="800"/>
        </w:trPr>
        <w:tc>
          <w:tcPr>
            <w:tcW w:w="1420" w:type="dxa"/>
            <w:vMerge/>
            <w:tcBorders>
              <w:top w:val="nil"/>
              <w:left w:val="single" w:sz="8" w:space="0" w:color="auto"/>
              <w:bottom w:val="single" w:sz="4" w:space="0" w:color="auto"/>
              <w:right w:val="single" w:sz="4" w:space="0" w:color="auto"/>
            </w:tcBorders>
            <w:vAlign w:val="center"/>
            <w:hideMark/>
          </w:tcPr>
          <w:p w14:paraId="4161CA02" w14:textId="77777777" w:rsidR="0041308B" w:rsidRPr="0041308B" w:rsidRDefault="0041308B" w:rsidP="0041308B">
            <w:pPr>
              <w:spacing w:after="0" w:line="240" w:lineRule="auto"/>
              <w:rPr>
                <w:rFonts w:ascii="Times New Roman" w:eastAsia="Times New Roman" w:hAnsi="Times New Roman" w:cs="Times New Roman"/>
                <w:color w:val="000000"/>
              </w:rPr>
            </w:pPr>
          </w:p>
        </w:tc>
        <w:tc>
          <w:tcPr>
            <w:tcW w:w="7820" w:type="dxa"/>
            <w:tcBorders>
              <w:top w:val="nil"/>
              <w:left w:val="nil"/>
              <w:bottom w:val="single" w:sz="4" w:space="0" w:color="auto"/>
              <w:right w:val="single" w:sz="8" w:space="0" w:color="auto"/>
            </w:tcBorders>
            <w:shd w:val="clear" w:color="auto" w:fill="auto"/>
            <w:vAlign w:val="center"/>
            <w:hideMark/>
          </w:tcPr>
          <w:p w14:paraId="4161CA03" w14:textId="77777777" w:rsidR="0041308B" w:rsidRPr="0041308B" w:rsidRDefault="0041308B" w:rsidP="0041308B">
            <w:pPr>
              <w:spacing w:after="0" w:line="240" w:lineRule="auto"/>
              <w:rPr>
                <w:rFonts w:ascii="Times New Roman" w:eastAsia="Times New Roman" w:hAnsi="Times New Roman" w:cs="Times New Roman"/>
                <w:color w:val="000000"/>
              </w:rPr>
            </w:pPr>
            <w:r w:rsidRPr="0041308B">
              <w:rPr>
                <w:rFonts w:ascii="Times New Roman" w:eastAsia="Times New Roman" w:hAnsi="Times New Roman" w:cs="Times New Roman"/>
                <w:color w:val="000000"/>
              </w:rPr>
              <w:t>Note (2): Examples of treatment may include but are not limited to: Systemic immunosuppressants or biologic agents; intravitreal or periocular injections; laser treatments; or other surgical interventions.</w:t>
            </w:r>
          </w:p>
        </w:tc>
      </w:tr>
      <w:tr w:rsidR="0041308B" w:rsidRPr="0041308B" w14:paraId="4161CA07" w14:textId="77777777" w:rsidTr="0041308B">
        <w:trPr>
          <w:trHeight w:val="530"/>
        </w:trPr>
        <w:tc>
          <w:tcPr>
            <w:tcW w:w="1420" w:type="dxa"/>
            <w:vMerge/>
            <w:tcBorders>
              <w:top w:val="nil"/>
              <w:left w:val="single" w:sz="8" w:space="0" w:color="auto"/>
              <w:bottom w:val="single" w:sz="4" w:space="0" w:color="auto"/>
              <w:right w:val="single" w:sz="4" w:space="0" w:color="auto"/>
            </w:tcBorders>
            <w:vAlign w:val="center"/>
            <w:hideMark/>
          </w:tcPr>
          <w:p w14:paraId="4161CA05" w14:textId="77777777" w:rsidR="0041308B" w:rsidRPr="0041308B" w:rsidRDefault="0041308B" w:rsidP="0041308B">
            <w:pPr>
              <w:spacing w:after="0" w:line="240" w:lineRule="auto"/>
              <w:rPr>
                <w:rFonts w:ascii="Times New Roman" w:eastAsia="Times New Roman" w:hAnsi="Times New Roman" w:cs="Times New Roman"/>
                <w:color w:val="000000"/>
              </w:rPr>
            </w:pPr>
          </w:p>
        </w:tc>
        <w:tc>
          <w:tcPr>
            <w:tcW w:w="7820" w:type="dxa"/>
            <w:tcBorders>
              <w:top w:val="nil"/>
              <w:left w:val="nil"/>
              <w:bottom w:val="single" w:sz="4" w:space="0" w:color="auto"/>
              <w:right w:val="single" w:sz="8" w:space="0" w:color="auto"/>
            </w:tcBorders>
            <w:shd w:val="clear" w:color="auto" w:fill="auto"/>
            <w:vAlign w:val="center"/>
            <w:hideMark/>
          </w:tcPr>
          <w:p w14:paraId="4161CA06" w14:textId="77777777" w:rsidR="0041308B" w:rsidRPr="0041308B" w:rsidRDefault="0041308B" w:rsidP="0041308B">
            <w:pPr>
              <w:spacing w:after="0" w:line="240" w:lineRule="auto"/>
              <w:rPr>
                <w:rFonts w:ascii="Times New Roman" w:eastAsia="Times New Roman" w:hAnsi="Times New Roman" w:cs="Times New Roman"/>
                <w:color w:val="000000"/>
              </w:rPr>
            </w:pPr>
            <w:r w:rsidRPr="0041308B">
              <w:rPr>
                <w:rFonts w:ascii="Times New Roman" w:eastAsia="Times New Roman" w:hAnsi="Times New Roman" w:cs="Times New Roman"/>
                <w:color w:val="000000"/>
              </w:rPr>
              <w:t>Note (3): For the purposes of evaluating visual impairment due to a particular condition, refer to 38 CFR 4.75-4.78 and to §4.79, diagnostic codes 6061-6091.</w:t>
            </w:r>
          </w:p>
        </w:tc>
      </w:tr>
      <w:tr w:rsidR="0041308B" w:rsidRPr="0041308B" w14:paraId="4161CA0A" w14:textId="77777777" w:rsidTr="00227140">
        <w:trPr>
          <w:trHeight w:val="530"/>
        </w:trPr>
        <w:tc>
          <w:tcPr>
            <w:tcW w:w="1420"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14:paraId="4161CA08" w14:textId="77777777" w:rsidR="0041308B" w:rsidRPr="0041308B" w:rsidRDefault="0041308B" w:rsidP="0041308B">
            <w:pPr>
              <w:spacing w:after="0" w:line="240" w:lineRule="auto"/>
              <w:jc w:val="center"/>
              <w:rPr>
                <w:rFonts w:ascii="Times New Roman" w:eastAsia="Times New Roman" w:hAnsi="Times New Roman" w:cs="Times New Roman"/>
                <w:color w:val="000000"/>
              </w:rPr>
            </w:pPr>
            <w:r w:rsidRPr="0041308B">
              <w:rPr>
                <w:rFonts w:ascii="Times New Roman" w:eastAsia="Times New Roman" w:hAnsi="Times New Roman" w:cs="Times New Roman"/>
                <w:color w:val="000000"/>
              </w:rPr>
              <w:t>6000</w:t>
            </w:r>
          </w:p>
        </w:tc>
        <w:tc>
          <w:tcPr>
            <w:tcW w:w="7820" w:type="dxa"/>
            <w:tcBorders>
              <w:top w:val="nil"/>
              <w:left w:val="nil"/>
              <w:bottom w:val="single" w:sz="4" w:space="0" w:color="auto"/>
              <w:right w:val="single" w:sz="8" w:space="0" w:color="auto"/>
            </w:tcBorders>
            <w:shd w:val="clear" w:color="auto" w:fill="D9D9D9" w:themeFill="background1" w:themeFillShade="D9"/>
            <w:vAlign w:val="bottom"/>
            <w:hideMark/>
          </w:tcPr>
          <w:p w14:paraId="4161CA09" w14:textId="77777777" w:rsidR="0041308B" w:rsidRPr="0041308B" w:rsidRDefault="0041308B" w:rsidP="0041308B">
            <w:pPr>
              <w:spacing w:after="0" w:line="240" w:lineRule="auto"/>
              <w:rPr>
                <w:rFonts w:ascii="Times New Roman" w:eastAsia="Times New Roman" w:hAnsi="Times New Roman" w:cs="Times New Roman"/>
                <w:color w:val="000000"/>
              </w:rPr>
            </w:pPr>
            <w:r w:rsidRPr="0041308B">
              <w:rPr>
                <w:rFonts w:ascii="Times New Roman" w:eastAsia="Times New Roman" w:hAnsi="Times New Roman" w:cs="Times New Roman"/>
                <w:color w:val="000000"/>
              </w:rPr>
              <w:t>Change in subordinate conjunction from "and" to "or" - choroidopathy, including uveitis, iritis, cyclitis, or choroiditis</w:t>
            </w:r>
          </w:p>
        </w:tc>
      </w:tr>
      <w:tr w:rsidR="0041308B" w:rsidRPr="0041308B" w14:paraId="4161CA0D" w14:textId="77777777" w:rsidTr="0041308B">
        <w:trPr>
          <w:trHeight w:val="285"/>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161CA0B" w14:textId="77777777" w:rsidR="0041308B" w:rsidRPr="0041308B" w:rsidRDefault="0041308B" w:rsidP="0041308B">
            <w:pPr>
              <w:spacing w:after="0" w:line="240" w:lineRule="auto"/>
              <w:jc w:val="center"/>
              <w:rPr>
                <w:rFonts w:ascii="Times New Roman" w:eastAsia="Times New Roman" w:hAnsi="Times New Roman" w:cs="Times New Roman"/>
                <w:color w:val="000000"/>
              </w:rPr>
            </w:pPr>
            <w:r w:rsidRPr="0041308B">
              <w:rPr>
                <w:rFonts w:ascii="Times New Roman" w:eastAsia="Times New Roman" w:hAnsi="Times New Roman" w:cs="Times New Roman"/>
                <w:color w:val="000000"/>
              </w:rPr>
              <w:t>6006</w:t>
            </w:r>
          </w:p>
        </w:tc>
        <w:tc>
          <w:tcPr>
            <w:tcW w:w="7820" w:type="dxa"/>
            <w:tcBorders>
              <w:top w:val="nil"/>
              <w:left w:val="nil"/>
              <w:bottom w:val="single" w:sz="4" w:space="0" w:color="auto"/>
              <w:right w:val="single" w:sz="8" w:space="0" w:color="auto"/>
            </w:tcBorders>
            <w:shd w:val="clear" w:color="auto" w:fill="auto"/>
            <w:vAlign w:val="bottom"/>
            <w:hideMark/>
          </w:tcPr>
          <w:p w14:paraId="4161CA0C" w14:textId="77777777" w:rsidR="0041308B" w:rsidRPr="0041308B" w:rsidRDefault="0041308B" w:rsidP="0041308B">
            <w:pPr>
              <w:spacing w:after="0" w:line="240" w:lineRule="auto"/>
              <w:rPr>
                <w:rFonts w:ascii="Times New Roman" w:eastAsia="Times New Roman" w:hAnsi="Times New Roman" w:cs="Times New Roman"/>
                <w:color w:val="000000"/>
              </w:rPr>
            </w:pPr>
            <w:r w:rsidRPr="0041308B">
              <w:rPr>
                <w:rFonts w:ascii="Times New Roman" w:eastAsia="Times New Roman" w:hAnsi="Times New Roman" w:cs="Times New Roman"/>
                <w:color w:val="000000"/>
              </w:rPr>
              <w:t>Added "not otherwise specified" - retinopathy or maculopathy, not otherwise specified</w:t>
            </w:r>
          </w:p>
        </w:tc>
      </w:tr>
      <w:tr w:rsidR="0041308B" w:rsidRPr="0041308B" w14:paraId="4161CA10" w14:textId="77777777" w:rsidTr="00227140">
        <w:trPr>
          <w:trHeight w:val="467"/>
        </w:trPr>
        <w:tc>
          <w:tcPr>
            <w:tcW w:w="1420"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14:paraId="4161CA0E" w14:textId="77777777" w:rsidR="0041308B" w:rsidRPr="0041308B" w:rsidRDefault="0041308B" w:rsidP="0041308B">
            <w:pPr>
              <w:spacing w:after="0" w:line="240" w:lineRule="auto"/>
              <w:jc w:val="center"/>
              <w:rPr>
                <w:rFonts w:ascii="Times New Roman" w:eastAsia="Times New Roman" w:hAnsi="Times New Roman" w:cs="Times New Roman"/>
                <w:color w:val="000000"/>
              </w:rPr>
            </w:pPr>
            <w:r w:rsidRPr="0041308B">
              <w:rPr>
                <w:rFonts w:ascii="Times New Roman" w:eastAsia="Times New Roman" w:hAnsi="Times New Roman" w:cs="Times New Roman"/>
                <w:color w:val="000000"/>
              </w:rPr>
              <w:t>6009</w:t>
            </w:r>
          </w:p>
        </w:tc>
        <w:tc>
          <w:tcPr>
            <w:tcW w:w="7820" w:type="dxa"/>
            <w:tcBorders>
              <w:top w:val="nil"/>
              <w:left w:val="nil"/>
              <w:bottom w:val="single" w:sz="4" w:space="0" w:color="auto"/>
              <w:right w:val="single" w:sz="8" w:space="0" w:color="auto"/>
            </w:tcBorders>
            <w:shd w:val="clear" w:color="auto" w:fill="D9D9D9" w:themeFill="background1" w:themeFillShade="D9"/>
            <w:vAlign w:val="bottom"/>
            <w:hideMark/>
          </w:tcPr>
          <w:p w14:paraId="4161CA0F" w14:textId="77777777" w:rsidR="0041308B" w:rsidRPr="0041308B" w:rsidRDefault="0041308B" w:rsidP="0041308B">
            <w:pPr>
              <w:spacing w:after="0" w:line="240" w:lineRule="auto"/>
              <w:rPr>
                <w:rFonts w:ascii="Times New Roman" w:eastAsia="Times New Roman" w:hAnsi="Times New Roman" w:cs="Times New Roman"/>
                <w:color w:val="000000"/>
              </w:rPr>
            </w:pPr>
            <w:r w:rsidRPr="0041308B">
              <w:rPr>
                <w:rFonts w:ascii="Times New Roman" w:eastAsia="Times New Roman" w:hAnsi="Times New Roman" w:cs="Times New Roman"/>
                <w:color w:val="000000"/>
              </w:rPr>
              <w:t xml:space="preserve">New note: This includes </w:t>
            </w:r>
            <w:proofErr w:type="spellStart"/>
            <w:r w:rsidRPr="0041308B">
              <w:rPr>
                <w:rFonts w:ascii="Times New Roman" w:eastAsia="Times New Roman" w:hAnsi="Times New Roman" w:cs="Times New Roman"/>
                <w:color w:val="000000"/>
              </w:rPr>
              <w:t>oribital</w:t>
            </w:r>
            <w:proofErr w:type="spellEnd"/>
            <w:r w:rsidRPr="0041308B">
              <w:rPr>
                <w:rFonts w:ascii="Times New Roman" w:eastAsia="Times New Roman" w:hAnsi="Times New Roman" w:cs="Times New Roman"/>
                <w:color w:val="000000"/>
              </w:rPr>
              <w:t xml:space="preserve"> trauma, as well as penetrating and non-penetrating eye injury. </w:t>
            </w:r>
          </w:p>
        </w:tc>
      </w:tr>
      <w:tr w:rsidR="0041308B" w:rsidRPr="0041308B" w14:paraId="4161CA13" w14:textId="77777777" w:rsidTr="0041308B">
        <w:trPr>
          <w:trHeight w:val="1025"/>
        </w:trPr>
        <w:tc>
          <w:tcPr>
            <w:tcW w:w="1420" w:type="dxa"/>
            <w:tcBorders>
              <w:top w:val="nil"/>
              <w:left w:val="single" w:sz="8" w:space="0" w:color="auto"/>
              <w:bottom w:val="single" w:sz="4" w:space="0" w:color="auto"/>
              <w:right w:val="single" w:sz="4" w:space="0" w:color="auto"/>
            </w:tcBorders>
            <w:shd w:val="clear" w:color="auto" w:fill="auto"/>
            <w:hideMark/>
          </w:tcPr>
          <w:p w14:paraId="4161CA11" w14:textId="77777777" w:rsidR="0041308B" w:rsidRPr="0041308B" w:rsidRDefault="0041308B" w:rsidP="0041308B">
            <w:pPr>
              <w:spacing w:after="0" w:line="240" w:lineRule="auto"/>
              <w:jc w:val="center"/>
              <w:rPr>
                <w:rFonts w:ascii="Times New Roman" w:eastAsia="Times New Roman" w:hAnsi="Times New Roman" w:cs="Times New Roman"/>
                <w:color w:val="000000"/>
              </w:rPr>
            </w:pPr>
            <w:r w:rsidRPr="0041308B">
              <w:rPr>
                <w:rFonts w:ascii="Times New Roman" w:eastAsia="Times New Roman" w:hAnsi="Times New Roman" w:cs="Times New Roman"/>
                <w:color w:val="000000"/>
              </w:rPr>
              <w:t>6011, 6013,</w:t>
            </w:r>
            <w:r w:rsidRPr="0041308B">
              <w:rPr>
                <w:rFonts w:ascii="Times New Roman" w:eastAsia="Times New Roman" w:hAnsi="Times New Roman" w:cs="Times New Roman"/>
                <w:color w:val="000000"/>
              </w:rPr>
              <w:br/>
              <w:t xml:space="preserve">6017, 6018, </w:t>
            </w:r>
            <w:r w:rsidRPr="0041308B">
              <w:rPr>
                <w:rFonts w:ascii="Times New Roman" w:eastAsia="Times New Roman" w:hAnsi="Times New Roman" w:cs="Times New Roman"/>
                <w:color w:val="000000"/>
              </w:rPr>
              <w:br/>
              <w:t xml:space="preserve">6026, 6027, </w:t>
            </w:r>
            <w:r w:rsidRPr="0041308B">
              <w:rPr>
                <w:rFonts w:ascii="Times New Roman" w:eastAsia="Times New Roman" w:hAnsi="Times New Roman" w:cs="Times New Roman"/>
                <w:color w:val="000000"/>
              </w:rPr>
              <w:br/>
              <w:t>6035, 6036</w:t>
            </w:r>
          </w:p>
        </w:tc>
        <w:tc>
          <w:tcPr>
            <w:tcW w:w="7820" w:type="dxa"/>
            <w:tcBorders>
              <w:top w:val="nil"/>
              <w:left w:val="nil"/>
              <w:bottom w:val="single" w:sz="4" w:space="0" w:color="auto"/>
              <w:right w:val="single" w:sz="8" w:space="0" w:color="auto"/>
            </w:tcBorders>
            <w:shd w:val="clear" w:color="auto" w:fill="auto"/>
            <w:vAlign w:val="center"/>
            <w:hideMark/>
          </w:tcPr>
          <w:p w14:paraId="4161CA12" w14:textId="77777777" w:rsidR="0041308B" w:rsidRPr="0041308B" w:rsidRDefault="0041308B" w:rsidP="0041308B">
            <w:pPr>
              <w:spacing w:after="0" w:line="240" w:lineRule="auto"/>
              <w:rPr>
                <w:rFonts w:ascii="Times New Roman" w:eastAsia="Times New Roman" w:hAnsi="Times New Roman" w:cs="Times New Roman"/>
                <w:color w:val="000000"/>
              </w:rPr>
            </w:pPr>
            <w:r w:rsidRPr="0041308B">
              <w:rPr>
                <w:rFonts w:ascii="Times New Roman" w:eastAsia="Times New Roman" w:hAnsi="Times New Roman" w:cs="Times New Roman"/>
                <w:color w:val="000000"/>
              </w:rPr>
              <w:t>Expanded evaluation criteria from visual impairment to using the General Rating Formula for Diseases of the Eye. Other evaluation criteria, if present in rating schedule, remains the same.</w:t>
            </w:r>
          </w:p>
        </w:tc>
      </w:tr>
      <w:tr w:rsidR="0041308B" w:rsidRPr="0041308B" w14:paraId="4161CA16" w14:textId="77777777" w:rsidTr="00227140">
        <w:trPr>
          <w:trHeight w:val="710"/>
        </w:trPr>
        <w:tc>
          <w:tcPr>
            <w:tcW w:w="1420"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14:paraId="4161CA14" w14:textId="77777777" w:rsidR="0041308B" w:rsidRPr="0041308B" w:rsidRDefault="0041308B" w:rsidP="0041308B">
            <w:pPr>
              <w:spacing w:after="0" w:line="240" w:lineRule="auto"/>
              <w:jc w:val="center"/>
              <w:rPr>
                <w:rFonts w:ascii="Times New Roman" w:eastAsia="Times New Roman" w:hAnsi="Times New Roman" w:cs="Times New Roman"/>
                <w:color w:val="000000"/>
              </w:rPr>
            </w:pPr>
            <w:r w:rsidRPr="0041308B">
              <w:rPr>
                <w:rFonts w:ascii="Times New Roman" w:eastAsia="Times New Roman" w:hAnsi="Times New Roman" w:cs="Times New Roman"/>
                <w:color w:val="000000"/>
              </w:rPr>
              <w:t>6012</w:t>
            </w:r>
          </w:p>
        </w:tc>
        <w:tc>
          <w:tcPr>
            <w:tcW w:w="7820" w:type="dxa"/>
            <w:tcBorders>
              <w:top w:val="nil"/>
              <w:left w:val="nil"/>
              <w:bottom w:val="single" w:sz="4" w:space="0" w:color="auto"/>
              <w:right w:val="single" w:sz="8" w:space="0" w:color="auto"/>
            </w:tcBorders>
            <w:shd w:val="clear" w:color="auto" w:fill="D9D9D9" w:themeFill="background1" w:themeFillShade="D9"/>
            <w:vAlign w:val="bottom"/>
            <w:hideMark/>
          </w:tcPr>
          <w:p w14:paraId="4161CA15" w14:textId="77777777" w:rsidR="0041308B" w:rsidRPr="0041308B" w:rsidRDefault="0041308B" w:rsidP="0041308B">
            <w:pPr>
              <w:spacing w:after="0" w:line="240" w:lineRule="auto"/>
              <w:rPr>
                <w:rFonts w:ascii="Times New Roman" w:eastAsia="Times New Roman" w:hAnsi="Times New Roman" w:cs="Times New Roman"/>
                <w:color w:val="000000"/>
              </w:rPr>
            </w:pPr>
            <w:r w:rsidRPr="0041308B">
              <w:rPr>
                <w:rFonts w:ascii="Times New Roman" w:eastAsia="Times New Roman" w:hAnsi="Times New Roman" w:cs="Times New Roman"/>
                <w:color w:val="000000"/>
              </w:rPr>
              <w:t xml:space="preserve">Expanded evaluation criteria from incapacitating episodes and visual impairment to using the General Rating Formula for Diseases of the Eye. Other evaluation criteria </w:t>
            </w:r>
            <w:proofErr w:type="gramStart"/>
            <w:r w:rsidRPr="0041308B">
              <w:rPr>
                <w:rFonts w:ascii="Times New Roman" w:eastAsia="Times New Roman" w:hAnsi="Times New Roman" w:cs="Times New Roman"/>
                <w:color w:val="000000"/>
              </w:rPr>
              <w:t>remains</w:t>
            </w:r>
            <w:proofErr w:type="gramEnd"/>
            <w:r w:rsidRPr="0041308B">
              <w:rPr>
                <w:rFonts w:ascii="Times New Roman" w:eastAsia="Times New Roman" w:hAnsi="Times New Roman" w:cs="Times New Roman"/>
                <w:color w:val="000000"/>
              </w:rPr>
              <w:t xml:space="preserve"> the same.</w:t>
            </w:r>
          </w:p>
        </w:tc>
      </w:tr>
      <w:tr w:rsidR="0041308B" w:rsidRPr="0041308B" w14:paraId="4161CA19" w14:textId="77777777" w:rsidTr="0041308B">
        <w:trPr>
          <w:trHeight w:val="710"/>
        </w:trPr>
        <w:tc>
          <w:tcPr>
            <w:tcW w:w="14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161CA17" w14:textId="77777777" w:rsidR="0041308B" w:rsidRPr="0041308B" w:rsidRDefault="0041308B" w:rsidP="0041308B">
            <w:pPr>
              <w:spacing w:after="0" w:line="240" w:lineRule="auto"/>
              <w:jc w:val="center"/>
              <w:rPr>
                <w:rFonts w:ascii="Times New Roman" w:eastAsia="Times New Roman" w:hAnsi="Times New Roman" w:cs="Times New Roman"/>
                <w:color w:val="000000"/>
              </w:rPr>
            </w:pPr>
            <w:r w:rsidRPr="0041308B">
              <w:rPr>
                <w:rFonts w:ascii="Times New Roman" w:eastAsia="Times New Roman" w:hAnsi="Times New Roman" w:cs="Times New Roman"/>
                <w:color w:val="000000"/>
              </w:rPr>
              <w:lastRenderedPageBreak/>
              <w:t>6014</w:t>
            </w:r>
          </w:p>
        </w:tc>
        <w:tc>
          <w:tcPr>
            <w:tcW w:w="7820" w:type="dxa"/>
            <w:tcBorders>
              <w:top w:val="single" w:sz="4" w:space="0" w:color="auto"/>
              <w:left w:val="nil"/>
              <w:bottom w:val="single" w:sz="4" w:space="0" w:color="auto"/>
              <w:right w:val="single" w:sz="8" w:space="0" w:color="auto"/>
            </w:tcBorders>
            <w:shd w:val="clear" w:color="auto" w:fill="auto"/>
            <w:vAlign w:val="bottom"/>
            <w:hideMark/>
          </w:tcPr>
          <w:p w14:paraId="4161CA18" w14:textId="77777777" w:rsidR="0041308B" w:rsidRPr="0041308B" w:rsidRDefault="0041308B" w:rsidP="0041308B">
            <w:pPr>
              <w:spacing w:after="0" w:line="240" w:lineRule="auto"/>
              <w:rPr>
                <w:rFonts w:ascii="Times New Roman" w:eastAsia="Times New Roman" w:hAnsi="Times New Roman" w:cs="Times New Roman"/>
                <w:color w:val="000000"/>
              </w:rPr>
            </w:pPr>
            <w:r w:rsidRPr="0041308B">
              <w:rPr>
                <w:rFonts w:ascii="Times New Roman" w:eastAsia="Times New Roman" w:hAnsi="Times New Roman" w:cs="Times New Roman"/>
                <w:color w:val="000000"/>
              </w:rPr>
              <w:t>Language update - "eye" replaces "eyeball."  Added additional areas of the eye included for evaluation - eye, orbit, and adnexa (excluding skin). Evaluation criteria remains the same.</w:t>
            </w:r>
          </w:p>
        </w:tc>
      </w:tr>
      <w:tr w:rsidR="0041308B" w:rsidRPr="0041308B" w14:paraId="4161CA1C" w14:textId="77777777" w:rsidTr="00227140">
        <w:trPr>
          <w:trHeight w:val="800"/>
        </w:trPr>
        <w:tc>
          <w:tcPr>
            <w:tcW w:w="1420"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14:paraId="4161CA1A" w14:textId="77777777" w:rsidR="0041308B" w:rsidRPr="0041308B" w:rsidRDefault="0041308B" w:rsidP="0041308B">
            <w:pPr>
              <w:spacing w:after="0" w:line="240" w:lineRule="auto"/>
              <w:jc w:val="center"/>
              <w:rPr>
                <w:rFonts w:ascii="Times New Roman" w:eastAsia="Times New Roman" w:hAnsi="Times New Roman" w:cs="Times New Roman"/>
                <w:color w:val="000000"/>
              </w:rPr>
            </w:pPr>
            <w:r w:rsidRPr="0041308B">
              <w:rPr>
                <w:rFonts w:ascii="Times New Roman" w:eastAsia="Times New Roman" w:hAnsi="Times New Roman" w:cs="Times New Roman"/>
                <w:color w:val="000000"/>
              </w:rPr>
              <w:t>6015</w:t>
            </w:r>
          </w:p>
        </w:tc>
        <w:tc>
          <w:tcPr>
            <w:tcW w:w="7820" w:type="dxa"/>
            <w:tcBorders>
              <w:top w:val="nil"/>
              <w:left w:val="nil"/>
              <w:bottom w:val="single" w:sz="4" w:space="0" w:color="auto"/>
              <w:right w:val="single" w:sz="8" w:space="0" w:color="auto"/>
            </w:tcBorders>
            <w:shd w:val="clear" w:color="auto" w:fill="D9D9D9" w:themeFill="background1" w:themeFillShade="D9"/>
            <w:vAlign w:val="bottom"/>
            <w:hideMark/>
          </w:tcPr>
          <w:p w14:paraId="4161CA1B" w14:textId="77777777" w:rsidR="0041308B" w:rsidRPr="0041308B" w:rsidRDefault="0041308B" w:rsidP="0041308B">
            <w:pPr>
              <w:spacing w:after="0" w:line="240" w:lineRule="auto"/>
              <w:rPr>
                <w:rFonts w:ascii="Times New Roman" w:eastAsia="Times New Roman" w:hAnsi="Times New Roman" w:cs="Times New Roman"/>
                <w:color w:val="000000"/>
              </w:rPr>
            </w:pPr>
            <w:r w:rsidRPr="0041308B">
              <w:rPr>
                <w:rFonts w:ascii="Times New Roman" w:eastAsia="Times New Roman" w:hAnsi="Times New Roman" w:cs="Times New Roman"/>
                <w:color w:val="000000"/>
              </w:rPr>
              <w:t>Language update - "eye" replaces "eyeball."  Added additional areas of the eye included for evaluation - eye, orbit, and adnexa (excluding skin). Evaluation criteria remains the same.</w:t>
            </w:r>
          </w:p>
        </w:tc>
      </w:tr>
      <w:tr w:rsidR="0041308B" w:rsidRPr="0041308B" w14:paraId="4161CA1F" w14:textId="77777777" w:rsidTr="0041308B">
        <w:trPr>
          <w:trHeight w:val="728"/>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161CA1D" w14:textId="77777777" w:rsidR="0041308B" w:rsidRPr="0041308B" w:rsidRDefault="0041308B" w:rsidP="0041308B">
            <w:pPr>
              <w:spacing w:after="0" w:line="240" w:lineRule="auto"/>
              <w:jc w:val="center"/>
              <w:rPr>
                <w:rFonts w:ascii="Times New Roman" w:eastAsia="Times New Roman" w:hAnsi="Times New Roman" w:cs="Times New Roman"/>
                <w:color w:val="000000"/>
              </w:rPr>
            </w:pPr>
            <w:r w:rsidRPr="0041308B">
              <w:rPr>
                <w:rFonts w:ascii="Times New Roman" w:eastAsia="Times New Roman" w:hAnsi="Times New Roman" w:cs="Times New Roman"/>
                <w:color w:val="000000"/>
              </w:rPr>
              <w:t>6034</w:t>
            </w:r>
            <w:r w:rsidRPr="00A14DD7">
              <w:rPr>
                <w:rFonts w:ascii="Times New Roman" w:eastAsia="Times New Roman" w:hAnsi="Times New Roman" w:cs="Times New Roman"/>
                <w:color w:val="000000"/>
              </w:rPr>
              <w:t>, 6091</w:t>
            </w:r>
          </w:p>
        </w:tc>
        <w:tc>
          <w:tcPr>
            <w:tcW w:w="7820" w:type="dxa"/>
            <w:tcBorders>
              <w:top w:val="nil"/>
              <w:left w:val="nil"/>
              <w:bottom w:val="single" w:sz="4" w:space="0" w:color="auto"/>
              <w:right w:val="single" w:sz="8" w:space="0" w:color="auto"/>
            </w:tcBorders>
            <w:shd w:val="clear" w:color="auto" w:fill="auto"/>
            <w:vAlign w:val="bottom"/>
            <w:hideMark/>
          </w:tcPr>
          <w:p w14:paraId="4161CA1E" w14:textId="3CE8F48F" w:rsidR="0041308B" w:rsidRPr="0041308B" w:rsidRDefault="0041308B" w:rsidP="0041308B">
            <w:pPr>
              <w:spacing w:after="0" w:line="240" w:lineRule="auto"/>
              <w:rPr>
                <w:rFonts w:ascii="Times New Roman" w:eastAsia="Times New Roman" w:hAnsi="Times New Roman" w:cs="Times New Roman"/>
                <w:color w:val="000000"/>
              </w:rPr>
            </w:pPr>
            <w:r w:rsidRPr="0041308B">
              <w:rPr>
                <w:rFonts w:ascii="Times New Roman" w:eastAsia="Times New Roman" w:hAnsi="Times New Roman" w:cs="Times New Roman"/>
                <w:color w:val="000000"/>
              </w:rPr>
              <w:t xml:space="preserve">Expanded evaluation criteria from visual impairment to using the General Rating Formula for Diseases of the Eye. Other evaluation criteria </w:t>
            </w:r>
            <w:proofErr w:type="gramStart"/>
            <w:r w:rsidRPr="0041308B">
              <w:rPr>
                <w:rFonts w:ascii="Times New Roman" w:eastAsia="Times New Roman" w:hAnsi="Times New Roman" w:cs="Times New Roman"/>
                <w:color w:val="000000"/>
              </w:rPr>
              <w:t>remains</w:t>
            </w:r>
            <w:proofErr w:type="gramEnd"/>
            <w:r w:rsidRPr="0041308B">
              <w:rPr>
                <w:rFonts w:ascii="Times New Roman" w:eastAsia="Times New Roman" w:hAnsi="Times New Roman" w:cs="Times New Roman"/>
                <w:color w:val="000000"/>
              </w:rPr>
              <w:t xml:space="preserve"> the same.  Added not</w:t>
            </w:r>
            <w:r w:rsidR="00CE4A40">
              <w:rPr>
                <w:rFonts w:ascii="Times New Roman" w:eastAsia="Times New Roman" w:hAnsi="Times New Roman" w:cs="Times New Roman"/>
                <w:color w:val="000000"/>
              </w:rPr>
              <w:t>e</w:t>
            </w:r>
            <w:r w:rsidRPr="0041308B">
              <w:rPr>
                <w:rFonts w:ascii="Times New Roman" w:eastAsia="Times New Roman" w:hAnsi="Times New Roman" w:cs="Times New Roman"/>
                <w:color w:val="000000"/>
              </w:rPr>
              <w:t xml:space="preserve"> clarifying that these evaluations can be combined under §4.25.</w:t>
            </w:r>
          </w:p>
        </w:tc>
      </w:tr>
      <w:tr w:rsidR="0041308B" w:rsidRPr="0041308B" w14:paraId="4161CA22" w14:textId="77777777" w:rsidTr="00227140">
        <w:trPr>
          <w:trHeight w:val="485"/>
        </w:trPr>
        <w:tc>
          <w:tcPr>
            <w:tcW w:w="1420"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14:paraId="4161CA20" w14:textId="77777777" w:rsidR="0041308B" w:rsidRPr="0041308B" w:rsidRDefault="0041308B" w:rsidP="0041308B">
            <w:pPr>
              <w:spacing w:after="0" w:line="240" w:lineRule="auto"/>
              <w:jc w:val="center"/>
              <w:rPr>
                <w:rFonts w:ascii="Times New Roman" w:eastAsia="Times New Roman" w:hAnsi="Times New Roman" w:cs="Times New Roman"/>
                <w:color w:val="000000"/>
              </w:rPr>
            </w:pPr>
            <w:r w:rsidRPr="0041308B">
              <w:rPr>
                <w:rFonts w:ascii="Times New Roman" w:eastAsia="Times New Roman" w:hAnsi="Times New Roman" w:cs="Times New Roman"/>
                <w:color w:val="000000"/>
              </w:rPr>
              <w:t>6040</w:t>
            </w:r>
          </w:p>
        </w:tc>
        <w:tc>
          <w:tcPr>
            <w:tcW w:w="7820" w:type="dxa"/>
            <w:tcBorders>
              <w:top w:val="nil"/>
              <w:left w:val="nil"/>
              <w:bottom w:val="single" w:sz="4" w:space="0" w:color="auto"/>
              <w:right w:val="single" w:sz="8" w:space="0" w:color="auto"/>
            </w:tcBorders>
            <w:shd w:val="clear" w:color="auto" w:fill="D9D9D9" w:themeFill="background1" w:themeFillShade="D9"/>
            <w:vAlign w:val="bottom"/>
            <w:hideMark/>
          </w:tcPr>
          <w:p w14:paraId="4161CA21" w14:textId="77777777" w:rsidR="0041308B" w:rsidRPr="0041308B" w:rsidRDefault="00502572" w:rsidP="0041308B">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NEW DC - Diabetic Retinopathy</w:t>
            </w:r>
            <w:r w:rsidR="0041308B" w:rsidRPr="0041308B">
              <w:rPr>
                <w:rFonts w:ascii="Times New Roman" w:eastAsia="Times New Roman" w:hAnsi="Times New Roman" w:cs="Times New Roman"/>
                <w:b/>
                <w:bCs/>
                <w:color w:val="000000"/>
              </w:rPr>
              <w:t xml:space="preserve"> </w:t>
            </w:r>
            <w:r w:rsidR="0041308B" w:rsidRPr="0041308B">
              <w:rPr>
                <w:rFonts w:ascii="Times New Roman" w:eastAsia="Times New Roman" w:hAnsi="Times New Roman" w:cs="Times New Roman"/>
                <w:color w:val="000000"/>
              </w:rPr>
              <w:t>Evaluate under the General Rating Formula for Diseases of the Eye.</w:t>
            </w:r>
          </w:p>
        </w:tc>
      </w:tr>
      <w:tr w:rsidR="0041308B" w:rsidRPr="0041308B" w14:paraId="4161CA25" w14:textId="77777777" w:rsidTr="0041308B">
        <w:trPr>
          <w:trHeight w:val="512"/>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161CA23" w14:textId="77777777" w:rsidR="0041308B" w:rsidRPr="0041308B" w:rsidRDefault="0041308B" w:rsidP="0041308B">
            <w:pPr>
              <w:spacing w:after="0" w:line="240" w:lineRule="auto"/>
              <w:jc w:val="center"/>
              <w:rPr>
                <w:rFonts w:ascii="Times New Roman" w:eastAsia="Times New Roman" w:hAnsi="Times New Roman" w:cs="Times New Roman"/>
                <w:color w:val="000000"/>
              </w:rPr>
            </w:pPr>
            <w:r w:rsidRPr="0041308B">
              <w:rPr>
                <w:rFonts w:ascii="Times New Roman" w:eastAsia="Times New Roman" w:hAnsi="Times New Roman" w:cs="Times New Roman"/>
                <w:color w:val="000000"/>
              </w:rPr>
              <w:t>6042</w:t>
            </w:r>
          </w:p>
        </w:tc>
        <w:tc>
          <w:tcPr>
            <w:tcW w:w="7820" w:type="dxa"/>
            <w:tcBorders>
              <w:top w:val="nil"/>
              <w:left w:val="nil"/>
              <w:bottom w:val="single" w:sz="4" w:space="0" w:color="auto"/>
              <w:right w:val="single" w:sz="8" w:space="0" w:color="auto"/>
            </w:tcBorders>
            <w:shd w:val="clear" w:color="auto" w:fill="auto"/>
            <w:vAlign w:val="bottom"/>
            <w:hideMark/>
          </w:tcPr>
          <w:p w14:paraId="4078E0A3" w14:textId="34CB1299" w:rsidR="00CE4A40" w:rsidRPr="00240B81" w:rsidRDefault="0041308B" w:rsidP="00240B81">
            <w:pPr>
              <w:spacing w:after="0" w:line="240" w:lineRule="auto"/>
              <w:rPr>
                <w:rFonts w:ascii="Times New Roman" w:hAnsi="Times New Roman" w:cs="Times New Roman"/>
                <w:sz w:val="23"/>
                <w:szCs w:val="23"/>
              </w:rPr>
            </w:pPr>
            <w:r w:rsidRPr="0041308B">
              <w:rPr>
                <w:rFonts w:ascii="Times New Roman" w:eastAsia="Times New Roman" w:hAnsi="Times New Roman" w:cs="Times New Roman"/>
                <w:b/>
                <w:bCs/>
                <w:color w:val="000000"/>
              </w:rPr>
              <w:t>NEW DC - Retinal Dystrophy</w:t>
            </w:r>
            <w:r w:rsidR="00CE4A40">
              <w:rPr>
                <w:rFonts w:ascii="Times New Roman" w:eastAsia="Times New Roman" w:hAnsi="Times New Roman" w:cs="Times New Roman"/>
                <w:b/>
                <w:bCs/>
                <w:color w:val="000000"/>
              </w:rPr>
              <w:t xml:space="preserve"> </w:t>
            </w:r>
            <w:r w:rsidR="00CE4A40" w:rsidRPr="00240B81">
              <w:rPr>
                <w:rFonts w:ascii="Times New Roman" w:hAnsi="Times New Roman" w:cs="Times New Roman"/>
              </w:rPr>
              <w:t>(including retinitis pigmentosa, wet or dry macular degeneration, early-onset macular degeneration, rod and/or cone dystrophy)</w:t>
            </w:r>
            <w:r w:rsidR="00CE4A40" w:rsidRPr="00240B81">
              <w:rPr>
                <w:rFonts w:ascii="Times New Roman" w:hAnsi="Times New Roman" w:cs="Times New Roman"/>
                <w:sz w:val="23"/>
                <w:szCs w:val="23"/>
              </w:rPr>
              <w:t xml:space="preserve"> </w:t>
            </w:r>
          </w:p>
          <w:p w14:paraId="4161CA24" w14:textId="6BF41F9A" w:rsidR="0041308B" w:rsidRPr="0041308B" w:rsidRDefault="0041308B" w:rsidP="0041308B">
            <w:pPr>
              <w:spacing w:after="0" w:line="240" w:lineRule="auto"/>
              <w:rPr>
                <w:rFonts w:ascii="Times New Roman" w:eastAsia="Times New Roman" w:hAnsi="Times New Roman" w:cs="Times New Roman"/>
                <w:color w:val="000000"/>
              </w:rPr>
            </w:pPr>
            <w:r w:rsidRPr="0041308B">
              <w:rPr>
                <w:rFonts w:ascii="Times New Roman" w:eastAsia="Times New Roman" w:hAnsi="Times New Roman" w:cs="Times New Roman"/>
                <w:b/>
                <w:bCs/>
                <w:color w:val="000000"/>
              </w:rPr>
              <w:t xml:space="preserve"> </w:t>
            </w:r>
            <w:r w:rsidRPr="0041308B">
              <w:rPr>
                <w:rFonts w:ascii="Times New Roman" w:eastAsia="Times New Roman" w:hAnsi="Times New Roman" w:cs="Times New Roman"/>
                <w:color w:val="000000"/>
              </w:rPr>
              <w:t>Evaluate under the General Rating Formula for Diseases of the Eye.</w:t>
            </w:r>
          </w:p>
        </w:tc>
      </w:tr>
      <w:tr w:rsidR="0041308B" w:rsidRPr="0041308B" w14:paraId="4161CA28" w14:textId="77777777" w:rsidTr="00227140">
        <w:trPr>
          <w:trHeight w:val="530"/>
        </w:trPr>
        <w:tc>
          <w:tcPr>
            <w:tcW w:w="1420"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14:paraId="4161CA26" w14:textId="77777777" w:rsidR="0041308B" w:rsidRPr="0041308B" w:rsidRDefault="0041308B" w:rsidP="0041308B">
            <w:pPr>
              <w:spacing w:after="0" w:line="240" w:lineRule="auto"/>
              <w:jc w:val="center"/>
              <w:rPr>
                <w:rFonts w:ascii="Times New Roman" w:eastAsia="Times New Roman" w:hAnsi="Times New Roman" w:cs="Times New Roman"/>
                <w:color w:val="000000"/>
              </w:rPr>
            </w:pPr>
            <w:r w:rsidRPr="0041308B">
              <w:rPr>
                <w:rFonts w:ascii="Times New Roman" w:eastAsia="Times New Roman" w:hAnsi="Times New Roman" w:cs="Times New Roman"/>
                <w:color w:val="000000"/>
              </w:rPr>
              <w:t>6046</w:t>
            </w:r>
          </w:p>
        </w:tc>
        <w:tc>
          <w:tcPr>
            <w:tcW w:w="7820" w:type="dxa"/>
            <w:tcBorders>
              <w:top w:val="nil"/>
              <w:left w:val="nil"/>
              <w:bottom w:val="single" w:sz="4" w:space="0" w:color="auto"/>
              <w:right w:val="single" w:sz="8" w:space="0" w:color="auto"/>
            </w:tcBorders>
            <w:shd w:val="clear" w:color="auto" w:fill="D9D9D9" w:themeFill="background1" w:themeFillShade="D9"/>
            <w:vAlign w:val="bottom"/>
            <w:hideMark/>
          </w:tcPr>
          <w:p w14:paraId="4161CA27" w14:textId="77777777" w:rsidR="0041308B" w:rsidRPr="0041308B" w:rsidRDefault="0041308B" w:rsidP="0041308B">
            <w:pPr>
              <w:spacing w:after="0" w:line="240" w:lineRule="auto"/>
              <w:rPr>
                <w:rFonts w:ascii="Times New Roman" w:eastAsia="Times New Roman" w:hAnsi="Times New Roman" w:cs="Times New Roman"/>
                <w:b/>
                <w:bCs/>
                <w:color w:val="000000"/>
              </w:rPr>
            </w:pPr>
            <w:r w:rsidRPr="0041308B">
              <w:rPr>
                <w:rFonts w:ascii="Times New Roman" w:eastAsia="Times New Roman" w:hAnsi="Times New Roman" w:cs="Times New Roman"/>
                <w:b/>
                <w:bCs/>
                <w:color w:val="000000"/>
              </w:rPr>
              <w:t xml:space="preserve">NEW DC - Post-chiasmal Disorders </w:t>
            </w:r>
            <w:r w:rsidRPr="0041308B">
              <w:rPr>
                <w:rFonts w:ascii="Times New Roman" w:eastAsia="Times New Roman" w:hAnsi="Times New Roman" w:cs="Times New Roman"/>
                <w:color w:val="000000"/>
              </w:rPr>
              <w:t xml:space="preserve">Evaluate under the General Rating Formula for Diseases of the Eye. </w:t>
            </w:r>
          </w:p>
        </w:tc>
      </w:tr>
    </w:tbl>
    <w:p w14:paraId="4161CA29" w14:textId="77777777" w:rsidR="00635E85" w:rsidRDefault="00635E85" w:rsidP="00635E85">
      <w:pPr>
        <w:spacing w:after="0" w:line="240" w:lineRule="auto"/>
        <w:rPr>
          <w:rFonts w:ascii="Times New Roman" w:hAnsi="Times New Roman" w:cs="Times New Roman"/>
          <w:b/>
          <w:sz w:val="24"/>
          <w:szCs w:val="24"/>
        </w:rPr>
      </w:pPr>
    </w:p>
    <w:tbl>
      <w:tblPr>
        <w:tblW w:w="9240" w:type="dxa"/>
        <w:tblInd w:w="93" w:type="dxa"/>
        <w:tblLook w:val="04A0" w:firstRow="1" w:lastRow="0" w:firstColumn="1" w:lastColumn="0" w:noHBand="0" w:noVBand="1"/>
      </w:tblPr>
      <w:tblGrid>
        <w:gridCol w:w="1420"/>
        <w:gridCol w:w="7820"/>
      </w:tblGrid>
      <w:tr w:rsidR="0042331C" w:rsidRPr="0042331C" w14:paraId="4161CA2C" w14:textId="77777777" w:rsidTr="0042331C">
        <w:trPr>
          <w:trHeight w:val="615"/>
        </w:trPr>
        <w:tc>
          <w:tcPr>
            <w:tcW w:w="14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161CA2A" w14:textId="77777777" w:rsidR="0042331C" w:rsidRPr="0042331C" w:rsidRDefault="0042331C" w:rsidP="0042331C">
            <w:pPr>
              <w:spacing w:after="0" w:line="240" w:lineRule="auto"/>
              <w:jc w:val="center"/>
              <w:rPr>
                <w:rFonts w:ascii="Times New Roman" w:eastAsia="Times New Roman" w:hAnsi="Times New Roman" w:cs="Times New Roman"/>
                <w:color w:val="000000"/>
              </w:rPr>
            </w:pPr>
            <w:r w:rsidRPr="0042331C">
              <w:rPr>
                <w:rFonts w:ascii="Times New Roman" w:eastAsia="Times New Roman" w:hAnsi="Times New Roman" w:cs="Times New Roman"/>
                <w:color w:val="000000"/>
              </w:rPr>
              <w:t>No Change</w:t>
            </w:r>
          </w:p>
        </w:tc>
        <w:tc>
          <w:tcPr>
            <w:tcW w:w="7820" w:type="dxa"/>
            <w:tcBorders>
              <w:top w:val="single" w:sz="8" w:space="0" w:color="auto"/>
              <w:left w:val="nil"/>
              <w:bottom w:val="single" w:sz="8" w:space="0" w:color="auto"/>
              <w:right w:val="single" w:sz="8" w:space="0" w:color="auto"/>
            </w:tcBorders>
            <w:shd w:val="clear" w:color="auto" w:fill="auto"/>
            <w:vAlign w:val="bottom"/>
            <w:hideMark/>
          </w:tcPr>
          <w:p w14:paraId="4161CA2B" w14:textId="77777777" w:rsidR="0042331C" w:rsidRPr="0042331C" w:rsidRDefault="0042331C" w:rsidP="0042331C">
            <w:pPr>
              <w:spacing w:after="0" w:line="240" w:lineRule="auto"/>
              <w:rPr>
                <w:rFonts w:ascii="Times New Roman" w:eastAsia="Times New Roman" w:hAnsi="Times New Roman" w:cs="Times New Roman"/>
                <w:color w:val="000000"/>
              </w:rPr>
            </w:pPr>
            <w:r w:rsidRPr="0042331C">
              <w:rPr>
                <w:rFonts w:ascii="Times New Roman" w:eastAsia="Times New Roman" w:hAnsi="Times New Roman" w:cs="Times New Roman"/>
                <w:color w:val="000000"/>
              </w:rPr>
              <w:t>4.75; 4.76; 4.76a; 6001; 6002; 6007; 6008; 6010; 6016; 6019; 6020; 6021; 6023; 6024; 6025; 6029; 6030; 6032; 6037; 6061-6090</w:t>
            </w:r>
          </w:p>
        </w:tc>
      </w:tr>
    </w:tbl>
    <w:p w14:paraId="4161CA2D" w14:textId="77777777" w:rsidR="00227140" w:rsidRDefault="00227140" w:rsidP="00635E85">
      <w:pPr>
        <w:spacing w:after="0" w:line="240" w:lineRule="auto"/>
        <w:rPr>
          <w:rFonts w:ascii="Times New Roman" w:hAnsi="Times New Roman" w:cs="Times New Roman"/>
          <w:b/>
          <w:sz w:val="24"/>
          <w:szCs w:val="24"/>
        </w:rPr>
      </w:pPr>
    </w:p>
    <w:p w14:paraId="4161CA2E" w14:textId="77777777" w:rsidR="00635E85" w:rsidRPr="00C157BA" w:rsidRDefault="00635E85" w:rsidP="00635E85">
      <w:pPr>
        <w:spacing w:after="0" w:line="240" w:lineRule="auto"/>
        <w:rPr>
          <w:rFonts w:ascii="Times New Roman" w:hAnsi="Times New Roman" w:cs="Times New Roman"/>
          <w:sz w:val="24"/>
          <w:szCs w:val="24"/>
        </w:rPr>
      </w:pPr>
      <w:r w:rsidRPr="00C157BA">
        <w:rPr>
          <w:rFonts w:ascii="Times New Roman" w:hAnsi="Times New Roman" w:cs="Times New Roman"/>
          <w:b/>
          <w:sz w:val="24"/>
          <w:szCs w:val="24"/>
        </w:rPr>
        <w:t xml:space="preserve">Important considerations – </w:t>
      </w:r>
    </w:p>
    <w:p w14:paraId="4161CA2F" w14:textId="77777777" w:rsidR="00A14DD7" w:rsidRDefault="00635E85" w:rsidP="00635E85">
      <w:pPr>
        <w:pStyle w:val="ListParagraph"/>
        <w:numPr>
          <w:ilvl w:val="0"/>
          <w:numId w:val="1"/>
        </w:numPr>
        <w:spacing w:after="0" w:line="240" w:lineRule="auto"/>
        <w:rPr>
          <w:rFonts w:ascii="Times New Roman" w:hAnsi="Times New Roman" w:cs="Times New Roman"/>
          <w:sz w:val="24"/>
          <w:szCs w:val="24"/>
        </w:rPr>
      </w:pPr>
      <w:r w:rsidRPr="00A14DD7">
        <w:rPr>
          <w:rFonts w:ascii="Times New Roman" w:hAnsi="Times New Roman" w:cs="Times New Roman"/>
          <w:sz w:val="24"/>
          <w:szCs w:val="24"/>
        </w:rPr>
        <w:t>Depending on dates… what criteria apply? When filling in evaluation builder and VBMS pay attention to when you should be using th</w:t>
      </w:r>
      <w:r w:rsidR="00BE4F6A" w:rsidRPr="00A14DD7">
        <w:rPr>
          <w:rFonts w:ascii="Times New Roman" w:hAnsi="Times New Roman" w:cs="Times New Roman"/>
          <w:sz w:val="24"/>
          <w:szCs w:val="24"/>
        </w:rPr>
        <w:t xml:space="preserve">e historical or current criteria.  </w:t>
      </w:r>
      <w:r w:rsidR="00A14DD7" w:rsidRPr="00A14DD7">
        <w:rPr>
          <w:rFonts w:ascii="Times New Roman" w:hAnsi="Times New Roman" w:cs="Times New Roman"/>
          <w:sz w:val="24"/>
          <w:szCs w:val="24"/>
        </w:rPr>
        <w:t xml:space="preserve">General effective date rules should be used, as the change in rating schedule is </w:t>
      </w:r>
      <w:r w:rsidR="00A14DD7" w:rsidRPr="00A14DD7">
        <w:rPr>
          <w:rFonts w:ascii="Times New Roman" w:hAnsi="Times New Roman" w:cs="Times New Roman"/>
          <w:b/>
          <w:sz w:val="24"/>
          <w:szCs w:val="24"/>
        </w:rPr>
        <w:t xml:space="preserve">NOT </w:t>
      </w:r>
      <w:r w:rsidR="00A14DD7" w:rsidRPr="00A14DD7">
        <w:rPr>
          <w:rFonts w:ascii="Times New Roman" w:hAnsi="Times New Roman" w:cs="Times New Roman"/>
          <w:sz w:val="24"/>
          <w:szCs w:val="24"/>
        </w:rPr>
        <w:t>liberalizing legislation</w:t>
      </w:r>
      <w:r w:rsidR="00A14DD7">
        <w:rPr>
          <w:rFonts w:ascii="Times New Roman" w:hAnsi="Times New Roman" w:cs="Times New Roman"/>
          <w:sz w:val="24"/>
          <w:szCs w:val="24"/>
        </w:rPr>
        <w:t xml:space="preserve"> (38 CFR 3.114 does not apply)</w:t>
      </w:r>
      <w:r w:rsidR="00A14DD7" w:rsidRPr="00A14DD7">
        <w:rPr>
          <w:rFonts w:ascii="Times New Roman" w:hAnsi="Times New Roman" w:cs="Times New Roman"/>
          <w:sz w:val="24"/>
          <w:szCs w:val="24"/>
        </w:rPr>
        <w:t xml:space="preserve">. </w:t>
      </w:r>
    </w:p>
    <w:p w14:paraId="4161CA30" w14:textId="77777777" w:rsidR="00A14DD7" w:rsidRPr="00A14DD7" w:rsidRDefault="00A14DD7" w:rsidP="00635E85">
      <w:pPr>
        <w:pStyle w:val="ListParagraph"/>
        <w:numPr>
          <w:ilvl w:val="0"/>
          <w:numId w:val="1"/>
        </w:numPr>
        <w:spacing w:after="0" w:line="240" w:lineRule="auto"/>
        <w:rPr>
          <w:rFonts w:ascii="Times New Roman" w:hAnsi="Times New Roman" w:cs="Times New Roman"/>
          <w:sz w:val="24"/>
          <w:szCs w:val="24"/>
        </w:rPr>
      </w:pPr>
      <w:r w:rsidRPr="00A14DD7">
        <w:rPr>
          <w:rFonts w:ascii="Times New Roman" w:hAnsi="Times New Roman" w:cs="Times New Roman"/>
          <w:sz w:val="24"/>
          <w:szCs w:val="24"/>
        </w:rPr>
        <w:t>Review the</w:t>
      </w:r>
      <w:r w:rsidR="00635E85" w:rsidRPr="00A14DD7">
        <w:rPr>
          <w:rFonts w:ascii="Times New Roman" w:hAnsi="Times New Roman" w:cs="Times New Roman"/>
          <w:sz w:val="24"/>
          <w:szCs w:val="24"/>
        </w:rPr>
        <w:t xml:space="preserve"> DBQ</w:t>
      </w:r>
      <w:r w:rsidR="004C241A">
        <w:rPr>
          <w:rFonts w:ascii="Times New Roman" w:hAnsi="Times New Roman" w:cs="Times New Roman"/>
          <w:sz w:val="24"/>
          <w:szCs w:val="24"/>
        </w:rPr>
        <w:t xml:space="preserve"> and all evidence of record</w:t>
      </w:r>
      <w:r w:rsidR="006024FF">
        <w:rPr>
          <w:rFonts w:ascii="Times New Roman" w:hAnsi="Times New Roman" w:cs="Times New Roman"/>
          <w:sz w:val="24"/>
          <w:szCs w:val="24"/>
        </w:rPr>
        <w:t>! E</w:t>
      </w:r>
      <w:r w:rsidR="00635E85" w:rsidRPr="00A14DD7">
        <w:rPr>
          <w:rFonts w:ascii="Times New Roman" w:hAnsi="Times New Roman" w:cs="Times New Roman"/>
          <w:sz w:val="24"/>
          <w:szCs w:val="24"/>
        </w:rPr>
        <w:t>nsure we have all the information we need.</w:t>
      </w:r>
      <w:r w:rsidR="004C241A">
        <w:rPr>
          <w:rFonts w:ascii="Times New Roman" w:hAnsi="Times New Roman" w:cs="Times New Roman"/>
          <w:sz w:val="24"/>
          <w:szCs w:val="24"/>
        </w:rPr>
        <w:t xml:space="preserve"> Remember to make your decision based on the totality of the evidence</w:t>
      </w:r>
      <w:r w:rsidR="00635E85" w:rsidRPr="00A14DD7">
        <w:rPr>
          <w:rFonts w:ascii="Times New Roman" w:hAnsi="Times New Roman" w:cs="Times New Roman"/>
          <w:sz w:val="24"/>
          <w:szCs w:val="24"/>
        </w:rPr>
        <w:t xml:space="preserve"> If not, can we grant something now while asking for clarification?</w:t>
      </w:r>
      <w:r w:rsidRPr="00A14DD7">
        <w:rPr>
          <w:rFonts w:ascii="Times New Roman" w:hAnsi="Times New Roman" w:cs="Times New Roman"/>
          <w:sz w:val="24"/>
          <w:szCs w:val="24"/>
        </w:rPr>
        <w:t xml:space="preserve"> Ensure the DBQ was completed by a licensed optometrist or ophthalmologist</w:t>
      </w:r>
      <w:r>
        <w:rPr>
          <w:rFonts w:ascii="Times New Roman" w:hAnsi="Times New Roman" w:cs="Times New Roman"/>
          <w:sz w:val="24"/>
          <w:szCs w:val="24"/>
        </w:rPr>
        <w:t xml:space="preserve">. </w:t>
      </w:r>
    </w:p>
    <w:p w14:paraId="4161CA31" w14:textId="77777777" w:rsidR="00635E85" w:rsidRPr="00C157BA" w:rsidRDefault="00635E85" w:rsidP="00635E85">
      <w:pPr>
        <w:pStyle w:val="ListParagraph"/>
        <w:numPr>
          <w:ilvl w:val="0"/>
          <w:numId w:val="1"/>
        </w:numPr>
        <w:spacing w:after="0" w:line="240" w:lineRule="auto"/>
        <w:rPr>
          <w:rFonts w:ascii="Times New Roman" w:hAnsi="Times New Roman" w:cs="Times New Roman"/>
          <w:sz w:val="24"/>
          <w:szCs w:val="24"/>
        </w:rPr>
      </w:pPr>
      <w:r w:rsidRPr="00C157BA">
        <w:rPr>
          <w:rFonts w:ascii="Times New Roman" w:hAnsi="Times New Roman" w:cs="Times New Roman"/>
          <w:sz w:val="24"/>
          <w:szCs w:val="24"/>
        </w:rPr>
        <w:t xml:space="preserve">VBMS updates – watch the VBMS Release Information and User Guides page </w:t>
      </w:r>
      <w:hyperlink r:id="rId12" w:history="1">
        <w:r w:rsidRPr="00C157BA">
          <w:rPr>
            <w:rStyle w:val="Hyperlink"/>
            <w:rFonts w:ascii="Times New Roman" w:hAnsi="Times New Roman" w:cs="Times New Roman"/>
            <w:sz w:val="24"/>
            <w:szCs w:val="24"/>
          </w:rPr>
          <w:t>here</w:t>
        </w:r>
      </w:hyperlink>
      <w:r w:rsidRPr="00C157BA">
        <w:rPr>
          <w:rFonts w:ascii="Times New Roman" w:hAnsi="Times New Roman" w:cs="Times New Roman"/>
          <w:sz w:val="24"/>
          <w:szCs w:val="24"/>
        </w:rPr>
        <w:t xml:space="preserve">. </w:t>
      </w:r>
    </w:p>
    <w:p w14:paraId="4161CA32" w14:textId="6D953FA9" w:rsidR="00635E85" w:rsidRPr="00227140" w:rsidRDefault="00A14DD7" w:rsidP="00ED1BF9">
      <w:pPr>
        <w:pStyle w:val="ListParagraph"/>
        <w:numPr>
          <w:ilvl w:val="0"/>
          <w:numId w:val="1"/>
        </w:numPr>
        <w:spacing w:before="240" w:after="0" w:line="240" w:lineRule="auto"/>
      </w:pPr>
      <w:r>
        <w:rPr>
          <w:rFonts w:ascii="Times New Roman" w:hAnsi="Times New Roman" w:cs="Times New Roman"/>
          <w:sz w:val="24"/>
          <w:szCs w:val="24"/>
        </w:rPr>
        <w:t xml:space="preserve">Historical rating schedule for July 1, 1985 to </w:t>
      </w:r>
      <w:r w:rsidR="002F6947">
        <w:rPr>
          <w:rFonts w:ascii="Times New Roman" w:hAnsi="Times New Roman" w:cs="Times New Roman"/>
          <w:sz w:val="24"/>
          <w:szCs w:val="24"/>
        </w:rPr>
        <w:t>December 10, 2008</w:t>
      </w:r>
      <w:r>
        <w:rPr>
          <w:rFonts w:ascii="Times New Roman" w:hAnsi="Times New Roman" w:cs="Times New Roman"/>
          <w:sz w:val="24"/>
          <w:szCs w:val="24"/>
        </w:rPr>
        <w:t xml:space="preserve"> is</w:t>
      </w:r>
      <w:r w:rsidR="002F6947">
        <w:rPr>
          <w:rFonts w:ascii="Times New Roman" w:hAnsi="Times New Roman" w:cs="Times New Roman"/>
          <w:sz w:val="24"/>
          <w:szCs w:val="24"/>
        </w:rPr>
        <w:t xml:space="preserve"> located in the e-CFR, accessed through the </w:t>
      </w:r>
      <w:r w:rsidR="002F6947" w:rsidRPr="004E0A86">
        <w:rPr>
          <w:rFonts w:ascii="Times New Roman" w:hAnsi="Times New Roman" w:cs="Times New Roman"/>
          <w:sz w:val="24"/>
          <w:szCs w:val="24"/>
        </w:rPr>
        <w:t>Knowledge Management Portal.</w:t>
      </w:r>
      <w:r w:rsidR="002F6947">
        <w:rPr>
          <w:rFonts w:ascii="Times New Roman" w:hAnsi="Times New Roman" w:cs="Times New Roman"/>
          <w:sz w:val="24"/>
          <w:szCs w:val="24"/>
        </w:rPr>
        <w:t xml:space="preserve"> </w:t>
      </w:r>
      <w:r w:rsidR="006024FF">
        <w:rPr>
          <w:rFonts w:ascii="Times New Roman" w:hAnsi="Times New Roman" w:cs="Times New Roman"/>
          <w:sz w:val="24"/>
          <w:szCs w:val="24"/>
        </w:rPr>
        <w:t xml:space="preserve">The historical rating schedule before the May 13, 2018 changes is provided as a handout in your training materials. </w:t>
      </w:r>
    </w:p>
    <w:p w14:paraId="4161CA33" w14:textId="77777777" w:rsidR="00227140" w:rsidRDefault="00227140" w:rsidP="00227140">
      <w:pPr>
        <w:spacing w:before="240" w:after="0" w:line="240" w:lineRule="auto"/>
      </w:pPr>
      <w:r>
        <w:rPr>
          <w:noProof/>
        </w:rPr>
        <mc:AlternateContent>
          <mc:Choice Requires="wps">
            <w:drawing>
              <wp:anchor distT="0" distB="0" distL="114300" distR="114300" simplePos="0" relativeHeight="251660288" behindDoc="0" locked="0" layoutInCell="1" allowOverlap="1" wp14:anchorId="4161CA37" wp14:editId="4161CA38">
                <wp:simplePos x="0" y="0"/>
                <wp:positionH relativeFrom="column">
                  <wp:posOffset>-65314</wp:posOffset>
                </wp:positionH>
                <wp:positionV relativeFrom="paragraph">
                  <wp:posOffset>235857</wp:posOffset>
                </wp:positionV>
                <wp:extent cx="6923314" cy="1436914"/>
                <wp:effectExtent l="0" t="0" r="11430" b="11430"/>
                <wp:wrapNone/>
                <wp:docPr id="3" name="Text Box 3"/>
                <wp:cNvGraphicFramePr/>
                <a:graphic xmlns:a="http://schemas.openxmlformats.org/drawingml/2006/main">
                  <a:graphicData uri="http://schemas.microsoft.com/office/word/2010/wordprocessingShape">
                    <wps:wsp>
                      <wps:cNvSpPr txBox="1"/>
                      <wps:spPr>
                        <a:xfrm>
                          <a:off x="0" y="0"/>
                          <a:ext cx="6923314" cy="1436914"/>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61CA44" w14:textId="77777777" w:rsidR="00227140" w:rsidRPr="00227140" w:rsidRDefault="00227140" w:rsidP="00227140">
                            <w:pPr>
                              <w:jc w:val="center"/>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227140">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LAW CHANGE EFFECTIVE MAY 13, 2018</w:t>
                            </w:r>
                          </w:p>
                          <w:p w14:paraId="4161CA45" w14:textId="77777777" w:rsidR="00227140" w:rsidRPr="00227140" w:rsidRDefault="00227140" w:rsidP="00227140">
                            <w:pPr>
                              <w:jc w:val="center"/>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227140">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LIBERALIZING LEGISLATION DOES NOT APPLY!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61CA37" id="_x0000_t202" coordsize="21600,21600" o:spt="202" path="m,l,21600r21600,l21600,xe">
                <v:stroke joinstyle="miter"/>
                <v:path gradientshapeok="t" o:connecttype="rect"/>
              </v:shapetype>
              <v:shape id="Text Box 3" o:spid="_x0000_s1027" type="#_x0000_t202" style="position:absolute;margin-left:-5.15pt;margin-top:18.55pt;width:545.15pt;height:113.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" fillcolor="#b8cce4 [1300]" strokeweight=".5pt">
                <v:textbox>
                  <w:txbxContent>
                    <w:p w14:paraId="4161CA44" w14:textId="77777777" w:rsidR="00227140" w:rsidRPr="00227140" w:rsidRDefault="00227140" w:rsidP="00227140">
                      <w:pPr>
                        <w:jc w:val="center"/>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227140">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LAW CHANGE EFFECTIVE MAY 13, 2018</w:t>
                      </w:r>
                    </w:p>
                    <w:p w14:paraId="4161CA45" w14:textId="77777777" w:rsidR="00227140" w:rsidRPr="00227140" w:rsidRDefault="00227140" w:rsidP="00227140">
                      <w:pPr>
                        <w:jc w:val="center"/>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227140">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LIBERALIZING LEGISLATION DOES NOT APPLY!</w:t>
                      </w:r>
                    </w:p>
                  </w:txbxContent>
                </v:textbox>
              </v:shape>
            </w:pict>
          </mc:Fallback>
        </mc:AlternateContent>
      </w:r>
    </w:p>
    <w:p w14:paraId="4161CA34" w14:textId="77777777" w:rsidR="00227140" w:rsidRDefault="00227140" w:rsidP="00227140">
      <w:pPr>
        <w:spacing w:before="240" w:after="0" w:line="240" w:lineRule="auto"/>
      </w:pPr>
    </w:p>
    <w:sectPr w:rsidR="00227140" w:rsidSect="00635E85">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8004B" w14:textId="77777777" w:rsidR="00B03EF0" w:rsidRDefault="00B03EF0" w:rsidP="005A0C95">
      <w:pPr>
        <w:spacing w:after="0" w:line="240" w:lineRule="auto"/>
      </w:pPr>
      <w:r>
        <w:separator/>
      </w:r>
    </w:p>
  </w:endnote>
  <w:endnote w:type="continuationSeparator" w:id="0">
    <w:p w14:paraId="3C5F5EA1" w14:textId="77777777" w:rsidR="00B03EF0" w:rsidRDefault="00B03EF0" w:rsidP="005A0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354182"/>
      <w:docPartObj>
        <w:docPartGallery w:val="Page Numbers (Bottom of Page)"/>
        <w:docPartUnique/>
      </w:docPartObj>
    </w:sdtPr>
    <w:sdtEndPr>
      <w:rPr>
        <w:noProof/>
      </w:rPr>
    </w:sdtEndPr>
    <w:sdtContent>
      <w:p w14:paraId="4161CA41" w14:textId="77777777" w:rsidR="005A0C95" w:rsidRDefault="005A0C95">
        <w:pPr>
          <w:pStyle w:val="Footer"/>
          <w:jc w:val="right"/>
        </w:pPr>
        <w:r>
          <w:fldChar w:fldCharType="begin"/>
        </w:r>
        <w:r>
          <w:instrText xml:space="preserve"> PAGE   \* MERGEFORMAT </w:instrText>
        </w:r>
        <w:r>
          <w:fldChar w:fldCharType="separate"/>
        </w:r>
        <w:r w:rsidR="004E0A86">
          <w:rPr>
            <w:noProof/>
          </w:rPr>
          <w:t>1</w:t>
        </w:r>
        <w:r>
          <w:rPr>
            <w:noProof/>
          </w:rPr>
          <w:fldChar w:fldCharType="end"/>
        </w:r>
      </w:p>
    </w:sdtContent>
  </w:sdt>
  <w:p w14:paraId="4161CA42" w14:textId="77777777" w:rsidR="005A0C95" w:rsidRDefault="005A0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9C7A4" w14:textId="77777777" w:rsidR="00B03EF0" w:rsidRDefault="00B03EF0" w:rsidP="005A0C95">
      <w:pPr>
        <w:spacing w:after="0" w:line="240" w:lineRule="auto"/>
      </w:pPr>
      <w:r>
        <w:separator/>
      </w:r>
    </w:p>
  </w:footnote>
  <w:footnote w:type="continuationSeparator" w:id="0">
    <w:p w14:paraId="5B6AE54B" w14:textId="77777777" w:rsidR="00B03EF0" w:rsidRDefault="00B03EF0" w:rsidP="005A0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CA3F" w14:textId="77777777" w:rsidR="005A0C95" w:rsidRPr="002C31C7" w:rsidRDefault="005A0C95" w:rsidP="005A0C95">
    <w:pPr>
      <w:jc w:val="center"/>
      <w:rPr>
        <w:rFonts w:ascii="Times New Roman" w:hAnsi="Times New Roman" w:cs="Times New Roman"/>
        <w:b/>
        <w:sz w:val="32"/>
        <w:szCs w:val="24"/>
      </w:rPr>
    </w:pPr>
    <w:r>
      <w:rPr>
        <w:rFonts w:ascii="Times New Roman" w:hAnsi="Times New Roman" w:cs="Times New Roman"/>
        <w:b/>
        <w:sz w:val="32"/>
        <w:szCs w:val="24"/>
      </w:rPr>
      <w:t>Eye Conditions</w:t>
    </w:r>
    <w:r w:rsidRPr="002C31C7">
      <w:rPr>
        <w:rFonts w:ascii="Times New Roman" w:hAnsi="Times New Roman" w:cs="Times New Roman"/>
        <w:b/>
        <w:sz w:val="32"/>
        <w:szCs w:val="24"/>
      </w:rPr>
      <w:t xml:space="preserve"> VASRD Change Introduction</w:t>
    </w:r>
  </w:p>
  <w:p w14:paraId="4161CA40" w14:textId="77777777" w:rsidR="005A0C95" w:rsidRDefault="005A0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510B2"/>
    <w:multiLevelType w:val="hybridMultilevel"/>
    <w:tmpl w:val="9A4E3058"/>
    <w:lvl w:ilvl="0" w:tplc="5106CD60">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E85"/>
    <w:rsid w:val="0001602A"/>
    <w:rsid w:val="0013357C"/>
    <w:rsid w:val="002249D8"/>
    <w:rsid w:val="00227140"/>
    <w:rsid w:val="0023096E"/>
    <w:rsid w:val="00240B81"/>
    <w:rsid w:val="002F6947"/>
    <w:rsid w:val="00355C39"/>
    <w:rsid w:val="003863A0"/>
    <w:rsid w:val="0041308B"/>
    <w:rsid w:val="0042331C"/>
    <w:rsid w:val="004C241A"/>
    <w:rsid w:val="004E0A86"/>
    <w:rsid w:val="00502572"/>
    <w:rsid w:val="005937FF"/>
    <w:rsid w:val="005A0C95"/>
    <w:rsid w:val="006024FF"/>
    <w:rsid w:val="00635E85"/>
    <w:rsid w:val="006F5686"/>
    <w:rsid w:val="007303FF"/>
    <w:rsid w:val="0075290C"/>
    <w:rsid w:val="00791810"/>
    <w:rsid w:val="008E2D42"/>
    <w:rsid w:val="0096651D"/>
    <w:rsid w:val="00982F36"/>
    <w:rsid w:val="009B177C"/>
    <w:rsid w:val="00A14DD7"/>
    <w:rsid w:val="00A44964"/>
    <w:rsid w:val="00A60260"/>
    <w:rsid w:val="00A85CB4"/>
    <w:rsid w:val="00B03EF0"/>
    <w:rsid w:val="00BE4F6A"/>
    <w:rsid w:val="00CE4A40"/>
    <w:rsid w:val="00E83C6E"/>
    <w:rsid w:val="00ED1BF9"/>
    <w:rsid w:val="00FB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C9DF"/>
  <w15:docId w15:val="{32CA8A7E-F8CC-45AC-BCFB-541A8C75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E85"/>
    <w:pPr>
      <w:ind w:left="720"/>
      <w:contextualSpacing/>
    </w:pPr>
  </w:style>
  <w:style w:type="character" w:styleId="Hyperlink">
    <w:name w:val="Hyperlink"/>
    <w:basedOn w:val="DefaultParagraphFont"/>
    <w:uiPriority w:val="99"/>
    <w:unhideWhenUsed/>
    <w:rsid w:val="00635E85"/>
    <w:rPr>
      <w:color w:val="0000FF" w:themeColor="hyperlink"/>
      <w:u w:val="single"/>
    </w:rPr>
  </w:style>
  <w:style w:type="character" w:styleId="FollowedHyperlink">
    <w:name w:val="FollowedHyperlink"/>
    <w:basedOn w:val="DefaultParagraphFont"/>
    <w:uiPriority w:val="99"/>
    <w:semiHidden/>
    <w:unhideWhenUsed/>
    <w:rsid w:val="00A14DD7"/>
    <w:rPr>
      <w:color w:val="800080" w:themeColor="followedHyperlink"/>
      <w:u w:val="single"/>
    </w:rPr>
  </w:style>
  <w:style w:type="paragraph" w:styleId="Header">
    <w:name w:val="header"/>
    <w:basedOn w:val="Normal"/>
    <w:link w:val="HeaderChar"/>
    <w:uiPriority w:val="99"/>
    <w:unhideWhenUsed/>
    <w:rsid w:val="005A0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C95"/>
  </w:style>
  <w:style w:type="paragraph" w:styleId="Footer">
    <w:name w:val="footer"/>
    <w:basedOn w:val="Normal"/>
    <w:link w:val="FooterChar"/>
    <w:uiPriority w:val="99"/>
    <w:unhideWhenUsed/>
    <w:rsid w:val="005A0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C95"/>
  </w:style>
  <w:style w:type="character" w:styleId="CommentReference">
    <w:name w:val="annotation reference"/>
    <w:basedOn w:val="DefaultParagraphFont"/>
    <w:uiPriority w:val="99"/>
    <w:semiHidden/>
    <w:unhideWhenUsed/>
    <w:rsid w:val="00502572"/>
    <w:rPr>
      <w:sz w:val="16"/>
      <w:szCs w:val="16"/>
    </w:rPr>
  </w:style>
  <w:style w:type="paragraph" w:styleId="CommentText">
    <w:name w:val="annotation text"/>
    <w:basedOn w:val="Normal"/>
    <w:link w:val="CommentTextChar"/>
    <w:uiPriority w:val="99"/>
    <w:semiHidden/>
    <w:unhideWhenUsed/>
    <w:rsid w:val="00502572"/>
    <w:pPr>
      <w:spacing w:line="240" w:lineRule="auto"/>
    </w:pPr>
    <w:rPr>
      <w:sz w:val="20"/>
      <w:szCs w:val="20"/>
    </w:rPr>
  </w:style>
  <w:style w:type="character" w:customStyle="1" w:styleId="CommentTextChar">
    <w:name w:val="Comment Text Char"/>
    <w:basedOn w:val="DefaultParagraphFont"/>
    <w:link w:val="CommentText"/>
    <w:uiPriority w:val="99"/>
    <w:semiHidden/>
    <w:rsid w:val="00502572"/>
    <w:rPr>
      <w:sz w:val="20"/>
      <w:szCs w:val="20"/>
    </w:rPr>
  </w:style>
  <w:style w:type="paragraph" w:styleId="CommentSubject">
    <w:name w:val="annotation subject"/>
    <w:basedOn w:val="CommentText"/>
    <w:next w:val="CommentText"/>
    <w:link w:val="CommentSubjectChar"/>
    <w:uiPriority w:val="99"/>
    <w:semiHidden/>
    <w:unhideWhenUsed/>
    <w:rsid w:val="00502572"/>
    <w:rPr>
      <w:b/>
      <w:bCs/>
    </w:rPr>
  </w:style>
  <w:style w:type="character" w:customStyle="1" w:styleId="CommentSubjectChar">
    <w:name w:val="Comment Subject Char"/>
    <w:basedOn w:val="CommentTextChar"/>
    <w:link w:val="CommentSubject"/>
    <w:uiPriority w:val="99"/>
    <w:semiHidden/>
    <w:rsid w:val="00502572"/>
    <w:rPr>
      <w:b/>
      <w:bCs/>
      <w:sz w:val="20"/>
      <w:szCs w:val="20"/>
    </w:rPr>
  </w:style>
  <w:style w:type="paragraph" w:styleId="BalloonText">
    <w:name w:val="Balloon Text"/>
    <w:basedOn w:val="Normal"/>
    <w:link w:val="BalloonTextChar"/>
    <w:uiPriority w:val="99"/>
    <w:semiHidden/>
    <w:unhideWhenUsed/>
    <w:rsid w:val="00502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572"/>
    <w:rPr>
      <w:rFonts w:ascii="Tahoma" w:hAnsi="Tahoma" w:cs="Tahoma"/>
      <w:sz w:val="16"/>
      <w:szCs w:val="16"/>
    </w:rPr>
  </w:style>
  <w:style w:type="paragraph" w:customStyle="1" w:styleId="Default">
    <w:name w:val="Default"/>
    <w:rsid w:val="00CE4A4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172538">
      <w:bodyDiv w:val="1"/>
      <w:marLeft w:val="0"/>
      <w:marRight w:val="0"/>
      <w:marTop w:val="0"/>
      <w:marBottom w:val="0"/>
      <w:divBdr>
        <w:top w:val="none" w:sz="0" w:space="0" w:color="auto"/>
        <w:left w:val="none" w:sz="0" w:space="0" w:color="auto"/>
        <w:bottom w:val="none" w:sz="0" w:space="0" w:color="auto"/>
        <w:right w:val="none" w:sz="0" w:space="0" w:color="auto"/>
      </w:divBdr>
    </w:div>
    <w:div w:id="1090541000">
      <w:bodyDiv w:val="1"/>
      <w:marLeft w:val="0"/>
      <w:marRight w:val="0"/>
      <w:marTop w:val="0"/>
      <w:marBottom w:val="0"/>
      <w:divBdr>
        <w:top w:val="none" w:sz="0" w:space="0" w:color="auto"/>
        <w:left w:val="none" w:sz="0" w:space="0" w:color="auto"/>
        <w:bottom w:val="none" w:sz="0" w:space="0" w:color="auto"/>
        <w:right w:val="none" w:sz="0" w:space="0" w:color="auto"/>
      </w:divBdr>
    </w:div>
    <w:div w:id="1144392973">
      <w:bodyDiv w:val="1"/>
      <w:marLeft w:val="0"/>
      <w:marRight w:val="0"/>
      <w:marTop w:val="0"/>
      <w:marBottom w:val="0"/>
      <w:divBdr>
        <w:top w:val="none" w:sz="0" w:space="0" w:color="auto"/>
        <w:left w:val="none" w:sz="0" w:space="0" w:color="auto"/>
        <w:bottom w:val="none" w:sz="0" w:space="0" w:color="auto"/>
        <w:right w:val="none" w:sz="0" w:space="0" w:color="auto"/>
      </w:divBdr>
    </w:div>
    <w:div w:id="1563521371">
      <w:bodyDiv w:val="1"/>
      <w:marLeft w:val="0"/>
      <w:marRight w:val="0"/>
      <w:marTop w:val="0"/>
      <w:marBottom w:val="0"/>
      <w:divBdr>
        <w:top w:val="none" w:sz="0" w:space="0" w:color="auto"/>
        <w:left w:val="none" w:sz="0" w:space="0" w:color="auto"/>
        <w:bottom w:val="none" w:sz="0" w:space="0" w:color="auto"/>
        <w:right w:val="none" w:sz="0" w:space="0" w:color="auto"/>
      </w:divBdr>
    </w:div>
    <w:div w:id="1877693051">
      <w:bodyDiv w:val="1"/>
      <w:marLeft w:val="0"/>
      <w:marRight w:val="0"/>
      <w:marTop w:val="0"/>
      <w:marBottom w:val="0"/>
      <w:divBdr>
        <w:top w:val="none" w:sz="0" w:space="0" w:color="auto"/>
        <w:left w:val="none" w:sz="0" w:space="0" w:color="auto"/>
        <w:bottom w:val="none" w:sz="0" w:space="0" w:color="auto"/>
        <w:right w:val="none" w:sz="0" w:space="0" w:color="auto"/>
      </w:divBdr>
    </w:div>
    <w:div w:id="189565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vbaw.vba.va.gov/VBMS/Resources_Technical_Information.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RO317-839076992-10962</_dlc_DocId>
    <_dlc_DocIdUrl xmlns="b62c6c12-24c5-4d47-ac4d-c5cc93bcdf7b">
      <Url>https://vaww.vashare.vba.va.gov/sites/SPTNCIO/focusedveterans/training/VSRvirtualtraining/_layouts/15/DocIdRedir.aspx?ID=RO317-839076992-10962</Url>
      <Description>RO317-839076992-10962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2574B-8316-4F18-B0B9-DC4DE8E129AB}">
  <ds:schemaRefs>
    <ds:schemaRef ds:uri="http://schemas.microsoft.com/sharepoint/v3/contenttype/forms"/>
  </ds:schemaRefs>
</ds:datastoreItem>
</file>

<file path=customXml/itemProps2.xml><?xml version="1.0" encoding="utf-8"?>
<ds:datastoreItem xmlns:ds="http://schemas.openxmlformats.org/officeDocument/2006/customXml" ds:itemID="{86354FFD-81AB-45FF-8D23-BD9B0C29F094}">
  <ds:schemaRefs>
    <ds:schemaRef ds:uri="http://schemas.microsoft.com/sharepoint/events"/>
  </ds:schemaRefs>
</ds:datastoreItem>
</file>

<file path=customXml/itemProps3.xml><?xml version="1.0" encoding="utf-8"?>
<ds:datastoreItem xmlns:ds="http://schemas.openxmlformats.org/officeDocument/2006/customXml" ds:itemID="{BEF118F2-385C-4723-8984-5D089BD93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09126-020F-40C7-8328-1AFCBE97F7AB}">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D9A27F34-C81B-4498-998C-32FA3AB4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Introduction to Eye Rating Schedule Changes Handout</vt:lpstr>
    </vt:vector>
  </TitlesOfParts>
  <Company>Veterans Benefits Administration</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Eye Rating Schedule Changes Handout</dc:title>
  <dc:subject>RVSR, RQRS, DRO</dc:subject>
  <dc:creator>Department of Veterans Affairs, Veterans Benefits Administration, Compensation Service, STAFF</dc:creator>
  <cp:keywords>rating schedule,eyes,evaluations,effective dates</cp:keywords>
  <dc:description>This lesson introduces changes to the Rating Schedule for Eye Conditions and reviews important considerations.</dc:description>
  <cp:lastModifiedBy>Kathy Poole</cp:lastModifiedBy>
  <cp:revision>5</cp:revision>
  <dcterms:created xsi:type="dcterms:W3CDTF">2018-03-23T16:10:00Z</dcterms:created>
  <dcterms:modified xsi:type="dcterms:W3CDTF">2018-05-03T17:20:00Z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019d51f5-9ac2-4f41-9802-617fff80a1d3</vt:lpwstr>
  </property>
  <property fmtid="{D5CDD505-2E9C-101B-9397-08002B2CF9AE}" pid="3" name="ContentTypeId">
    <vt:lpwstr>0x0101003DB869E3E810774AA7B17315F3F50FE5</vt:lpwstr>
  </property>
  <property fmtid="{D5CDD505-2E9C-101B-9397-08002B2CF9AE}" pid="4" name="Language">
    <vt:lpwstr>en</vt:lpwstr>
  </property>
  <property fmtid="{D5CDD505-2E9C-101B-9397-08002B2CF9AE}" pid="5" name="Type">
    <vt:lpwstr>Guide</vt:lpwstr>
  </property>
</Properties>
</file>