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FD39" w14:textId="6AA20475" w:rsidR="00C8779F" w:rsidRDefault="004B566A" w:rsidP="006C56E6">
      <w:pPr>
        <w:pStyle w:val="VBAILTCoverService"/>
      </w:pPr>
      <w:r>
        <w:t xml:space="preserve">PENSION AND FIDUCIARY </w:t>
      </w:r>
      <w:r w:rsidR="00C8779F">
        <w:t>Service</w:t>
      </w:r>
    </w:p>
    <w:p w14:paraId="2A63FD3C" w14:textId="2AA85B2C" w:rsidR="0019335B" w:rsidRPr="00AD5244" w:rsidRDefault="0019335B" w:rsidP="00AD5244">
      <w:pPr>
        <w:pStyle w:val="VBAILTCoverdoctypecourse"/>
      </w:pPr>
      <w:r w:rsidRPr="00AD5244">
        <w:t xml:space="preserve">PMC VSR </w:t>
      </w:r>
      <w:r w:rsidR="003A70B6" w:rsidRPr="00AD5244">
        <w:t xml:space="preserve">Advanced </w:t>
      </w:r>
      <w:r w:rsidRPr="00AD5244">
        <w:t>Core Course</w:t>
      </w:r>
      <w:r w:rsidR="00AD5244" w:rsidRPr="00AD5244">
        <w:t xml:space="preserve"> </w:t>
      </w:r>
      <w:r w:rsidRPr="00AD5244">
        <w:t>Phase 5: Stages of a Claim</w:t>
      </w:r>
      <w:r w:rsidR="00AD5244" w:rsidRPr="00AD5244">
        <w:br/>
      </w:r>
      <w:r w:rsidRPr="00AD5244">
        <w:t>Part 5: Award Adjustments</w:t>
      </w:r>
    </w:p>
    <w:p w14:paraId="2A63FD3E" w14:textId="25899539" w:rsidR="003213CA" w:rsidRDefault="003213CA" w:rsidP="00FA3811">
      <w:pPr>
        <w:pStyle w:val="VBAILTCoverdoctypecourse"/>
        <w:spacing w:after="0"/>
        <w:rPr>
          <w:b/>
          <w:sz w:val="56"/>
          <w:szCs w:val="56"/>
        </w:rPr>
      </w:pPr>
      <w:r w:rsidRPr="003213CA">
        <w:rPr>
          <w:b/>
          <w:sz w:val="56"/>
          <w:szCs w:val="56"/>
        </w:rPr>
        <w:t>Phase 5, Part 5</w:t>
      </w:r>
      <w:r w:rsidR="008C1C9B">
        <w:rPr>
          <w:b/>
          <w:sz w:val="56"/>
          <w:szCs w:val="56"/>
        </w:rPr>
        <w:t>b</w:t>
      </w:r>
      <w:r w:rsidRPr="003213CA">
        <w:rPr>
          <w:b/>
          <w:sz w:val="56"/>
          <w:szCs w:val="56"/>
        </w:rPr>
        <w:t xml:space="preserve"> Knowledge Check Preparation</w:t>
      </w:r>
    </w:p>
    <w:p w14:paraId="2A63FD3F" w14:textId="77777777" w:rsidR="00C30F06" w:rsidRPr="00C214A9" w:rsidRDefault="004B566A" w:rsidP="0019335B">
      <w:pPr>
        <w:pStyle w:val="VBAILTCoverdoctypecourse"/>
      </w:pPr>
      <w:r>
        <w:t>Appendix A</w:t>
      </w:r>
      <w:r w:rsidR="00C30F06">
        <w:t xml:space="preserve"> </w:t>
      </w:r>
    </w:p>
    <w:p w14:paraId="2A63FD40" w14:textId="50894244" w:rsidR="001D2E6A" w:rsidRDefault="00B64FC7" w:rsidP="00C8779F">
      <w:pPr>
        <w:pStyle w:val="VBAILTCoverMisc"/>
      </w:pPr>
      <w:r>
        <w:t>May 2022</w:t>
      </w:r>
    </w:p>
    <w:p w14:paraId="2A63FD41" w14:textId="6ABF4412" w:rsidR="006C56E6" w:rsidRDefault="006C56E6" w:rsidP="00C8779F">
      <w:pPr>
        <w:pStyle w:val="VBAILTCoverMisc"/>
        <w:sectPr w:rsidR="006C56E6" w:rsidSect="006C56E6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83036635"/>
        <w:docPartObj>
          <w:docPartGallery w:val="Table of Contents"/>
          <w:docPartUnique/>
        </w:docPartObj>
      </w:sdtPr>
      <w:sdtEndPr/>
      <w:sdtContent>
        <w:p w14:paraId="2A63FD42" w14:textId="77777777" w:rsidR="00BB78DA" w:rsidRPr="00B67272" w:rsidRDefault="00BB78DA" w:rsidP="5811F550">
          <w:pPr>
            <w:pStyle w:val="TOCHeading"/>
            <w:rPr>
              <w:rFonts w:ascii="Verdana" w:hAnsi="Verdana"/>
              <w:b/>
              <w:bCs/>
              <w:color w:val="auto"/>
              <w:sz w:val="28"/>
              <w:szCs w:val="28"/>
            </w:rPr>
          </w:pPr>
          <w:r w:rsidRPr="5811F550">
            <w:rPr>
              <w:rFonts w:ascii="Verdana" w:hAnsi="Verdana"/>
              <w:b/>
              <w:bCs/>
              <w:color w:val="auto"/>
              <w:sz w:val="28"/>
              <w:szCs w:val="28"/>
            </w:rPr>
            <w:t>Table of Contents</w:t>
          </w:r>
        </w:p>
        <w:p w14:paraId="6A10FC4D" w14:textId="2013EBFA" w:rsidR="00B64FC7" w:rsidRDefault="003A7B2F" w:rsidP="5811F550">
          <w:pPr>
            <w:pStyle w:val="TOC1"/>
            <w:tabs>
              <w:tab w:val="right" w:leader="dot" w:pos="9360"/>
            </w:tabs>
            <w:rPr>
              <w:noProof/>
            </w:rPr>
          </w:pPr>
          <w:r>
            <w:fldChar w:fldCharType="begin"/>
          </w:r>
          <w:r w:rsidR="00BB78DA">
            <w:instrText>TOC \o "1-3" \h \z \u</w:instrText>
          </w:r>
          <w:r>
            <w:fldChar w:fldCharType="separate"/>
          </w:r>
          <w:hyperlink w:anchor="_Toc1407259810">
            <w:r w:rsidR="5811F550" w:rsidRPr="5811F550">
              <w:rPr>
                <w:rStyle w:val="Hyperlink"/>
              </w:rPr>
              <w:t>Learning Objectives for Phase 5, Part 5b</w:t>
            </w:r>
            <w:r w:rsidR="00BB78DA">
              <w:tab/>
            </w:r>
            <w:r w:rsidR="00BB78DA">
              <w:fldChar w:fldCharType="begin"/>
            </w:r>
            <w:r w:rsidR="00BB78DA">
              <w:instrText>PAGEREF _Toc1407259810 \h</w:instrText>
            </w:r>
            <w:r w:rsidR="00BB78DA">
              <w:fldChar w:fldCharType="separate"/>
            </w:r>
            <w:r w:rsidR="5811F550" w:rsidRPr="5811F550">
              <w:rPr>
                <w:rStyle w:val="Hyperlink"/>
              </w:rPr>
              <w:t>2</w:t>
            </w:r>
            <w:r w:rsidR="00BB78DA">
              <w:fldChar w:fldCharType="end"/>
            </w:r>
          </w:hyperlink>
        </w:p>
        <w:p w14:paraId="28AC0E89" w14:textId="7A3C77E3" w:rsidR="00B64FC7" w:rsidRDefault="003301D0" w:rsidP="5811F550">
          <w:pPr>
            <w:pStyle w:val="TOC2"/>
            <w:tabs>
              <w:tab w:val="right" w:leader="dot" w:pos="9360"/>
            </w:tabs>
            <w:rPr>
              <w:noProof/>
            </w:rPr>
          </w:pPr>
          <w:hyperlink w:anchor="_Toc1661468905">
            <w:r w:rsidR="5811F550" w:rsidRPr="5811F550">
              <w:rPr>
                <w:rStyle w:val="Hyperlink"/>
              </w:rPr>
              <w:t>Description</w:t>
            </w:r>
            <w:r w:rsidR="003A7B2F">
              <w:tab/>
            </w:r>
            <w:r w:rsidR="003A7B2F">
              <w:fldChar w:fldCharType="begin"/>
            </w:r>
            <w:r w:rsidR="003A7B2F">
              <w:instrText>PAGEREF _Toc1661468905 \h</w:instrText>
            </w:r>
            <w:r w:rsidR="003A7B2F">
              <w:fldChar w:fldCharType="separate"/>
            </w:r>
            <w:r w:rsidR="5811F550" w:rsidRPr="5811F550">
              <w:rPr>
                <w:rStyle w:val="Hyperlink"/>
              </w:rPr>
              <w:t>3</w:t>
            </w:r>
            <w:r w:rsidR="003A7B2F">
              <w:fldChar w:fldCharType="end"/>
            </w:r>
          </w:hyperlink>
        </w:p>
        <w:p w14:paraId="6BB65B35" w14:textId="58BA5A49" w:rsidR="00B64FC7" w:rsidRDefault="003301D0" w:rsidP="5811F550">
          <w:pPr>
            <w:pStyle w:val="TOC2"/>
            <w:tabs>
              <w:tab w:val="right" w:leader="dot" w:pos="9360"/>
            </w:tabs>
            <w:rPr>
              <w:noProof/>
            </w:rPr>
          </w:pPr>
          <w:hyperlink w:anchor="_Toc743697205">
            <w:r w:rsidR="5811F550" w:rsidRPr="5811F550">
              <w:rPr>
                <w:rStyle w:val="Hyperlink"/>
              </w:rPr>
              <w:t>Determine award adjustment based on change in dependency</w:t>
            </w:r>
            <w:r w:rsidR="003A7B2F">
              <w:tab/>
            </w:r>
            <w:r w:rsidR="003A7B2F">
              <w:fldChar w:fldCharType="begin"/>
            </w:r>
            <w:r w:rsidR="003A7B2F">
              <w:instrText>PAGEREF _Toc743697205 \h</w:instrText>
            </w:r>
            <w:r w:rsidR="003A7B2F">
              <w:fldChar w:fldCharType="separate"/>
            </w:r>
            <w:r w:rsidR="5811F550" w:rsidRPr="5811F550">
              <w:rPr>
                <w:rStyle w:val="Hyperlink"/>
              </w:rPr>
              <w:t>3</w:t>
            </w:r>
            <w:r w:rsidR="003A7B2F">
              <w:fldChar w:fldCharType="end"/>
            </w:r>
          </w:hyperlink>
        </w:p>
        <w:p w14:paraId="4DD5FE5C" w14:textId="32B324B2" w:rsidR="00B64FC7" w:rsidRDefault="003301D0" w:rsidP="5811F550">
          <w:pPr>
            <w:pStyle w:val="TOC2"/>
            <w:tabs>
              <w:tab w:val="right" w:leader="dot" w:pos="9360"/>
            </w:tabs>
            <w:rPr>
              <w:noProof/>
            </w:rPr>
          </w:pPr>
          <w:hyperlink w:anchor="_Toc462107083">
            <w:r w:rsidR="5811F550" w:rsidRPr="5811F550">
              <w:rPr>
                <w:rStyle w:val="Hyperlink"/>
              </w:rPr>
              <w:t>Apply due process to a claim</w:t>
            </w:r>
            <w:r w:rsidR="003A7B2F">
              <w:tab/>
            </w:r>
            <w:r w:rsidR="003A7B2F">
              <w:fldChar w:fldCharType="begin"/>
            </w:r>
            <w:r w:rsidR="003A7B2F">
              <w:instrText>PAGEREF _Toc462107083 \h</w:instrText>
            </w:r>
            <w:r w:rsidR="003A7B2F">
              <w:fldChar w:fldCharType="separate"/>
            </w:r>
            <w:r w:rsidR="5811F550" w:rsidRPr="5811F550">
              <w:rPr>
                <w:rStyle w:val="Hyperlink"/>
              </w:rPr>
              <w:t>4</w:t>
            </w:r>
            <w:r w:rsidR="003A7B2F">
              <w:fldChar w:fldCharType="end"/>
            </w:r>
          </w:hyperlink>
        </w:p>
        <w:p w14:paraId="258BDDE0" w14:textId="29FA6F94" w:rsidR="00B64FC7" w:rsidRDefault="003301D0" w:rsidP="5811F550">
          <w:pPr>
            <w:pStyle w:val="TOC2"/>
            <w:tabs>
              <w:tab w:val="right" w:leader="dot" w:pos="9360"/>
            </w:tabs>
            <w:rPr>
              <w:noProof/>
            </w:rPr>
          </w:pPr>
          <w:hyperlink w:anchor="_Toc1012770160">
            <w:r w:rsidR="5811F550" w:rsidRPr="5811F550">
              <w:rPr>
                <w:rStyle w:val="Hyperlink"/>
              </w:rPr>
              <w:t>Recognize whether a waiver withholding is required</w:t>
            </w:r>
            <w:r w:rsidR="003A7B2F">
              <w:tab/>
            </w:r>
            <w:r w:rsidR="003A7B2F">
              <w:fldChar w:fldCharType="begin"/>
            </w:r>
            <w:r w:rsidR="003A7B2F">
              <w:instrText>PAGEREF _Toc1012770160 \h</w:instrText>
            </w:r>
            <w:r w:rsidR="003A7B2F">
              <w:fldChar w:fldCharType="separate"/>
            </w:r>
            <w:r w:rsidR="5811F550" w:rsidRPr="5811F550">
              <w:rPr>
                <w:rStyle w:val="Hyperlink"/>
              </w:rPr>
              <w:t>6</w:t>
            </w:r>
            <w:r w:rsidR="003A7B2F">
              <w:fldChar w:fldCharType="end"/>
            </w:r>
          </w:hyperlink>
          <w:r w:rsidR="003A7B2F">
            <w:fldChar w:fldCharType="end"/>
          </w:r>
        </w:p>
      </w:sdtContent>
    </w:sdt>
    <w:p w14:paraId="2A63FD4F" w14:textId="01CB94AC" w:rsidR="00BB78DA" w:rsidRDefault="00BB78DA"/>
    <w:p w14:paraId="2A63FD50" w14:textId="77777777" w:rsidR="00BB78DA" w:rsidRDefault="00BB78D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A63FD51" w14:textId="4335ABFC" w:rsidR="00C214A9" w:rsidRDefault="00A467A4" w:rsidP="002D1DCE">
      <w:pPr>
        <w:pStyle w:val="VBAILTHeading1"/>
      </w:pPr>
      <w:bookmarkStart w:id="0" w:name="_Toc1407259810"/>
      <w:r>
        <w:lastRenderedPageBreak/>
        <w:t xml:space="preserve">Learning Objectives </w:t>
      </w:r>
      <w:r w:rsidR="00751940">
        <w:t>for Phase 5, Part 5b</w:t>
      </w:r>
      <w:bookmarkEnd w:id="0"/>
    </w:p>
    <w:p w14:paraId="2A63FD52" w14:textId="77777777" w:rsidR="006A7FD5" w:rsidRDefault="006A7FD5" w:rsidP="006A7FD5">
      <w:pPr>
        <w:pStyle w:val="VBAILTHeading2"/>
      </w:pPr>
      <w:bookmarkStart w:id="1" w:name="_Toc1661468905"/>
      <w:r>
        <w:t>Description</w:t>
      </w:r>
      <w:bookmarkEnd w:id="1"/>
    </w:p>
    <w:p w14:paraId="2A63FE61" w14:textId="78DE7741" w:rsidR="00DB694F" w:rsidRDefault="006A7FD5" w:rsidP="00751940">
      <w:pPr>
        <w:pStyle w:val="VBAILTBody"/>
      </w:pPr>
      <w:r>
        <w:t xml:space="preserve">This </w:t>
      </w:r>
      <w:r w:rsidR="003A20BD">
        <w:t>appendix</w:t>
      </w:r>
      <w:r>
        <w:t xml:space="preserve"> list</w:t>
      </w:r>
      <w:r w:rsidR="00254E31">
        <w:t>s</w:t>
      </w:r>
      <w:r>
        <w:t xml:space="preserve"> the references according to the learning objectives</w:t>
      </w:r>
      <w:r w:rsidR="00ED11FF">
        <w:t xml:space="preserve"> used for the knowledge check preparation</w:t>
      </w:r>
      <w:r>
        <w:t>. The reference types include the corresponding lesson</w:t>
      </w:r>
      <w:r w:rsidR="003A70B6">
        <w:t xml:space="preserve"> title</w:t>
      </w:r>
      <w:r>
        <w:t xml:space="preserve">, job aids, 38 </w:t>
      </w:r>
      <w:r w:rsidRPr="006A7FD5">
        <w:t>Code of Federal Regulations (CFR) and M21-1 Adjudication Procedures Manual</w:t>
      </w:r>
      <w:r>
        <w:t>.</w:t>
      </w:r>
      <w:r w:rsidRPr="006A7FD5">
        <w:t xml:space="preserve"> </w:t>
      </w:r>
    </w:p>
    <w:p w14:paraId="2A63FE62" w14:textId="3D78AB1A" w:rsidR="00DB694F" w:rsidRDefault="006159F2" w:rsidP="00DB694F">
      <w:pPr>
        <w:pStyle w:val="VBAILTHeading2"/>
      </w:pPr>
      <w:bookmarkStart w:id="2" w:name="_Toc743697205"/>
      <w:r>
        <w:t>Determine award adjustment based on change in dependency</w:t>
      </w:r>
      <w:bookmarkEnd w:id="2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References"/>
      </w:tblPr>
      <w:tblGrid>
        <w:gridCol w:w="2335"/>
        <w:gridCol w:w="7066"/>
      </w:tblGrid>
      <w:tr w:rsidR="00DB694F" w14:paraId="2A63FE65" w14:textId="77777777" w:rsidTr="00CF4F54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2A63FE63" w14:textId="77777777" w:rsidR="00DB694F" w:rsidRDefault="00DB694F" w:rsidP="006930C3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2A63FE64" w14:textId="77777777" w:rsidR="00DB694F" w:rsidRDefault="00DB694F" w:rsidP="006930C3">
            <w:pPr>
              <w:pStyle w:val="VBAILTTableHeading1"/>
            </w:pPr>
            <w:r>
              <w:t xml:space="preserve">Reference Name </w:t>
            </w:r>
          </w:p>
        </w:tc>
      </w:tr>
      <w:tr w:rsidR="00DB694F" w14:paraId="2A63FE68" w14:textId="77777777" w:rsidTr="00CF4F54">
        <w:trPr>
          <w:jc w:val="center"/>
        </w:trPr>
        <w:tc>
          <w:tcPr>
            <w:tcW w:w="2335" w:type="dxa"/>
          </w:tcPr>
          <w:p w14:paraId="2A63FE66" w14:textId="43C69AA8" w:rsidR="00DB694F" w:rsidRPr="003213CA" w:rsidRDefault="0037287D" w:rsidP="00CF4F54">
            <w:pPr>
              <w:pStyle w:val="VBAILTBody"/>
            </w:pPr>
            <w:r>
              <w:t>Lesson</w:t>
            </w:r>
          </w:p>
        </w:tc>
        <w:tc>
          <w:tcPr>
            <w:tcW w:w="7066" w:type="dxa"/>
          </w:tcPr>
          <w:p w14:paraId="2A63FE67" w14:textId="77777777" w:rsidR="00DB694F" w:rsidRDefault="00DB694F" w:rsidP="00CF4F54">
            <w:pPr>
              <w:pStyle w:val="VBAILTBody"/>
            </w:pPr>
            <w:r>
              <w:t xml:space="preserve">Phase 5, Part 5, Lesson </w:t>
            </w:r>
            <w:r w:rsidR="006159F2">
              <w:t>4</w:t>
            </w:r>
            <w:r>
              <w:t xml:space="preserve">: </w:t>
            </w:r>
            <w:r w:rsidRPr="00FA3811">
              <w:rPr>
                <w:i/>
              </w:rPr>
              <w:t xml:space="preserve">Determine </w:t>
            </w:r>
            <w:r w:rsidR="006159F2" w:rsidRPr="00FA3811">
              <w:rPr>
                <w:i/>
              </w:rPr>
              <w:t xml:space="preserve">Dependency </w:t>
            </w:r>
            <w:r w:rsidRPr="00FA3811">
              <w:rPr>
                <w:i/>
              </w:rPr>
              <w:t>Adjustments</w:t>
            </w:r>
          </w:p>
        </w:tc>
      </w:tr>
      <w:tr w:rsidR="00DB694F" w14:paraId="2A63FE72" w14:textId="77777777" w:rsidTr="00CF4F54">
        <w:trPr>
          <w:jc w:val="center"/>
        </w:trPr>
        <w:tc>
          <w:tcPr>
            <w:tcW w:w="2335" w:type="dxa"/>
          </w:tcPr>
          <w:p w14:paraId="2A63FE69" w14:textId="77777777" w:rsidR="00DB694F" w:rsidRPr="003213CA" w:rsidRDefault="00DB694F" w:rsidP="00CF4F54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2A63FE6A" w14:textId="77777777" w:rsidR="006159F2" w:rsidRPr="001641C5" w:rsidRDefault="006159F2" w:rsidP="006159F2">
            <w:pPr>
              <w:pStyle w:val="VBAILTbullet1"/>
            </w:pPr>
            <w:r w:rsidRPr="006159F2">
              <w:rPr>
                <w:b/>
              </w:rPr>
              <w:t>Processing an Award Adjustment</w:t>
            </w:r>
            <w:r w:rsidRPr="001641C5">
              <w:t xml:space="preserve"> job aid</w:t>
            </w:r>
          </w:p>
          <w:p w14:paraId="2A63FE6B" w14:textId="77777777" w:rsidR="006159F2" w:rsidRPr="001641C5" w:rsidRDefault="006159F2" w:rsidP="006159F2">
            <w:pPr>
              <w:pStyle w:val="VBAILTbullet1"/>
            </w:pPr>
            <w:r w:rsidRPr="006159F2">
              <w:rPr>
                <w:b/>
              </w:rPr>
              <w:t>Annotate the Award Checklist</w:t>
            </w:r>
            <w:r w:rsidRPr="001641C5">
              <w:t xml:space="preserve"> job aid</w:t>
            </w:r>
          </w:p>
          <w:p w14:paraId="2A63FE6C" w14:textId="77777777" w:rsidR="006159F2" w:rsidRPr="001641C5" w:rsidRDefault="006159F2" w:rsidP="006159F2">
            <w:pPr>
              <w:pStyle w:val="VBAILTbullet1"/>
            </w:pPr>
            <w:r w:rsidRPr="006159F2">
              <w:rPr>
                <w:b/>
              </w:rPr>
              <w:t>Initial Year</w:t>
            </w:r>
            <w:r w:rsidRPr="001641C5">
              <w:t xml:space="preserve"> job aid</w:t>
            </w:r>
          </w:p>
          <w:p w14:paraId="2A63FE6D" w14:textId="77777777" w:rsidR="006159F2" w:rsidRPr="001641C5" w:rsidRDefault="006159F2" w:rsidP="006159F2">
            <w:pPr>
              <w:pStyle w:val="VBAILTbullet1"/>
            </w:pPr>
            <w:r w:rsidRPr="006159F2">
              <w:rPr>
                <w:b/>
              </w:rPr>
              <w:t>Income and Net Worth Status</w:t>
            </w:r>
            <w:r w:rsidRPr="001641C5">
              <w:t xml:space="preserve"> job aid</w:t>
            </w:r>
          </w:p>
          <w:p w14:paraId="2A63FE6E" w14:textId="77777777" w:rsidR="006159F2" w:rsidRPr="001641C5" w:rsidRDefault="006159F2" w:rsidP="006159F2">
            <w:pPr>
              <w:pStyle w:val="VBAILTbullet1"/>
            </w:pPr>
            <w:r w:rsidRPr="006159F2">
              <w:rPr>
                <w:b/>
              </w:rPr>
              <w:t>Time Limits</w:t>
            </w:r>
            <w:r w:rsidRPr="001641C5">
              <w:t xml:space="preserve"> job aid</w:t>
            </w:r>
          </w:p>
          <w:p w14:paraId="2A63FE6F" w14:textId="77777777" w:rsidR="006159F2" w:rsidRPr="001641C5" w:rsidRDefault="006159F2" w:rsidP="006159F2">
            <w:pPr>
              <w:pStyle w:val="VBAILTbullet1"/>
            </w:pPr>
            <w:r w:rsidRPr="006159F2">
              <w:rPr>
                <w:b/>
              </w:rPr>
              <w:t>Dependency Eligibility Requirements</w:t>
            </w:r>
            <w:r w:rsidRPr="001641C5">
              <w:t xml:space="preserve"> job aid</w:t>
            </w:r>
          </w:p>
          <w:p w14:paraId="2A63FE70" w14:textId="77777777" w:rsidR="006159F2" w:rsidRDefault="006159F2" w:rsidP="006159F2">
            <w:pPr>
              <w:pStyle w:val="VBAILTbullet1"/>
            </w:pPr>
            <w:r w:rsidRPr="006159F2">
              <w:rPr>
                <w:b/>
              </w:rPr>
              <w:t>Dependency Eligibility: Spouse</w:t>
            </w:r>
            <w:r w:rsidRPr="001641C5">
              <w:t xml:space="preserve"> job aid</w:t>
            </w:r>
            <w:r>
              <w:t xml:space="preserve"> </w:t>
            </w:r>
          </w:p>
          <w:p w14:paraId="2A63FE71" w14:textId="77777777" w:rsidR="00DB694F" w:rsidRDefault="006159F2" w:rsidP="006159F2">
            <w:pPr>
              <w:pStyle w:val="VBAILTbullet1"/>
            </w:pPr>
            <w:r w:rsidRPr="006159F2">
              <w:rPr>
                <w:b/>
              </w:rPr>
              <w:t xml:space="preserve">Develop for Missing Information/Evidence </w:t>
            </w:r>
            <w:r>
              <w:t>job aid</w:t>
            </w:r>
          </w:p>
        </w:tc>
      </w:tr>
      <w:tr w:rsidR="00DB694F" w14:paraId="2A63FE8A" w14:textId="77777777" w:rsidTr="00CF4F54">
        <w:trPr>
          <w:jc w:val="center"/>
        </w:trPr>
        <w:tc>
          <w:tcPr>
            <w:tcW w:w="2335" w:type="dxa"/>
          </w:tcPr>
          <w:p w14:paraId="2A63FE73" w14:textId="77777777" w:rsidR="00DB694F" w:rsidRPr="00976B4E" w:rsidRDefault="00DB694F" w:rsidP="00CF4F54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77B6FE19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3.57(a)(1) (Child: General)</w:t>
            </w:r>
            <w:r>
              <w:rPr>
                <w:rStyle w:val="eop"/>
              </w:rPr>
              <w:t> </w:t>
            </w:r>
          </w:p>
          <w:p w14:paraId="423EEAC3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3.204 (Evidence of dependents and age)</w:t>
            </w:r>
            <w:r>
              <w:rPr>
                <w:rStyle w:val="eop"/>
              </w:rPr>
              <w:t> </w:t>
            </w:r>
          </w:p>
          <w:p w14:paraId="02C10C97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3.205 (Marriage)</w:t>
            </w:r>
            <w:r>
              <w:rPr>
                <w:rStyle w:val="eop"/>
              </w:rPr>
              <w:t> </w:t>
            </w:r>
          </w:p>
          <w:p w14:paraId="430CB6DA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3.206 (Divorce)</w:t>
            </w:r>
            <w:r>
              <w:rPr>
                <w:rStyle w:val="eop"/>
              </w:rPr>
              <w:t> </w:t>
            </w:r>
          </w:p>
          <w:p w14:paraId="59CF934D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3.207 (Void or annulled marriage)</w:t>
            </w:r>
            <w:r>
              <w:rPr>
                <w:rStyle w:val="eop"/>
              </w:rPr>
              <w:t> </w:t>
            </w:r>
          </w:p>
          <w:p w14:paraId="0B52D41B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3.208 (Claims based on attained age)</w:t>
            </w:r>
            <w:r>
              <w:rPr>
                <w:rStyle w:val="eop"/>
              </w:rPr>
              <w:t> </w:t>
            </w:r>
          </w:p>
          <w:p w14:paraId="039FCF34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3.209 (Birth)</w:t>
            </w:r>
            <w:r>
              <w:rPr>
                <w:rStyle w:val="eop"/>
              </w:rPr>
              <w:t> </w:t>
            </w:r>
          </w:p>
          <w:p w14:paraId="24DCA4A1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3.210 (Child's relationship)</w:t>
            </w:r>
            <w:r>
              <w:rPr>
                <w:rStyle w:val="eop"/>
              </w:rPr>
              <w:t> </w:t>
            </w:r>
          </w:p>
          <w:p w14:paraId="3FA48ACE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3.211 (Death)</w:t>
            </w:r>
            <w:r>
              <w:rPr>
                <w:rStyle w:val="eop"/>
              </w:rPr>
              <w:t> </w:t>
            </w:r>
          </w:p>
          <w:p w14:paraId="6BC18ECB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II.iii.</w:t>
            </w:r>
            <w:proofErr w:type="gramStart"/>
            <w:r>
              <w:rPr>
                <w:rStyle w:val="contextualspellingandgrammarerror"/>
              </w:rPr>
              <w:t>1.A.</w:t>
            </w:r>
            <w:proofErr w:type="gramEnd"/>
            <w:r>
              <w:rPr>
                <w:rStyle w:val="contextualspellingandgrammarerror"/>
              </w:rPr>
              <w:t>1.a.</w:t>
            </w:r>
            <w:r>
              <w:rPr>
                <w:rStyle w:val="normaltextrun"/>
              </w:rPr>
              <w:t xml:space="preserve"> (Requirements for a Complete Claim Received on or After March 24, 2015)</w:t>
            </w:r>
            <w:r>
              <w:rPr>
                <w:rStyle w:val="eop"/>
              </w:rPr>
              <w:t> </w:t>
            </w:r>
          </w:p>
          <w:p w14:paraId="7B8FFDF9" w14:textId="3A0D5CEB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lastRenderedPageBreak/>
              <w:t>M21-1 VII.i.1.A. (</w:t>
            </w:r>
            <w:r w:rsidR="00FA5812">
              <w:rPr>
                <w:rStyle w:val="normaltextrun"/>
              </w:rPr>
              <w:t xml:space="preserve">General Information on </w:t>
            </w:r>
            <w:r>
              <w:rPr>
                <w:rStyle w:val="normaltextrun"/>
              </w:rPr>
              <w:t>Relationship and Dependency)</w:t>
            </w:r>
            <w:r>
              <w:rPr>
                <w:rStyle w:val="eop"/>
              </w:rPr>
              <w:t> </w:t>
            </w:r>
          </w:p>
          <w:p w14:paraId="5E0F3FF4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VII.i.1.A.4.a. (Forms Claimants Must Use to Initiate the Process of Adding a Dependent to Their Award)</w:t>
            </w:r>
            <w:r>
              <w:rPr>
                <w:rStyle w:val="eop"/>
              </w:rPr>
              <w:t> </w:t>
            </w:r>
          </w:p>
          <w:p w14:paraId="0A154F48" w14:textId="52B3D478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VII.i.</w:t>
            </w:r>
            <w:proofErr w:type="gramStart"/>
            <w:r>
              <w:rPr>
                <w:rStyle w:val="contextualspellingandgrammarerror"/>
              </w:rPr>
              <w:t>2.B.</w:t>
            </w:r>
            <w:proofErr w:type="gramEnd"/>
            <w:r>
              <w:rPr>
                <w:rStyle w:val="normaltextrun"/>
              </w:rPr>
              <w:t>2. (</w:t>
            </w:r>
            <w:r w:rsidR="00A026FA">
              <w:rPr>
                <w:rStyle w:val="normaltextrun"/>
              </w:rPr>
              <w:t>Development to Establ</w:t>
            </w:r>
            <w:r w:rsidR="00FD1648">
              <w:rPr>
                <w:rStyle w:val="normaltextrun"/>
              </w:rPr>
              <w:t>ish a</w:t>
            </w:r>
            <w:r>
              <w:rPr>
                <w:rStyle w:val="normaltextrun"/>
              </w:rPr>
              <w:t xml:space="preserve"> Common Law Marriage)</w:t>
            </w:r>
            <w:r>
              <w:rPr>
                <w:rStyle w:val="eop"/>
              </w:rPr>
              <w:t> </w:t>
            </w:r>
          </w:p>
          <w:p w14:paraId="6E8F3640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VII.i.2.B.3.a. (Recognition of Common Law Marriages by State)</w:t>
            </w:r>
            <w:r>
              <w:rPr>
                <w:rStyle w:val="eop"/>
              </w:rPr>
              <w:t> </w:t>
            </w:r>
          </w:p>
          <w:p w14:paraId="07211ED4" w14:textId="55188714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VII.i.</w:t>
            </w:r>
            <w:proofErr w:type="gramStart"/>
            <w:r>
              <w:rPr>
                <w:rStyle w:val="contextualspellingandgrammarerror"/>
              </w:rPr>
              <w:t>2.C.</w:t>
            </w:r>
            <w:proofErr w:type="gramEnd"/>
            <w:r>
              <w:rPr>
                <w:rStyle w:val="normaltextrun"/>
              </w:rPr>
              <w:t>1. (</w:t>
            </w:r>
            <w:r w:rsidR="00F569CE" w:rsidRPr="00F569CE">
              <w:rPr>
                <w:rStyle w:val="normaltextrun"/>
              </w:rPr>
              <w:t>Tribal and Proxy Marriages</w:t>
            </w:r>
            <w:r>
              <w:rPr>
                <w:rStyle w:val="normaltextrun"/>
              </w:rPr>
              <w:t>)</w:t>
            </w:r>
            <w:r>
              <w:rPr>
                <w:rStyle w:val="eop"/>
              </w:rPr>
              <w:t> </w:t>
            </w:r>
          </w:p>
          <w:p w14:paraId="1CA85BF2" w14:textId="7CDEC8A2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VII.i.3.B. (</w:t>
            </w:r>
            <w:r w:rsidR="002F578E" w:rsidRPr="002F578E">
              <w:rPr>
                <w:rStyle w:val="normaltextrun"/>
              </w:rPr>
              <w:t>Biological Children, Adopted Children, and Stepchildren</w:t>
            </w:r>
            <w:r>
              <w:rPr>
                <w:rStyle w:val="normaltextrun"/>
              </w:rPr>
              <w:t>)</w:t>
            </w:r>
            <w:r>
              <w:rPr>
                <w:rStyle w:val="eop"/>
              </w:rPr>
              <w:t> </w:t>
            </w:r>
          </w:p>
          <w:p w14:paraId="01DC1DD9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VII.i.3.B.6 (Award Adjustments Involving Stepchildren)</w:t>
            </w:r>
            <w:r>
              <w:rPr>
                <w:rStyle w:val="eop"/>
              </w:rPr>
              <w:t> </w:t>
            </w:r>
          </w:p>
          <w:p w14:paraId="7471B385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 xml:space="preserve">M21-1 </w:t>
            </w:r>
            <w:proofErr w:type="spellStart"/>
            <w:proofErr w:type="gramStart"/>
            <w:r>
              <w:rPr>
                <w:rStyle w:val="spellingerror"/>
              </w:rPr>
              <w:t>VII.ii</w:t>
            </w:r>
            <w:proofErr w:type="spellEnd"/>
            <w:r>
              <w:rPr>
                <w:rStyle w:val="normaltextrun"/>
              </w:rPr>
              <w:t>.</w:t>
            </w:r>
            <w:proofErr w:type="gramEnd"/>
            <w:r>
              <w:rPr>
                <w:rStyle w:val="normaltextrun"/>
              </w:rPr>
              <w:t xml:space="preserve"> (School Attendance)</w:t>
            </w:r>
            <w:r>
              <w:rPr>
                <w:rStyle w:val="eop"/>
              </w:rPr>
              <w:t> </w:t>
            </w:r>
          </w:p>
          <w:p w14:paraId="4900DD2B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XII.i.1.A.1.a. (Definition: DIC)</w:t>
            </w:r>
            <w:r>
              <w:rPr>
                <w:rStyle w:val="eop"/>
              </w:rPr>
              <w:t> </w:t>
            </w:r>
          </w:p>
          <w:p w14:paraId="4131A219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IX.i.3.A.2.a. (Income Development for Initial and Supplemental Claims)</w:t>
            </w:r>
            <w:r>
              <w:rPr>
                <w:rStyle w:val="eop"/>
              </w:rPr>
              <w:t> </w:t>
            </w:r>
          </w:p>
          <w:p w14:paraId="28246D01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IX.iii.</w:t>
            </w:r>
            <w:proofErr w:type="gramStart"/>
            <w:r>
              <w:rPr>
                <w:rStyle w:val="contextualspellingandgrammarerror"/>
              </w:rPr>
              <w:t>1.F.</w:t>
            </w:r>
            <w:proofErr w:type="gramEnd"/>
            <w:r>
              <w:rPr>
                <w:rStyle w:val="normaltextrun"/>
              </w:rPr>
              <w:t xml:space="preserve"> (Dependents for Current- Law Pension Purposes)</w:t>
            </w:r>
            <w:r>
              <w:rPr>
                <w:rStyle w:val="eop"/>
              </w:rPr>
              <w:t> </w:t>
            </w:r>
          </w:p>
          <w:p w14:paraId="187683A0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IX.iii.</w:t>
            </w:r>
            <w:proofErr w:type="gramStart"/>
            <w:r>
              <w:rPr>
                <w:rStyle w:val="contextualspellingandgrammarerror"/>
              </w:rPr>
              <w:t>1.F.</w:t>
            </w:r>
            <w:proofErr w:type="gramEnd"/>
            <w:r>
              <w:rPr>
                <w:rStyle w:val="contextualspellingandgrammarerror"/>
              </w:rPr>
              <w:t>2.a.</w:t>
            </w:r>
            <w:r>
              <w:rPr>
                <w:rStyle w:val="normaltextrun"/>
              </w:rPr>
              <w:t xml:space="preserve"> (General Information on Counting the Income of Dependents)</w:t>
            </w:r>
            <w:r>
              <w:rPr>
                <w:rStyle w:val="eop"/>
              </w:rPr>
              <w:t> </w:t>
            </w:r>
          </w:p>
          <w:p w14:paraId="2A63FE89" w14:textId="56B58444" w:rsidR="00DB694F" w:rsidRPr="008708DC" w:rsidRDefault="00B64FC7" w:rsidP="00B64FC7">
            <w:pPr>
              <w:pStyle w:val="VBAILTbullet1"/>
            </w:pPr>
            <w:r>
              <w:rPr>
                <w:rStyle w:val="normaltextrun"/>
              </w:rPr>
              <w:t>M21-1 IX.iii.</w:t>
            </w:r>
            <w:proofErr w:type="gramStart"/>
            <w:r>
              <w:rPr>
                <w:rStyle w:val="contextualspellingandgrammarerror"/>
              </w:rPr>
              <w:t>1.F.</w:t>
            </w:r>
            <w:proofErr w:type="gramEnd"/>
            <w:r>
              <w:rPr>
                <w:rStyle w:val="contextualspellingandgrammarerror"/>
              </w:rPr>
              <w:t>2.k.</w:t>
            </w:r>
            <w:r>
              <w:rPr>
                <w:rStyle w:val="normaltextrun"/>
              </w:rPr>
              <w:t xml:space="preserve"> (Failure to Resolve the Income of Dependents)</w:t>
            </w:r>
            <w:r>
              <w:rPr>
                <w:rStyle w:val="eop"/>
              </w:rPr>
              <w:t> </w:t>
            </w:r>
          </w:p>
        </w:tc>
      </w:tr>
    </w:tbl>
    <w:p w14:paraId="2A63FE8B" w14:textId="77777777" w:rsidR="004B566A" w:rsidRDefault="004B566A" w:rsidP="004B566A">
      <w:pPr>
        <w:pStyle w:val="VBAILTBody"/>
      </w:pPr>
    </w:p>
    <w:p w14:paraId="56333563" w14:textId="5A71419A" w:rsidR="001C7732" w:rsidRDefault="001C7732" w:rsidP="001C7732">
      <w:pPr>
        <w:pStyle w:val="VBAILTHeading2"/>
      </w:pPr>
      <w:bookmarkStart w:id="3" w:name="_Toc462107083"/>
      <w:r>
        <w:t>Apply due process to a claim</w:t>
      </w:r>
      <w:bookmarkEnd w:id="3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References"/>
      </w:tblPr>
      <w:tblGrid>
        <w:gridCol w:w="2335"/>
        <w:gridCol w:w="7066"/>
      </w:tblGrid>
      <w:tr w:rsidR="001C7732" w14:paraId="23255FA4" w14:textId="77777777" w:rsidTr="00C051D5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0593FB13" w14:textId="77777777" w:rsidR="001C7732" w:rsidRDefault="001C7732" w:rsidP="00C051D5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1913AECB" w14:textId="77777777" w:rsidR="001C7732" w:rsidRDefault="001C7732" w:rsidP="00C051D5">
            <w:pPr>
              <w:pStyle w:val="VBAILTTableHeading1"/>
            </w:pPr>
            <w:r>
              <w:t xml:space="preserve">Reference Name </w:t>
            </w:r>
          </w:p>
        </w:tc>
      </w:tr>
      <w:tr w:rsidR="001C7732" w14:paraId="64E6F9E5" w14:textId="77777777" w:rsidTr="00C051D5">
        <w:trPr>
          <w:jc w:val="center"/>
        </w:trPr>
        <w:tc>
          <w:tcPr>
            <w:tcW w:w="2335" w:type="dxa"/>
          </w:tcPr>
          <w:p w14:paraId="6BD2CB66" w14:textId="77777777" w:rsidR="001C7732" w:rsidRPr="003213CA" w:rsidRDefault="001C7732" w:rsidP="00C051D5">
            <w:pPr>
              <w:pStyle w:val="VBAILTBody"/>
            </w:pPr>
            <w:r>
              <w:t xml:space="preserve">Lesson </w:t>
            </w:r>
            <w:r w:rsidRPr="001947F4">
              <w:t xml:space="preserve"> </w:t>
            </w:r>
          </w:p>
        </w:tc>
        <w:tc>
          <w:tcPr>
            <w:tcW w:w="7066" w:type="dxa"/>
          </w:tcPr>
          <w:p w14:paraId="10D20A6F" w14:textId="5773CED0" w:rsidR="001C7732" w:rsidRDefault="001C7732" w:rsidP="001C7732">
            <w:pPr>
              <w:pStyle w:val="VBAILTBody"/>
            </w:pPr>
            <w:r>
              <w:t xml:space="preserve">Phase 5, Part 5, Lesson 5: </w:t>
            </w:r>
            <w:r w:rsidRPr="00FA3811">
              <w:rPr>
                <w:i/>
              </w:rPr>
              <w:t>Apply/Issue Due Process Provisions</w:t>
            </w:r>
          </w:p>
        </w:tc>
      </w:tr>
      <w:tr w:rsidR="001C7732" w14:paraId="3B528413" w14:textId="77777777" w:rsidTr="00C051D5">
        <w:trPr>
          <w:jc w:val="center"/>
        </w:trPr>
        <w:tc>
          <w:tcPr>
            <w:tcW w:w="2335" w:type="dxa"/>
          </w:tcPr>
          <w:p w14:paraId="0C0DC187" w14:textId="77777777" w:rsidR="001C7732" w:rsidRPr="003213CA" w:rsidRDefault="001C7732" w:rsidP="00C051D5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5C479314" w14:textId="77777777" w:rsidR="00751940" w:rsidRPr="001641C5" w:rsidRDefault="00751940" w:rsidP="00751940">
            <w:pPr>
              <w:pStyle w:val="VBAILTbullet1"/>
            </w:pPr>
            <w:r w:rsidRPr="00751940">
              <w:rPr>
                <w:b/>
              </w:rPr>
              <w:t>Processing an Award Adjustment</w:t>
            </w:r>
            <w:r w:rsidRPr="001641C5">
              <w:t xml:space="preserve"> job aid</w:t>
            </w:r>
          </w:p>
          <w:p w14:paraId="40E24068" w14:textId="77777777" w:rsidR="00751940" w:rsidRPr="001641C5" w:rsidRDefault="00751940" w:rsidP="00751940">
            <w:pPr>
              <w:pStyle w:val="VBAILTbullet1"/>
            </w:pPr>
            <w:r w:rsidRPr="00751940">
              <w:rPr>
                <w:b/>
              </w:rPr>
              <w:lastRenderedPageBreak/>
              <w:t>Initial Year</w:t>
            </w:r>
            <w:r w:rsidRPr="001641C5">
              <w:t xml:space="preserve"> job aid</w:t>
            </w:r>
          </w:p>
          <w:p w14:paraId="2D414075" w14:textId="58CB2AA6" w:rsidR="001C7732" w:rsidRPr="00751940" w:rsidRDefault="00751940" w:rsidP="00751940">
            <w:pPr>
              <w:pStyle w:val="VBAILTbullet1"/>
            </w:pPr>
            <w:r w:rsidRPr="00751940">
              <w:rPr>
                <w:b/>
              </w:rPr>
              <w:t>Due Process</w:t>
            </w:r>
            <w:r w:rsidRPr="001641C5">
              <w:t xml:space="preserve"> job aid</w:t>
            </w:r>
          </w:p>
        </w:tc>
      </w:tr>
      <w:tr w:rsidR="00751940" w14:paraId="2A7120D3" w14:textId="77777777" w:rsidTr="00B64FC7">
        <w:trPr>
          <w:jc w:val="center"/>
        </w:trPr>
        <w:tc>
          <w:tcPr>
            <w:tcW w:w="2335" w:type="dxa"/>
          </w:tcPr>
          <w:p w14:paraId="67A18FE3" w14:textId="77777777" w:rsidR="00751940" w:rsidRPr="00976B4E" w:rsidRDefault="00751940" w:rsidP="00751940">
            <w:pPr>
              <w:pStyle w:val="VBAILTBody"/>
            </w:pPr>
            <w:r w:rsidRPr="00976B4E">
              <w:lastRenderedPageBreak/>
              <w:t>38 CFR and M21-1 Manual</w:t>
            </w:r>
          </w:p>
        </w:tc>
        <w:tc>
          <w:tcPr>
            <w:tcW w:w="7066" w:type="dxa"/>
          </w:tcPr>
          <w:p w14:paraId="2E5C384B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38 CFR 3.103 (Procedural Due Process and Appellate Rights)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22E8681E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38 CFR 3.551 (Reduction Because of Hospitalization)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48EF1CB1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38 CFR 3.552 (Adjustment of allowance for aid and attendance)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182C8B51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I.i.1.B (General Information on Due Process)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FE9742B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I.i.1.B.1.a. (Due Process and the U.S. Constitution)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A1A9C58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I.i.1.B.1.b. (Due Process and VA)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29ECA639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I.i.1.B.2.a. (Types of Notification Concerning Change in Benefits)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6B1B2C5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X.ii.3.A.2.a. (Required Elements for Notice of Proposed Adverse Action)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1A241625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X.ii.3.B (Adverse Action Proposal Period)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572568A" w14:textId="77777777" w:rsidR="00B64FC7" w:rsidRDefault="00B64FC7" w:rsidP="00B64FC7">
            <w:pPr>
              <w:pStyle w:val="paragraph"/>
              <w:numPr>
                <w:ilvl w:val="1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X.ii.3.B.3 (Hearings Requested in Response to a Proposed Adverse Action)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E6EE8D0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X.ii.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3.C.</w:t>
            </w:r>
            <w:proofErr w:type="gramEnd"/>
            <w:r>
              <w:rPr>
                <w:rStyle w:val="normaltextrun"/>
                <w:rFonts w:ascii="Verdana" w:hAnsi="Verdana"/>
                <w:sz w:val="22"/>
                <w:szCs w:val="22"/>
              </w:rPr>
              <w:t>1. (Contemporaneous Notice)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FE656FE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VII.i.1.B(Verification of Marital Status and the Status of Dependents)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02A4298A" w14:textId="77777777" w:rsidR="00B64FC7" w:rsidRDefault="00B64FC7" w:rsidP="00B64FC7">
            <w:pPr>
              <w:pStyle w:val="paragraph"/>
              <w:numPr>
                <w:ilvl w:val="1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VII.i.1.B.4 (Failure to Return VA Form 21-0538 or VA Form 21P-0537)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6EDA4FBF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VII.ii.1.B (Awards and Adjustments Based upon School Attendance)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48325091" w14:textId="77777777" w:rsidR="00B64FC7" w:rsidRDefault="00B64FC7" w:rsidP="00B64FC7">
            <w:pPr>
              <w:pStyle w:val="paragraph"/>
              <w:numPr>
                <w:ilvl w:val="1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VII.ii.1.B.6.e. (Failure to Certify School Attendance)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4D49B719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X.ii.6.A.5.a. (Decree by a Court as Notice and Hearing)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20020D8E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X.v.1.C.3.g. (Sample Format for Documenting an Administrative Decision)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09CEC167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VI.i.2.B.1 (Overview of Erroneous Payments)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5BDE4477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 xml:space="preserve">M21-1 VI.i.2.B.2 (Handling Cases That Involve the Duplicate Payment of 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Benefits )</w:t>
            </w:r>
            <w:proofErr w:type="gramEnd"/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8F55DF9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VII.iii.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1.B</w:t>
            </w:r>
            <w:proofErr w:type="gramEnd"/>
            <w:r>
              <w:rPr>
                <w:rStyle w:val="normaltextrun"/>
                <w:rFonts w:ascii="Verdana" w:hAnsi="Verdana"/>
                <w:sz w:val="22"/>
                <w:szCs w:val="22"/>
              </w:rPr>
              <w:t xml:space="preserve"> (Adjusting Apportioned Awards)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8230401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X.ii.3.A.3.c. (Special Procedures for Hospitalized Veterans)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25D7F97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VI.iii.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1.A.</w:t>
            </w:r>
            <w:proofErr w:type="gramEnd"/>
            <w:r>
              <w:rPr>
                <w:rStyle w:val="normaltextrun"/>
                <w:rFonts w:ascii="Verdana" w:hAnsi="Verdana"/>
                <w:sz w:val="22"/>
                <w:szCs w:val="22"/>
              </w:rPr>
              <w:t>2 (Benefit-Specific Effects of a Beneficiary’s Incarceration)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07F4ACFC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VI.iii.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1.A.</w:t>
            </w:r>
            <w:proofErr w:type="gramEnd"/>
            <w:r>
              <w:rPr>
                <w:rStyle w:val="normaltextrun"/>
                <w:rFonts w:ascii="Verdana" w:hAnsi="Verdana"/>
                <w:sz w:val="22"/>
                <w:szCs w:val="22"/>
              </w:rPr>
              <w:t>3.a. (Action to Take Upon Receipt of Notice of Incarceration)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509CED07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VI.iii.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1.C.</w:t>
            </w:r>
            <w:proofErr w:type="gramEnd"/>
            <w:r>
              <w:rPr>
                <w:rStyle w:val="normaltextrun"/>
                <w:rFonts w:ascii="Verdana" w:hAnsi="Verdana"/>
                <w:sz w:val="22"/>
                <w:szCs w:val="22"/>
              </w:rPr>
              <w:t>2.b.  Processing Notice of the Incarceration of a Surviving Spouse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2F3E0933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lastRenderedPageBreak/>
              <w:t>M21-1 X.ii.6.D.3 (Due Process Requirements for Incompetency Determinations)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9F3B354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VI.iii.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2.A.</w:t>
            </w:r>
            <w:proofErr w:type="gramEnd"/>
            <w:r>
              <w:rPr>
                <w:rStyle w:val="normaltextrun"/>
                <w:rFonts w:ascii="Verdana" w:hAnsi="Verdana"/>
                <w:sz w:val="22"/>
                <w:szCs w:val="22"/>
              </w:rPr>
              <w:t>1 (General Information About Simultaneous Award Adjustments) 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15339A80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VI.iii.</w:t>
            </w:r>
            <w:proofErr w:type="gramStart"/>
            <w:r>
              <w:rPr>
                <w:rStyle w:val="contextualspellingandgrammarerror"/>
                <w:rFonts w:ascii="Verdana" w:hAnsi="Verdana"/>
                <w:sz w:val="22"/>
                <w:szCs w:val="22"/>
              </w:rPr>
              <w:t>2.A.</w:t>
            </w:r>
            <w:proofErr w:type="gramEnd"/>
            <w:r>
              <w:rPr>
                <w:rStyle w:val="normaltextrun"/>
                <w:rFonts w:ascii="Verdana" w:hAnsi="Verdana"/>
                <w:sz w:val="22"/>
                <w:szCs w:val="22"/>
              </w:rPr>
              <w:t>2 (Processing Simultaneous Award Adjustments)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77BAD313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XIV.2.A.5.n. (Monthly Entitlement Amount is Erroneous)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5540710B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XIV.2.B.2.h. (DMF Match Identifies Veteran’s Spouse)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243D97A0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XIV.4.D (Federal Tax Information (FTI): Income Verification Match (IVM))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69EEACCA" w14:textId="77777777" w:rsid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XIV.7.2 (Processing Worksheets Data-Matching Programs Generate)</w:t>
            </w:r>
            <w:r>
              <w:rPr>
                <w:rStyle w:val="eop"/>
                <w:rFonts w:ascii="Verdana" w:hAnsi="Verdana"/>
                <w:sz w:val="22"/>
                <w:szCs w:val="22"/>
              </w:rPr>
              <w:t> </w:t>
            </w:r>
          </w:p>
          <w:p w14:paraId="32A621F2" w14:textId="03276C8D" w:rsidR="00751940" w:rsidRPr="00B64FC7" w:rsidRDefault="00B64FC7" w:rsidP="00B64FC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Style w:val="normaltextrun"/>
                <w:rFonts w:ascii="Verdana" w:hAnsi="Verdana"/>
                <w:sz w:val="22"/>
                <w:szCs w:val="22"/>
              </w:rPr>
              <w:t>M21-1 XIV.8.2.d. (Deciding Whether an Individual Is a Fugitive Felon and Notifying the Beneficiary of the Decision)</w:t>
            </w:r>
          </w:p>
        </w:tc>
      </w:tr>
    </w:tbl>
    <w:p w14:paraId="72212AD9" w14:textId="77777777" w:rsidR="001C7732" w:rsidRDefault="001C7732" w:rsidP="004B566A">
      <w:pPr>
        <w:pStyle w:val="VBAILTBody"/>
      </w:pPr>
    </w:p>
    <w:p w14:paraId="07586801" w14:textId="6F89E41E" w:rsidR="00751940" w:rsidRDefault="0037287D" w:rsidP="00751940">
      <w:pPr>
        <w:pStyle w:val="VBAILTHeading2"/>
      </w:pPr>
      <w:bookmarkStart w:id="4" w:name="_Toc1012770160"/>
      <w:r>
        <w:t xml:space="preserve">Recognize whether a waiver </w:t>
      </w:r>
      <w:r w:rsidR="00AD5244">
        <w:t>withholding</w:t>
      </w:r>
      <w:r>
        <w:t xml:space="preserve"> is required</w:t>
      </w:r>
      <w:bookmarkEnd w:id="4"/>
    </w:p>
    <w:tbl>
      <w:tblPr>
        <w:tblStyle w:val="TableGrid"/>
        <w:tblW w:w="9401" w:type="dxa"/>
        <w:jc w:val="center"/>
        <w:tblLayout w:type="fixed"/>
        <w:tblLook w:val="04A0" w:firstRow="1" w:lastRow="0" w:firstColumn="1" w:lastColumn="0" w:noHBand="0" w:noVBand="1"/>
        <w:tblCaption w:val="References"/>
      </w:tblPr>
      <w:tblGrid>
        <w:gridCol w:w="2335"/>
        <w:gridCol w:w="7066"/>
      </w:tblGrid>
      <w:tr w:rsidR="00751940" w14:paraId="7F27CF39" w14:textId="77777777" w:rsidTr="00297781">
        <w:trPr>
          <w:tblHeader/>
          <w:jc w:val="center"/>
        </w:trPr>
        <w:tc>
          <w:tcPr>
            <w:tcW w:w="2335" w:type="dxa"/>
            <w:shd w:val="clear" w:color="auto" w:fill="BDD6EE" w:themeFill="accent1" w:themeFillTint="66"/>
          </w:tcPr>
          <w:p w14:paraId="659A9CAB" w14:textId="77777777" w:rsidR="00751940" w:rsidRDefault="00751940" w:rsidP="00297781">
            <w:pPr>
              <w:pStyle w:val="VBAILTTableHeading1"/>
            </w:pPr>
            <w:r>
              <w:t>Reference Type</w:t>
            </w:r>
          </w:p>
        </w:tc>
        <w:tc>
          <w:tcPr>
            <w:tcW w:w="7066" w:type="dxa"/>
            <w:shd w:val="clear" w:color="auto" w:fill="BDD6EE" w:themeFill="accent1" w:themeFillTint="66"/>
          </w:tcPr>
          <w:p w14:paraId="77792FB3" w14:textId="77777777" w:rsidR="00751940" w:rsidRDefault="00751940" w:rsidP="00297781">
            <w:pPr>
              <w:pStyle w:val="VBAILTTableHeading1"/>
            </w:pPr>
            <w:r>
              <w:t xml:space="preserve">Reference Name </w:t>
            </w:r>
          </w:p>
        </w:tc>
      </w:tr>
      <w:tr w:rsidR="00751940" w14:paraId="0FF28461" w14:textId="77777777" w:rsidTr="00297781">
        <w:trPr>
          <w:jc w:val="center"/>
        </w:trPr>
        <w:tc>
          <w:tcPr>
            <w:tcW w:w="2335" w:type="dxa"/>
          </w:tcPr>
          <w:p w14:paraId="3545BECF" w14:textId="77777777" w:rsidR="00751940" w:rsidRPr="003213CA" w:rsidRDefault="00751940" w:rsidP="00297781">
            <w:pPr>
              <w:pStyle w:val="VBAILTBody"/>
            </w:pPr>
            <w:r>
              <w:t xml:space="preserve">Lesson </w:t>
            </w:r>
            <w:r w:rsidRPr="001947F4">
              <w:t xml:space="preserve"> </w:t>
            </w:r>
          </w:p>
        </w:tc>
        <w:tc>
          <w:tcPr>
            <w:tcW w:w="7066" w:type="dxa"/>
          </w:tcPr>
          <w:p w14:paraId="4FB5E3D7" w14:textId="4F792A64" w:rsidR="00751940" w:rsidRDefault="00751940" w:rsidP="00751940">
            <w:pPr>
              <w:pStyle w:val="VBAILTBody"/>
            </w:pPr>
            <w:r>
              <w:t xml:space="preserve">Phase 5, Part 5, Lesson 6: </w:t>
            </w:r>
            <w:r w:rsidRPr="00FA3811">
              <w:rPr>
                <w:i/>
              </w:rPr>
              <w:t xml:space="preserve">Introduction to </w:t>
            </w:r>
            <w:r w:rsidRPr="00FA3811">
              <w:rPr>
                <w:i/>
                <w:szCs w:val="48"/>
              </w:rPr>
              <w:t>Overpayments and Waiver Withholdings</w:t>
            </w:r>
          </w:p>
        </w:tc>
      </w:tr>
      <w:tr w:rsidR="00751940" w14:paraId="039483C1" w14:textId="77777777" w:rsidTr="00297781">
        <w:trPr>
          <w:jc w:val="center"/>
        </w:trPr>
        <w:tc>
          <w:tcPr>
            <w:tcW w:w="2335" w:type="dxa"/>
          </w:tcPr>
          <w:p w14:paraId="65CD2579" w14:textId="77777777" w:rsidR="00751940" w:rsidRPr="003213CA" w:rsidRDefault="00751940" w:rsidP="00297781">
            <w:pPr>
              <w:pStyle w:val="VBAILTBody"/>
            </w:pPr>
            <w:r>
              <w:t>Job Aids</w:t>
            </w:r>
          </w:p>
        </w:tc>
        <w:tc>
          <w:tcPr>
            <w:tcW w:w="7066" w:type="dxa"/>
          </w:tcPr>
          <w:p w14:paraId="1B0D969E" w14:textId="29BB6028" w:rsidR="00751940" w:rsidRPr="00045299" w:rsidRDefault="00751940" w:rsidP="00751940">
            <w:pPr>
              <w:pStyle w:val="VBAILTbullet1"/>
            </w:pPr>
            <w:r>
              <w:rPr>
                <w:b/>
              </w:rPr>
              <w:t xml:space="preserve">Processing an </w:t>
            </w:r>
            <w:r w:rsidRPr="00751940">
              <w:rPr>
                <w:b/>
              </w:rPr>
              <w:t>Award Adjustment</w:t>
            </w:r>
            <w:r w:rsidRPr="00045299">
              <w:t xml:space="preserve"> job aid</w:t>
            </w:r>
          </w:p>
          <w:p w14:paraId="6D5C28C2" w14:textId="6615F993" w:rsidR="00751940" w:rsidRPr="00751940" w:rsidRDefault="00751940" w:rsidP="00751940">
            <w:pPr>
              <w:pStyle w:val="VBAILTbullet1"/>
            </w:pPr>
            <w:r w:rsidRPr="00751940">
              <w:rPr>
                <w:b/>
              </w:rPr>
              <w:t>Time Limits</w:t>
            </w:r>
            <w:r>
              <w:t xml:space="preserve"> </w:t>
            </w:r>
            <w:r w:rsidRPr="00147411">
              <w:t>job aid</w:t>
            </w:r>
          </w:p>
        </w:tc>
      </w:tr>
      <w:tr w:rsidR="00751940" w14:paraId="391C4BC1" w14:textId="77777777" w:rsidTr="00297781">
        <w:trPr>
          <w:jc w:val="center"/>
        </w:trPr>
        <w:tc>
          <w:tcPr>
            <w:tcW w:w="2335" w:type="dxa"/>
          </w:tcPr>
          <w:p w14:paraId="738F3E87" w14:textId="77777777" w:rsidR="00751940" w:rsidRPr="00976B4E" w:rsidRDefault="00751940" w:rsidP="00751940">
            <w:pPr>
              <w:pStyle w:val="VBAILTBody"/>
            </w:pPr>
            <w:r w:rsidRPr="00976B4E">
              <w:t>38 CFR and M21-1 Manual</w:t>
            </w:r>
          </w:p>
        </w:tc>
        <w:tc>
          <w:tcPr>
            <w:tcW w:w="7066" w:type="dxa"/>
          </w:tcPr>
          <w:p w14:paraId="2AC6592D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USC 5302 (Waiver of Recovery of Claims by the US)</w:t>
            </w:r>
            <w:r>
              <w:rPr>
                <w:rStyle w:val="eop"/>
              </w:rPr>
              <w:t> </w:t>
            </w:r>
          </w:p>
          <w:p w14:paraId="1657DAFB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38 CFR 1.912 (Collection by Offset)</w:t>
            </w:r>
            <w:r>
              <w:rPr>
                <w:rStyle w:val="eop"/>
              </w:rPr>
              <w:t> </w:t>
            </w:r>
          </w:p>
          <w:p w14:paraId="43789B89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VI.iii.2.C (Debt Collection)</w:t>
            </w:r>
            <w:r>
              <w:rPr>
                <w:rStyle w:val="eop"/>
              </w:rPr>
              <w:t> </w:t>
            </w:r>
          </w:p>
          <w:p w14:paraId="04F3B422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VI.iii.</w:t>
            </w:r>
            <w:proofErr w:type="gramStart"/>
            <w:r>
              <w:rPr>
                <w:rStyle w:val="contextualspellingandgrammarerror"/>
              </w:rPr>
              <w:t>2.A.</w:t>
            </w:r>
            <w:proofErr w:type="gramEnd"/>
            <w:r>
              <w:rPr>
                <w:rStyle w:val="normaltextrun"/>
              </w:rPr>
              <w:t>4 (General Information on the COWC)</w:t>
            </w:r>
            <w:r>
              <w:rPr>
                <w:rStyle w:val="eop"/>
              </w:rPr>
              <w:t> </w:t>
            </w:r>
          </w:p>
          <w:p w14:paraId="14523C45" w14:textId="77777777" w:rsidR="00B64FC7" w:rsidRDefault="00B64FC7" w:rsidP="00B64FC7">
            <w:pPr>
              <w:pStyle w:val="VBAILTbullet1"/>
            </w:pPr>
            <w:r>
              <w:rPr>
                <w:rStyle w:val="normaltextrun"/>
              </w:rPr>
              <w:t>M21-1 VI.iii.</w:t>
            </w:r>
            <w:proofErr w:type="gramStart"/>
            <w:r>
              <w:rPr>
                <w:rStyle w:val="contextualspellingandgrammarerror"/>
              </w:rPr>
              <w:t>2.B.</w:t>
            </w:r>
            <w:proofErr w:type="gramEnd"/>
            <w:r>
              <w:rPr>
                <w:rStyle w:val="normaltextrun"/>
              </w:rPr>
              <w:t>2 (Reviewing Awards for Indebtedness)</w:t>
            </w:r>
            <w:r>
              <w:rPr>
                <w:rStyle w:val="eop"/>
              </w:rPr>
              <w:t> </w:t>
            </w:r>
          </w:p>
          <w:p w14:paraId="790B1472" w14:textId="41B36EBB" w:rsidR="00751940" w:rsidRPr="008708DC" w:rsidRDefault="00B64FC7" w:rsidP="00B64FC7">
            <w:pPr>
              <w:pStyle w:val="VBAILTbullet1"/>
            </w:pPr>
            <w:r>
              <w:rPr>
                <w:rStyle w:val="normaltextrun"/>
              </w:rPr>
              <w:t>M21-1 III.vi.</w:t>
            </w:r>
            <w:proofErr w:type="gramStart"/>
            <w:r>
              <w:rPr>
                <w:rStyle w:val="contextualspellingandgrammarerror"/>
              </w:rPr>
              <w:t>2.B.</w:t>
            </w:r>
            <w:proofErr w:type="gramEnd"/>
            <w:r>
              <w:rPr>
                <w:rStyle w:val="contextualspellingandgrammarerror"/>
              </w:rPr>
              <w:t>2.b.</w:t>
            </w:r>
            <w:r>
              <w:rPr>
                <w:rStyle w:val="normaltextrun"/>
              </w:rPr>
              <w:t xml:space="preserve"> (Debt Management)</w:t>
            </w:r>
            <w:r>
              <w:rPr>
                <w:rStyle w:val="eop"/>
              </w:rPr>
              <w:t> </w:t>
            </w:r>
          </w:p>
        </w:tc>
      </w:tr>
    </w:tbl>
    <w:p w14:paraId="6527EEEB" w14:textId="77777777" w:rsidR="00751940" w:rsidRPr="004B566A" w:rsidRDefault="00751940" w:rsidP="004B566A">
      <w:pPr>
        <w:pStyle w:val="VBAILTBody"/>
      </w:pPr>
    </w:p>
    <w:sectPr w:rsidR="00751940" w:rsidRPr="004B566A" w:rsidSect="0037287D">
      <w:headerReference w:type="first" r:id="rId14"/>
      <w:footerReference w:type="first" r:id="rId15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40EB" w14:textId="77777777" w:rsidR="003301D0" w:rsidRDefault="003301D0" w:rsidP="00C214A9">
      <w:pPr>
        <w:spacing w:after="0" w:line="240" w:lineRule="auto"/>
      </w:pPr>
      <w:r>
        <w:separator/>
      </w:r>
    </w:p>
  </w:endnote>
  <w:endnote w:type="continuationSeparator" w:id="0">
    <w:p w14:paraId="4896077D" w14:textId="77777777" w:rsidR="003301D0" w:rsidRDefault="003301D0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1" w14:textId="6ED2180D" w:rsidR="006930C3" w:rsidRPr="00D44C02" w:rsidRDefault="00B64FC7" w:rsidP="00E06932">
    <w:pPr>
      <w:pStyle w:val="VBAILTFooter"/>
    </w:pPr>
    <w:r>
      <w:t>May 2022</w:t>
    </w:r>
    <w:r w:rsidR="006930C3">
      <w:tab/>
    </w:r>
    <w:r w:rsidR="006930C3" w:rsidRPr="00C214A9">
      <w:fldChar w:fldCharType="begin"/>
    </w:r>
    <w:r w:rsidR="006930C3" w:rsidRPr="00C214A9">
      <w:instrText xml:space="preserve"> PAGE   \* MERGEFORMAT </w:instrText>
    </w:r>
    <w:r w:rsidR="006930C3" w:rsidRPr="00C214A9">
      <w:fldChar w:fldCharType="separate"/>
    </w:r>
    <w:r w:rsidR="00AD5244" w:rsidRPr="00AD5244">
      <w:rPr>
        <w:b/>
        <w:bCs/>
        <w:noProof/>
      </w:rPr>
      <w:t>2</w:t>
    </w:r>
    <w:r w:rsidR="006930C3" w:rsidRPr="00C214A9">
      <w:rPr>
        <w:b/>
        <w:bCs/>
        <w:noProof/>
      </w:rPr>
      <w:fldChar w:fldCharType="end"/>
    </w:r>
    <w:r w:rsidR="006930C3" w:rsidRPr="00C214A9">
      <w:rPr>
        <w:b/>
        <w:bCs/>
      </w:rPr>
      <w:t xml:space="preserve"> </w:t>
    </w:r>
    <w:r w:rsidR="006930C3" w:rsidRPr="00C214A9">
      <w:t>|</w:t>
    </w:r>
    <w:r w:rsidR="006930C3" w:rsidRPr="00C214A9">
      <w:rPr>
        <w:b/>
        <w:bCs/>
      </w:rPr>
      <w:t xml:space="preserve"> </w:t>
    </w:r>
    <w:r w:rsidR="006930C3" w:rsidRPr="00C214A9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4" w14:textId="77777777" w:rsidR="006930C3" w:rsidRPr="00C214A9" w:rsidRDefault="006930C3" w:rsidP="00D44C02">
    <w:pPr>
      <w:pStyle w:val="VBAILTFooter"/>
    </w:pPr>
    <w:r>
      <w:t>02/22/17</w:t>
    </w:r>
    <w:r w:rsidRPr="00C214A9">
      <w:t xml:space="preserve"> </w:t>
    </w:r>
    <w:r>
      <w:t>V</w:t>
    </w:r>
    <w:r w:rsidRPr="00C214A9">
      <w:t>ersion</w:t>
    </w:r>
    <w:r>
      <w:t xml:space="preserve"> 1.0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2707E">
      <w:rPr>
        <w:b/>
        <w:bCs/>
        <w:noProof/>
      </w:rPr>
      <w:t>2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  <w:p w14:paraId="2A63FE95" w14:textId="77777777" w:rsidR="006930C3" w:rsidRDefault="00693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5B7E" w14:textId="77777777" w:rsidR="003301D0" w:rsidRDefault="003301D0" w:rsidP="00C214A9">
      <w:pPr>
        <w:spacing w:after="0" w:line="240" w:lineRule="auto"/>
      </w:pPr>
      <w:r>
        <w:separator/>
      </w:r>
    </w:p>
  </w:footnote>
  <w:footnote w:type="continuationSeparator" w:id="0">
    <w:p w14:paraId="7CE5746C" w14:textId="77777777" w:rsidR="003301D0" w:rsidRDefault="003301D0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0" w14:textId="4ECE4D5F" w:rsidR="006930C3" w:rsidRPr="002D1DCE" w:rsidRDefault="006930C3" w:rsidP="002F1E90">
    <w:pPr>
      <w:pStyle w:val="VBAILTHeader"/>
      <w:pBdr>
        <w:bottom w:val="single" w:sz="4" w:space="1" w:color="auto"/>
      </w:pBdr>
    </w:pPr>
    <w:r w:rsidRPr="003213CA">
      <w:t>Phase 5</w:t>
    </w:r>
    <w:r w:rsidR="00254E31">
      <w:t>,</w:t>
    </w:r>
    <w:r w:rsidRPr="003213CA">
      <w:t xml:space="preserve"> Part 5</w:t>
    </w:r>
    <w:r w:rsidR="008C1C9B">
      <w:t>b</w:t>
    </w:r>
    <w:r w:rsidRPr="003213CA">
      <w:t xml:space="preserve"> Knowledge Check Preparation</w:t>
    </w:r>
    <w:r>
      <w:br/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2" w14:textId="77777777" w:rsidR="006930C3" w:rsidRDefault="006930C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63FE96" wp14:editId="2A63FE97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FE93" w14:textId="77777777" w:rsidR="006930C3" w:rsidRDefault="00693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53E47AD"/>
    <w:multiLevelType w:val="multilevel"/>
    <w:tmpl w:val="1180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6776BC"/>
    <w:multiLevelType w:val="multilevel"/>
    <w:tmpl w:val="C8B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E2BA3"/>
    <w:multiLevelType w:val="hybridMultilevel"/>
    <w:tmpl w:val="A61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20B72"/>
    <w:multiLevelType w:val="multilevel"/>
    <w:tmpl w:val="AD8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B098D"/>
    <w:multiLevelType w:val="multilevel"/>
    <w:tmpl w:val="21C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890C4E"/>
    <w:multiLevelType w:val="hybridMultilevel"/>
    <w:tmpl w:val="5752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903A9"/>
    <w:multiLevelType w:val="multilevel"/>
    <w:tmpl w:val="277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3F90"/>
    <w:multiLevelType w:val="multilevel"/>
    <w:tmpl w:val="974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3" w15:restartNumberingAfterBreak="0">
    <w:nsid w:val="4DE503D0"/>
    <w:multiLevelType w:val="multilevel"/>
    <w:tmpl w:val="E7487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2C2AC2"/>
    <w:multiLevelType w:val="hybridMultilevel"/>
    <w:tmpl w:val="2B3C1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9672FF"/>
    <w:multiLevelType w:val="multilevel"/>
    <w:tmpl w:val="BDEA3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6D238F"/>
    <w:multiLevelType w:val="multilevel"/>
    <w:tmpl w:val="5A3AB502"/>
    <w:numStyleLink w:val="VBAILTNumbering"/>
  </w:abstractNum>
  <w:abstractNum w:abstractNumId="19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0" w15:restartNumberingAfterBreak="0">
    <w:nsid w:val="732B7684"/>
    <w:multiLevelType w:val="multilevel"/>
    <w:tmpl w:val="FEE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A26FD3"/>
    <w:multiLevelType w:val="multilevel"/>
    <w:tmpl w:val="8C9E2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ED5117B"/>
    <w:multiLevelType w:val="multilevel"/>
    <w:tmpl w:val="95D8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0"/>
  </w:num>
  <w:num w:numId="5">
    <w:abstractNumId w:val="19"/>
  </w:num>
  <w:num w:numId="6">
    <w:abstractNumId w:val="23"/>
  </w:num>
  <w:num w:numId="7">
    <w:abstractNumId w:val="0"/>
  </w:num>
  <w:num w:numId="8">
    <w:abstractNumId w:val="12"/>
  </w:num>
  <w:num w:numId="9">
    <w:abstractNumId w:val="7"/>
  </w:num>
  <w:num w:numId="10">
    <w:abstractNumId w:val="18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22"/>
  </w:num>
  <w:num w:numId="18">
    <w:abstractNumId w:val="16"/>
  </w:num>
  <w:num w:numId="19">
    <w:abstractNumId w:val="5"/>
  </w:num>
  <w:num w:numId="20">
    <w:abstractNumId w:val="21"/>
  </w:num>
  <w:num w:numId="21">
    <w:abstractNumId w:val="9"/>
  </w:num>
  <w:num w:numId="22">
    <w:abstractNumId w:val="13"/>
  </w:num>
  <w:num w:numId="23">
    <w:abstractNumId w:val="6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12"/>
    <w:rsid w:val="000156A5"/>
    <w:rsid w:val="00027C4B"/>
    <w:rsid w:val="0005042C"/>
    <w:rsid w:val="000528C5"/>
    <w:rsid w:val="000565F5"/>
    <w:rsid w:val="000731B3"/>
    <w:rsid w:val="00075743"/>
    <w:rsid w:val="00077BE7"/>
    <w:rsid w:val="000818BF"/>
    <w:rsid w:val="00083B9D"/>
    <w:rsid w:val="00085A11"/>
    <w:rsid w:val="000B199A"/>
    <w:rsid w:val="000C600A"/>
    <w:rsid w:val="000F6A22"/>
    <w:rsid w:val="00116035"/>
    <w:rsid w:val="001262F7"/>
    <w:rsid w:val="00143CCF"/>
    <w:rsid w:val="001604CC"/>
    <w:rsid w:val="0017419A"/>
    <w:rsid w:val="00183F88"/>
    <w:rsid w:val="0019335B"/>
    <w:rsid w:val="001947F4"/>
    <w:rsid w:val="001C18D6"/>
    <w:rsid w:val="001C7732"/>
    <w:rsid w:val="001D0E69"/>
    <w:rsid w:val="001D2E6A"/>
    <w:rsid w:val="001D5A75"/>
    <w:rsid w:val="001D6742"/>
    <w:rsid w:val="001E5136"/>
    <w:rsid w:val="001F290C"/>
    <w:rsid w:val="00213496"/>
    <w:rsid w:val="002247D2"/>
    <w:rsid w:val="0024084E"/>
    <w:rsid w:val="00250FEF"/>
    <w:rsid w:val="00254E31"/>
    <w:rsid w:val="00267BA2"/>
    <w:rsid w:val="00272C4F"/>
    <w:rsid w:val="002801E5"/>
    <w:rsid w:val="0028332D"/>
    <w:rsid w:val="00286798"/>
    <w:rsid w:val="002912BA"/>
    <w:rsid w:val="002C3FE7"/>
    <w:rsid w:val="002D1DCE"/>
    <w:rsid w:val="002E3812"/>
    <w:rsid w:val="002E7FD3"/>
    <w:rsid w:val="002F1E90"/>
    <w:rsid w:val="002F5039"/>
    <w:rsid w:val="002F578E"/>
    <w:rsid w:val="003120A9"/>
    <w:rsid w:val="00313580"/>
    <w:rsid w:val="003213CA"/>
    <w:rsid w:val="003301D0"/>
    <w:rsid w:val="0033746B"/>
    <w:rsid w:val="00351325"/>
    <w:rsid w:val="003560D1"/>
    <w:rsid w:val="00360F79"/>
    <w:rsid w:val="00367D1F"/>
    <w:rsid w:val="0037287D"/>
    <w:rsid w:val="00372AE6"/>
    <w:rsid w:val="003A20BD"/>
    <w:rsid w:val="003A70B6"/>
    <w:rsid w:val="003A7B2F"/>
    <w:rsid w:val="003A7B61"/>
    <w:rsid w:val="003B118F"/>
    <w:rsid w:val="003B3180"/>
    <w:rsid w:val="003D634C"/>
    <w:rsid w:val="003E2640"/>
    <w:rsid w:val="003E3D02"/>
    <w:rsid w:val="00407CF3"/>
    <w:rsid w:val="00416682"/>
    <w:rsid w:val="004474E8"/>
    <w:rsid w:val="00457980"/>
    <w:rsid w:val="00472AD2"/>
    <w:rsid w:val="00492BC8"/>
    <w:rsid w:val="00494920"/>
    <w:rsid w:val="004A055F"/>
    <w:rsid w:val="004A69AD"/>
    <w:rsid w:val="004B08D7"/>
    <w:rsid w:val="004B566A"/>
    <w:rsid w:val="004D68FF"/>
    <w:rsid w:val="00502699"/>
    <w:rsid w:val="0052707E"/>
    <w:rsid w:val="005274FC"/>
    <w:rsid w:val="00542CCA"/>
    <w:rsid w:val="00547594"/>
    <w:rsid w:val="00551F78"/>
    <w:rsid w:val="00567720"/>
    <w:rsid w:val="00573A4F"/>
    <w:rsid w:val="00604334"/>
    <w:rsid w:val="00605629"/>
    <w:rsid w:val="00610D52"/>
    <w:rsid w:val="006159F2"/>
    <w:rsid w:val="00617DCD"/>
    <w:rsid w:val="00622460"/>
    <w:rsid w:val="00622B1E"/>
    <w:rsid w:val="00626E0C"/>
    <w:rsid w:val="006504B2"/>
    <w:rsid w:val="006562D2"/>
    <w:rsid w:val="006608CD"/>
    <w:rsid w:val="006841C6"/>
    <w:rsid w:val="00684CE7"/>
    <w:rsid w:val="006930C3"/>
    <w:rsid w:val="006952E6"/>
    <w:rsid w:val="006A6A3F"/>
    <w:rsid w:val="006A7FD5"/>
    <w:rsid w:val="006C1C0D"/>
    <w:rsid w:val="006C56E6"/>
    <w:rsid w:val="006D4022"/>
    <w:rsid w:val="006E001D"/>
    <w:rsid w:val="006E3925"/>
    <w:rsid w:val="006E54AE"/>
    <w:rsid w:val="006E7875"/>
    <w:rsid w:val="007064FA"/>
    <w:rsid w:val="00731C06"/>
    <w:rsid w:val="007359B2"/>
    <w:rsid w:val="00736BC3"/>
    <w:rsid w:val="0074381C"/>
    <w:rsid w:val="007470D1"/>
    <w:rsid w:val="00751940"/>
    <w:rsid w:val="00762F30"/>
    <w:rsid w:val="0079714B"/>
    <w:rsid w:val="007A0378"/>
    <w:rsid w:val="007B11CA"/>
    <w:rsid w:val="007C49C5"/>
    <w:rsid w:val="007D483F"/>
    <w:rsid w:val="00813890"/>
    <w:rsid w:val="008362D6"/>
    <w:rsid w:val="008408AC"/>
    <w:rsid w:val="008414C4"/>
    <w:rsid w:val="00842F83"/>
    <w:rsid w:val="00856EFD"/>
    <w:rsid w:val="008708DC"/>
    <w:rsid w:val="008715F0"/>
    <w:rsid w:val="00881482"/>
    <w:rsid w:val="00897653"/>
    <w:rsid w:val="008B0665"/>
    <w:rsid w:val="008C1C9B"/>
    <w:rsid w:val="008C72DB"/>
    <w:rsid w:val="008D0213"/>
    <w:rsid w:val="008E264D"/>
    <w:rsid w:val="008E4A12"/>
    <w:rsid w:val="00904FB7"/>
    <w:rsid w:val="0091339C"/>
    <w:rsid w:val="0092540F"/>
    <w:rsid w:val="00935715"/>
    <w:rsid w:val="00941AB8"/>
    <w:rsid w:val="00945890"/>
    <w:rsid w:val="00955851"/>
    <w:rsid w:val="00955EFB"/>
    <w:rsid w:val="00976B4E"/>
    <w:rsid w:val="00985453"/>
    <w:rsid w:val="009A2FB8"/>
    <w:rsid w:val="009A5BFB"/>
    <w:rsid w:val="009B508E"/>
    <w:rsid w:val="009C142D"/>
    <w:rsid w:val="009E550F"/>
    <w:rsid w:val="009F361E"/>
    <w:rsid w:val="00A026FA"/>
    <w:rsid w:val="00A03870"/>
    <w:rsid w:val="00A10B66"/>
    <w:rsid w:val="00A14406"/>
    <w:rsid w:val="00A336EE"/>
    <w:rsid w:val="00A35EEA"/>
    <w:rsid w:val="00A3668B"/>
    <w:rsid w:val="00A417D2"/>
    <w:rsid w:val="00A467A4"/>
    <w:rsid w:val="00A51279"/>
    <w:rsid w:val="00A63B17"/>
    <w:rsid w:val="00A66DFB"/>
    <w:rsid w:val="00A75A73"/>
    <w:rsid w:val="00A93399"/>
    <w:rsid w:val="00A94E72"/>
    <w:rsid w:val="00AD5244"/>
    <w:rsid w:val="00AE4592"/>
    <w:rsid w:val="00B00AC4"/>
    <w:rsid w:val="00B22BBA"/>
    <w:rsid w:val="00B33C9F"/>
    <w:rsid w:val="00B57A24"/>
    <w:rsid w:val="00B621D1"/>
    <w:rsid w:val="00B64FC7"/>
    <w:rsid w:val="00B67272"/>
    <w:rsid w:val="00B93C98"/>
    <w:rsid w:val="00BA4871"/>
    <w:rsid w:val="00BA6E30"/>
    <w:rsid w:val="00BB7225"/>
    <w:rsid w:val="00BB78DA"/>
    <w:rsid w:val="00BE44CD"/>
    <w:rsid w:val="00BF2C3C"/>
    <w:rsid w:val="00BF776C"/>
    <w:rsid w:val="00C16E15"/>
    <w:rsid w:val="00C214A9"/>
    <w:rsid w:val="00C30F06"/>
    <w:rsid w:val="00C33DFF"/>
    <w:rsid w:val="00C764DB"/>
    <w:rsid w:val="00C8779F"/>
    <w:rsid w:val="00C90127"/>
    <w:rsid w:val="00C924EC"/>
    <w:rsid w:val="00CB722D"/>
    <w:rsid w:val="00CB7C48"/>
    <w:rsid w:val="00CE193A"/>
    <w:rsid w:val="00CE5319"/>
    <w:rsid w:val="00CE5B96"/>
    <w:rsid w:val="00CF4F54"/>
    <w:rsid w:val="00CF50B0"/>
    <w:rsid w:val="00D0028B"/>
    <w:rsid w:val="00D272EF"/>
    <w:rsid w:val="00D44C02"/>
    <w:rsid w:val="00D54DB1"/>
    <w:rsid w:val="00D77B6C"/>
    <w:rsid w:val="00D86C46"/>
    <w:rsid w:val="00D93448"/>
    <w:rsid w:val="00D94905"/>
    <w:rsid w:val="00DB694F"/>
    <w:rsid w:val="00DB746E"/>
    <w:rsid w:val="00DC4922"/>
    <w:rsid w:val="00DD3111"/>
    <w:rsid w:val="00DE3EDB"/>
    <w:rsid w:val="00DE580E"/>
    <w:rsid w:val="00DF6115"/>
    <w:rsid w:val="00E06932"/>
    <w:rsid w:val="00E0784D"/>
    <w:rsid w:val="00E1585A"/>
    <w:rsid w:val="00E22681"/>
    <w:rsid w:val="00E3218D"/>
    <w:rsid w:val="00E352C5"/>
    <w:rsid w:val="00E41DF3"/>
    <w:rsid w:val="00E43C51"/>
    <w:rsid w:val="00E73091"/>
    <w:rsid w:val="00E94AEA"/>
    <w:rsid w:val="00EC6D93"/>
    <w:rsid w:val="00ED11FF"/>
    <w:rsid w:val="00ED314A"/>
    <w:rsid w:val="00EF0F1E"/>
    <w:rsid w:val="00EF4CDB"/>
    <w:rsid w:val="00F0544B"/>
    <w:rsid w:val="00F05EFB"/>
    <w:rsid w:val="00F1139C"/>
    <w:rsid w:val="00F22742"/>
    <w:rsid w:val="00F4112A"/>
    <w:rsid w:val="00F569CE"/>
    <w:rsid w:val="00F63A43"/>
    <w:rsid w:val="00FA3811"/>
    <w:rsid w:val="00FA5812"/>
    <w:rsid w:val="00FC359C"/>
    <w:rsid w:val="00FC52D0"/>
    <w:rsid w:val="00FD1648"/>
    <w:rsid w:val="00FE1AC6"/>
    <w:rsid w:val="00FE73C7"/>
    <w:rsid w:val="00FE77CB"/>
    <w:rsid w:val="5811F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3FD39"/>
  <w15:docId w15:val="{02D8BE0F-59B3-4F4A-9CD4-61846048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paragraph" w:styleId="Heading1">
    <w:name w:val="heading 1"/>
    <w:basedOn w:val="Normal"/>
    <w:next w:val="Normal"/>
    <w:link w:val="Heading1Char"/>
    <w:uiPriority w:val="9"/>
    <w:rsid w:val="00BB7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27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7CF3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7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78D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B78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78D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6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4FC7"/>
  </w:style>
  <w:style w:type="character" w:customStyle="1" w:styleId="eop">
    <w:name w:val="eop"/>
    <w:basedOn w:val="DefaultParagraphFont"/>
    <w:rsid w:val="00B64FC7"/>
  </w:style>
  <w:style w:type="character" w:customStyle="1" w:styleId="contextualspellingandgrammarerror">
    <w:name w:val="contextualspellingandgrammarerror"/>
    <w:basedOn w:val="DefaultParagraphFont"/>
    <w:rsid w:val="00B64FC7"/>
  </w:style>
  <w:style w:type="character" w:customStyle="1" w:styleId="spellingerror">
    <w:name w:val="spellingerror"/>
    <w:basedOn w:val="DefaultParagraphFont"/>
    <w:rsid w:val="00B6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0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42300-60C9-4311-B25E-DD588025F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93692-B006-4141-B7A5-8C1E500CD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5b Knowledge Check Preparation Appendix A</vt:lpstr>
    </vt:vector>
  </TitlesOfParts>
  <Company>Veterans Benefits Administration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5b Knowledge Check Preparation Appendix A</dc:title>
  <dc:creator>Department of Veterans Affairs, Veterans Benefits Administration, Pension and Fiduciary Service, STAFF</dc:creator>
  <cp:lastModifiedBy>Kathy Poole</cp:lastModifiedBy>
  <cp:revision>9</cp:revision>
  <dcterms:created xsi:type="dcterms:W3CDTF">2022-05-08T22:49:00Z</dcterms:created>
  <dcterms:modified xsi:type="dcterms:W3CDTF">2022-05-18T20:42:00Z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