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76266AA9" w14:textId="608A8A12" w:rsidR="00C21277" w:rsidRDefault="00C21277" w:rsidP="00430C43">
      <w:pPr>
        <w:pStyle w:val="VBAILTCoverdoctypecourse"/>
        <w:rPr>
          <w:b/>
        </w:rPr>
      </w:pPr>
      <w:r w:rsidRPr="00C21277">
        <w:t>PMC VSR Advanced Core Course</w:t>
      </w:r>
      <w:r w:rsidR="00430C43">
        <w:br/>
      </w:r>
      <w:r w:rsidRPr="00C21277">
        <w:t>Phase 5: Stages of a Claim</w:t>
      </w:r>
      <w:r w:rsidR="00430C43">
        <w:br/>
      </w:r>
      <w:r w:rsidRPr="00C21277">
        <w:t>Part 5: Award Adjustments</w:t>
      </w:r>
    </w:p>
    <w:p w14:paraId="6B08C309" w14:textId="0F73A2C6" w:rsidR="00EF5FF1" w:rsidRDefault="00305732" w:rsidP="00C21277">
      <w:pPr>
        <w:pStyle w:val="VBAILTCoverLessonTitle"/>
      </w:pPr>
      <w:r>
        <w:t xml:space="preserve">Phase 5, Part </w:t>
      </w:r>
      <w:proofErr w:type="spellStart"/>
      <w:r w:rsidR="00C21277">
        <w:t>5a</w:t>
      </w:r>
      <w:proofErr w:type="spellEnd"/>
      <w:r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21FFF0AE" w:rsidR="00C30F06" w:rsidRPr="00C214A9" w:rsidRDefault="00187D98" w:rsidP="00C8779F">
      <w:pPr>
        <w:pStyle w:val="VBAILTCoverdoctypecourse"/>
      </w:pPr>
      <w:r>
        <w:lastRenderedPageBreak/>
        <w:t>Trainee Guide</w:t>
      </w:r>
      <w:r w:rsidR="00C30F06">
        <w:t xml:space="preserve"> </w:t>
      </w:r>
    </w:p>
    <w:p w14:paraId="6B08C30B" w14:textId="4B802BDE" w:rsidR="001D2E6A" w:rsidRDefault="00187D98" w:rsidP="00C8779F">
      <w:pPr>
        <w:pStyle w:val="VBAILTCoverMisc"/>
      </w:pPr>
      <w:r>
        <w:t>May 18, 2017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231BBB7D" w:rsidR="00C214A9" w:rsidRDefault="00D94618" w:rsidP="002D1DCE">
      <w:pPr>
        <w:pStyle w:val="VBAILTHeading1"/>
      </w:pPr>
      <w:r>
        <w:lastRenderedPageBreak/>
        <w:t>Phase 5</w:t>
      </w:r>
      <w:r w:rsidR="00D93177">
        <w:t>,</w:t>
      </w:r>
      <w:r>
        <w:t xml:space="preserve"> Part </w:t>
      </w:r>
      <w:proofErr w:type="spellStart"/>
      <w:r w:rsidR="00C21277">
        <w:t>5a</w:t>
      </w:r>
      <w:proofErr w:type="spellEnd"/>
      <w:r w:rsidR="00D93177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5D6535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5D6535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6CB2C2A8" w:rsidR="00267BA2" w:rsidRDefault="00E82FA3" w:rsidP="008508A5">
            <w:pPr>
              <w:pStyle w:val="VBAILTBody"/>
            </w:pPr>
            <w:r>
              <w:t>1.5</w:t>
            </w:r>
            <w:r w:rsidR="003616CD">
              <w:t xml:space="preserve"> hours</w:t>
            </w:r>
          </w:p>
        </w:tc>
      </w:tr>
      <w:tr w:rsidR="002D1DCE" w14:paraId="6B08C317" w14:textId="77777777" w:rsidTr="005D6535">
        <w:trPr>
          <w:cantSplit/>
          <w:jc w:val="center"/>
        </w:trPr>
        <w:tc>
          <w:tcPr>
            <w:tcW w:w="1908" w:type="dxa"/>
          </w:tcPr>
          <w:p w14:paraId="6B08C315" w14:textId="01208458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</w:t>
            </w:r>
            <w:r w:rsidR="00D93177">
              <w:t>P</w:t>
            </w:r>
            <w:r w:rsidR="00863BAA">
              <w:t>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33691ABD" w:rsidR="002D1DCE" w:rsidRDefault="007F4916" w:rsidP="00187D98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</w:t>
            </w:r>
            <w:r w:rsidR="00C21277">
              <w:t>course for PMC VSRs</w:t>
            </w:r>
            <w:r w:rsidRPr="007F4916">
              <w:t>.</w:t>
            </w:r>
            <w:r w:rsidR="00256914">
              <w:t xml:space="preserve"> </w:t>
            </w:r>
            <w:r w:rsidR="00256914" w:rsidRPr="00256914">
              <w:t xml:space="preserve">The purpose of this knowledge-check preparation is to provide </w:t>
            </w:r>
            <w:r w:rsidR="00187D98">
              <w:t>you</w:t>
            </w:r>
            <w:r w:rsidR="00256914" w:rsidRPr="00256914">
              <w:t xml:space="preserve"> </w:t>
            </w:r>
            <w:r w:rsidR="00CD39F1">
              <w:t>with</w:t>
            </w:r>
            <w:r w:rsidR="00CD39F1" w:rsidRPr="00256914">
              <w:t xml:space="preserve"> </w:t>
            </w:r>
            <w:r w:rsidR="00256914" w:rsidRPr="00256914">
              <w:t xml:space="preserve">an opportunity to review, practice, and ask questions regarding </w:t>
            </w:r>
            <w:r w:rsidR="00430C43">
              <w:t>w</w:t>
            </w:r>
            <w:r w:rsidR="00256914" w:rsidRPr="00256914">
              <w:t xml:space="preserve">hat </w:t>
            </w:r>
            <w:r w:rsidR="00187D98">
              <w:t>you</w:t>
            </w:r>
            <w:r w:rsidR="00256914" w:rsidRPr="00256914">
              <w:t xml:space="preserve"> have learned during </w:t>
            </w:r>
            <w:r w:rsidR="00256914">
              <w:t xml:space="preserve">Phase 5, Part </w:t>
            </w:r>
            <w:proofErr w:type="spellStart"/>
            <w:r w:rsidR="00256914">
              <w:t>5a</w:t>
            </w:r>
            <w:proofErr w:type="spellEnd"/>
            <w:r w:rsidR="00256914" w:rsidRPr="00256914">
              <w:t xml:space="preserve">, so that </w:t>
            </w:r>
            <w:r w:rsidR="00187D98">
              <w:t>you</w:t>
            </w:r>
            <w:r w:rsidR="00256914" w:rsidRPr="00256914">
              <w:t xml:space="preserve"> are better prepared</w:t>
            </w:r>
            <w:r w:rsidR="00430C43">
              <w:t xml:space="preserve"> for the knowledge check</w:t>
            </w:r>
            <w:r w:rsidR="00256914" w:rsidRPr="00256914">
              <w:t>.</w:t>
            </w:r>
          </w:p>
        </w:tc>
      </w:tr>
      <w:tr w:rsidR="002D1DCE" w14:paraId="6B08C31F" w14:textId="77777777" w:rsidTr="005D6535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1D5E8076" w:rsidR="003616CD" w:rsidRDefault="007F4916" w:rsidP="00187D98">
            <w:pPr>
              <w:pStyle w:val="VBAILTBody"/>
            </w:pPr>
            <w:r>
              <w:t xml:space="preserve">Prior to taking the </w:t>
            </w:r>
            <w:r w:rsidR="00D94618">
              <w:t>Phase 5</w:t>
            </w:r>
            <w:r w:rsidR="00D93177">
              <w:t>,</w:t>
            </w:r>
            <w:r w:rsidR="00D94618">
              <w:t xml:space="preserve"> Part </w:t>
            </w:r>
            <w:proofErr w:type="spellStart"/>
            <w:r w:rsidR="00C21277">
              <w:t>5a</w:t>
            </w:r>
            <w:proofErr w:type="spellEnd"/>
            <w:r w:rsidR="00D93177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 xml:space="preserve">, </w:t>
            </w:r>
            <w:r w:rsidR="00187D98">
              <w:t>you</w:t>
            </w:r>
            <w:r>
              <w:t xml:space="preserve"> mus</w:t>
            </w:r>
            <w:r w:rsidR="00316176">
              <w:t>t complete</w:t>
            </w:r>
            <w:r w:rsidR="005F3272">
              <w:t xml:space="preserve"> </w:t>
            </w:r>
            <w:r w:rsidR="0077484F">
              <w:t>PMC VSR Core Course Phase</w:t>
            </w:r>
            <w:r w:rsidR="00D93177">
              <w:t>s</w:t>
            </w:r>
            <w:r w:rsidR="0077484F">
              <w:t xml:space="preserve">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>Phase 5</w:t>
            </w:r>
            <w:r w:rsidR="00D93177">
              <w:t>,</w:t>
            </w:r>
            <w:r w:rsidR="003B72D0">
              <w:t xml:space="preserve"> </w:t>
            </w:r>
            <w:r w:rsidR="00C21277">
              <w:t>Parts 1–4</w:t>
            </w:r>
            <w:r w:rsidR="00430C43">
              <w:t>, and Part 5 lessons 1-</w:t>
            </w:r>
            <w:r w:rsidR="00696D67">
              <w:t>3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</w:t>
            </w:r>
            <w:r w:rsidR="00140902" w:rsidRPr="00D44D5F">
              <w:rPr>
                <w:b/>
              </w:rPr>
              <w:t>Master Course Map</w:t>
            </w:r>
            <w:r w:rsidR="00140902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</w:p>
        </w:tc>
      </w:tr>
      <w:tr w:rsidR="001262F7" w14:paraId="6B08C322" w14:textId="77777777" w:rsidTr="005D6535">
        <w:trPr>
          <w:cantSplit/>
          <w:jc w:val="center"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5D6535">
        <w:trPr>
          <w:cantSplit/>
          <w:jc w:val="center"/>
        </w:trPr>
        <w:tc>
          <w:tcPr>
            <w:tcW w:w="1908" w:type="dxa"/>
          </w:tcPr>
          <w:p w14:paraId="6B08C323" w14:textId="5BCE6272" w:rsidR="002D1DCE" w:rsidRPr="00560A07" w:rsidRDefault="009A0B2E" w:rsidP="005F3272">
            <w:pPr>
              <w:pStyle w:val="VBAILTBody"/>
              <w:rPr>
                <w:highlight w:val="yellow"/>
              </w:rPr>
            </w:pPr>
            <w:r>
              <w:t xml:space="preserve">References </w:t>
            </w:r>
          </w:p>
        </w:tc>
        <w:tc>
          <w:tcPr>
            <w:tcW w:w="7452" w:type="dxa"/>
          </w:tcPr>
          <w:p w14:paraId="527283E8" w14:textId="77777777" w:rsidR="009A2F91" w:rsidRDefault="009A2F91" w:rsidP="006F48ED">
            <w:pPr>
              <w:pStyle w:val="VBAILTbullet1"/>
              <w:spacing w:after="0"/>
            </w:pPr>
            <w:r w:rsidRPr="00D44D5F">
              <w:rPr>
                <w:b/>
              </w:rPr>
              <w:t>Master Course Map</w:t>
            </w:r>
            <w:r>
              <w:t xml:space="preserve"> learning aid </w:t>
            </w:r>
          </w:p>
          <w:p w14:paraId="2B1862BB" w14:textId="0E3B2C35" w:rsidR="006F48ED" w:rsidRDefault="006F48ED" w:rsidP="006F48ED">
            <w:pPr>
              <w:pStyle w:val="VBAILTbullet1"/>
              <w:spacing w:after="0"/>
            </w:pPr>
            <w:r w:rsidRPr="00D660D4">
              <w:t>Compensation and Pension Knowledge Management (CPKM)</w:t>
            </w:r>
          </w:p>
          <w:p w14:paraId="6B08C329" w14:textId="5C31F4BF" w:rsidR="00834450" w:rsidRPr="000237A3" w:rsidRDefault="00CD39F1" w:rsidP="00781E23">
            <w:pPr>
              <w:pStyle w:val="VBAILTbullet1"/>
            </w:pPr>
            <w:r>
              <w:t xml:space="preserve">See </w:t>
            </w:r>
            <w:r w:rsidR="00894FC7" w:rsidRPr="009A2F91">
              <w:rPr>
                <w:i/>
              </w:rPr>
              <w:t>Appendix A</w:t>
            </w:r>
            <w:r w:rsidR="00894FC7" w:rsidRPr="00894FC7">
              <w:t xml:space="preserve"> for references introduced in earlier lessons</w:t>
            </w:r>
          </w:p>
        </w:tc>
      </w:tr>
      <w:tr w:rsidR="00955506" w14:paraId="6B08C32E" w14:textId="77777777" w:rsidTr="005D6535">
        <w:trPr>
          <w:cantSplit/>
          <w:jc w:val="center"/>
        </w:trPr>
        <w:tc>
          <w:tcPr>
            <w:tcW w:w="1908" w:type="dxa"/>
          </w:tcPr>
          <w:p w14:paraId="6B08C32B" w14:textId="0B1E307B" w:rsidR="00955506" w:rsidRPr="00560A07" w:rsidRDefault="00955506" w:rsidP="001262F7">
            <w:pPr>
              <w:pStyle w:val="VBAILTBody"/>
              <w:rPr>
                <w:highlight w:val="yellow"/>
              </w:rPr>
            </w:pPr>
            <w:r w:rsidRPr="00883615">
              <w:t>Technical Competencies</w:t>
            </w:r>
            <w:r w:rsidR="00D93177">
              <w:t>:</w:t>
            </w:r>
          </w:p>
        </w:tc>
        <w:tc>
          <w:tcPr>
            <w:tcW w:w="7452" w:type="dxa"/>
          </w:tcPr>
          <w:p w14:paraId="6982C78F" w14:textId="64BC472C" w:rsidR="009F4046" w:rsidRDefault="009F4046" w:rsidP="009F4046">
            <w:pPr>
              <w:pStyle w:val="VBAILTbullet1"/>
            </w:pPr>
            <w:r w:rsidRPr="009F4046">
              <w:t>Program Benefits and Eligibility (PMC VSR)</w:t>
            </w:r>
          </w:p>
          <w:p w14:paraId="6372D38C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>Processing Claims (PMC VSR)</w:t>
            </w:r>
          </w:p>
          <w:p w14:paraId="472A8969" w14:textId="77777777" w:rsidR="00560A07" w:rsidRDefault="00560A07" w:rsidP="00560A07">
            <w:pPr>
              <w:pStyle w:val="VBAILTBody"/>
              <w:numPr>
                <w:ilvl w:val="0"/>
                <w:numId w:val="3"/>
              </w:numPr>
            </w:pPr>
            <w:r>
              <w:t xml:space="preserve">Special Monthly Pension (SMP) Processing </w:t>
            </w:r>
          </w:p>
          <w:p w14:paraId="0F7BFAA9" w14:textId="77777777" w:rsidR="00270145" w:rsidRDefault="00560A07" w:rsidP="00560A07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  <w:p w14:paraId="6B08C32D" w14:textId="58FB7968" w:rsidR="00430C43" w:rsidRDefault="00430C43" w:rsidP="00560A07">
            <w:pPr>
              <w:pStyle w:val="VBAILTbullet1"/>
              <w:numPr>
                <w:ilvl w:val="0"/>
                <w:numId w:val="3"/>
              </w:numPr>
            </w:pPr>
            <w:r>
              <w:t>Income Counting and Net Worth</w:t>
            </w:r>
          </w:p>
        </w:tc>
      </w:tr>
      <w:tr w:rsidR="001D1340" w14:paraId="6B08C331" w14:textId="77777777" w:rsidTr="005D6535">
        <w:trPr>
          <w:cantSplit/>
          <w:jc w:val="center"/>
        </w:trPr>
        <w:tc>
          <w:tcPr>
            <w:tcW w:w="1908" w:type="dxa"/>
          </w:tcPr>
          <w:p w14:paraId="6B08C32F" w14:textId="3BCDA1D4" w:rsidR="001D1340" w:rsidRDefault="00834450" w:rsidP="001D1340">
            <w:pPr>
              <w:pStyle w:val="VBAILTBody"/>
            </w:pPr>
            <w:r>
              <w:t>Knowledge Check</w:t>
            </w:r>
            <w:r w:rsidR="00D93177">
              <w:t>:</w:t>
            </w:r>
          </w:p>
        </w:tc>
        <w:tc>
          <w:tcPr>
            <w:tcW w:w="7452" w:type="dxa"/>
          </w:tcPr>
          <w:p w14:paraId="6B08C330" w14:textId="5E6D5D56" w:rsidR="001D1340" w:rsidRDefault="009F4046" w:rsidP="00F574C9">
            <w:pPr>
              <w:pStyle w:val="VBAILTBody"/>
            </w:pPr>
            <w:r>
              <w:t xml:space="preserve">Phase 5, Part </w:t>
            </w:r>
            <w:proofErr w:type="spellStart"/>
            <w:r>
              <w:t>5a</w:t>
            </w:r>
            <w:proofErr w:type="spellEnd"/>
            <w:r>
              <w:t xml:space="preserve">: Award Adjustments </w:t>
            </w:r>
            <w:r w:rsidR="00834450">
              <w:t>Knowledge Check</w:t>
            </w:r>
          </w:p>
        </w:tc>
      </w:tr>
      <w:tr w:rsidR="00267BA2" w14:paraId="6B08C341" w14:textId="77777777" w:rsidTr="005D6535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Pr="00883615" w:rsidRDefault="00267BA2" w:rsidP="001262F7">
            <w:pPr>
              <w:pStyle w:val="VBAILTBody"/>
            </w:pPr>
            <w:r w:rsidRPr="00883615">
              <w:t>What You Need:</w:t>
            </w:r>
          </w:p>
        </w:tc>
        <w:tc>
          <w:tcPr>
            <w:tcW w:w="7452" w:type="dxa"/>
          </w:tcPr>
          <w:p w14:paraId="707EF4E5" w14:textId="455D1F27" w:rsidR="008E2BA8" w:rsidRPr="008E2BA8" w:rsidRDefault="008E2BA8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>
              <w:t>Trainee Guide</w:t>
            </w:r>
          </w:p>
          <w:p w14:paraId="42D8B530" w14:textId="77777777" w:rsidR="009A2F91" w:rsidRDefault="009A2F91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D44D5F">
              <w:rPr>
                <w:b/>
              </w:rPr>
              <w:t>Master Course Map</w:t>
            </w:r>
            <w:r>
              <w:t xml:space="preserve"> learning aid </w:t>
            </w:r>
          </w:p>
          <w:p w14:paraId="07E82449" w14:textId="0EABC2D7" w:rsidR="00EC5C02" w:rsidRPr="00883615" w:rsidRDefault="00EC5C0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 xml:space="preserve">Access to CPKM </w:t>
            </w:r>
          </w:p>
          <w:p w14:paraId="6FC4B213" w14:textId="74D6C20F" w:rsidR="00EC5C02" w:rsidRPr="00883615" w:rsidRDefault="00EC5C02" w:rsidP="00EB2701">
            <w:pPr>
              <w:pStyle w:val="VBAILTbullet1"/>
              <w:numPr>
                <w:ilvl w:val="0"/>
                <w:numId w:val="9"/>
              </w:numPr>
              <w:spacing w:after="0"/>
            </w:pPr>
            <w:r w:rsidRPr="00883615">
              <w:t xml:space="preserve">Access to </w:t>
            </w:r>
            <w:r w:rsidR="009A2F91">
              <w:t>VSR Assistant for job aids</w:t>
            </w:r>
          </w:p>
          <w:p w14:paraId="07C30D03" w14:textId="282CD77E" w:rsidR="00C72704" w:rsidRPr="00883615" w:rsidRDefault="00DE0BDD" w:rsidP="00EB2701">
            <w:pPr>
              <w:pStyle w:val="VBAILTbullet1"/>
              <w:numPr>
                <w:ilvl w:val="0"/>
                <w:numId w:val="9"/>
              </w:numPr>
            </w:pPr>
            <w:r w:rsidRPr="00883615">
              <w:t>Appendix A</w:t>
            </w:r>
            <w:r w:rsidR="00C72704" w:rsidRPr="00883615">
              <w:t xml:space="preserve">: </w:t>
            </w:r>
            <w:r w:rsidR="0074531A">
              <w:t xml:space="preserve">Knowledge </w:t>
            </w:r>
            <w:r w:rsidR="001B5F38">
              <w:t xml:space="preserve">Check </w:t>
            </w:r>
            <w:r w:rsidR="0074531A">
              <w:t>Preparation References</w:t>
            </w:r>
          </w:p>
          <w:p w14:paraId="2C90E344" w14:textId="7019A631" w:rsidR="00C72704" w:rsidRDefault="00C72704" w:rsidP="00EB2701">
            <w:pPr>
              <w:pStyle w:val="VBAILTbullet1"/>
              <w:numPr>
                <w:ilvl w:val="0"/>
                <w:numId w:val="9"/>
              </w:numPr>
            </w:pPr>
            <w:r w:rsidRPr="00883615">
              <w:t xml:space="preserve">Appendix B: </w:t>
            </w:r>
            <w:r w:rsidR="009F4046" w:rsidRPr="00883615">
              <w:t>Example Claim</w:t>
            </w:r>
          </w:p>
          <w:p w14:paraId="24A2A21B" w14:textId="6FD4C459" w:rsidR="009F4046" w:rsidRPr="009F4046" w:rsidRDefault="009F4046" w:rsidP="009F4046">
            <w:pPr>
              <w:pStyle w:val="VBAILTbullet1"/>
            </w:pPr>
            <w:r>
              <w:t xml:space="preserve">Appendix C: </w:t>
            </w:r>
            <w:r w:rsidRPr="009F4046">
              <w:t>Phase 5, Part 5 Worksheet</w:t>
            </w:r>
          </w:p>
          <w:p w14:paraId="1D511FFF" w14:textId="7FE952CC" w:rsidR="007862D1" w:rsidRPr="00883615" w:rsidRDefault="009F4046" w:rsidP="00EB2701">
            <w:pPr>
              <w:pStyle w:val="VBAILTbullet1"/>
              <w:numPr>
                <w:ilvl w:val="0"/>
                <w:numId w:val="9"/>
              </w:numPr>
            </w:pPr>
            <w:r>
              <w:t>Appendix D:</w:t>
            </w:r>
            <w:r w:rsidR="007862D1" w:rsidRPr="00883615">
              <w:t xml:space="preserve"> Question and Answer Worksheet</w:t>
            </w:r>
          </w:p>
          <w:p w14:paraId="6B08C340" w14:textId="73F7CE7C" w:rsidR="00D7072C" w:rsidRPr="00883615" w:rsidRDefault="00D7072C" w:rsidP="00EB2701">
            <w:pPr>
              <w:pStyle w:val="VBAILTBullet2"/>
              <w:numPr>
                <w:ilvl w:val="0"/>
                <w:numId w:val="9"/>
              </w:numPr>
            </w:pPr>
            <w:r>
              <w:t xml:space="preserve">Calculator </w:t>
            </w:r>
          </w:p>
        </w:tc>
      </w:tr>
    </w:tbl>
    <w:p w14:paraId="6B08C343" w14:textId="2944B26E" w:rsidR="00AA4992" w:rsidRPr="004919B9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AA4992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00B8720C" w:rsidR="00AA4992" w:rsidRDefault="007B685A" w:rsidP="008508A5">
            <w:pPr>
              <w:pStyle w:val="VBAILTTableHeading1"/>
            </w:pPr>
            <w:r>
              <w:t>Notes</w:t>
            </w:r>
          </w:p>
        </w:tc>
      </w:tr>
      <w:tr w:rsidR="00AA4992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6BC31FFB" w:rsidR="003957E5" w:rsidRDefault="00305732" w:rsidP="001B5F38">
            <w:pPr>
              <w:pStyle w:val="VBAILTBodyStrong"/>
            </w:pPr>
            <w:r>
              <w:t xml:space="preserve">Phase 5, </w:t>
            </w:r>
            <w:r w:rsidR="00A9168A">
              <w:t xml:space="preserve">Part </w:t>
            </w:r>
            <w:proofErr w:type="spellStart"/>
            <w:r w:rsidR="00A9168A">
              <w:t>5a</w:t>
            </w:r>
            <w:proofErr w:type="spellEnd"/>
            <w:r w:rsidR="00D9317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158851F5" w:rsidR="00022102" w:rsidRDefault="00022102" w:rsidP="00614547">
            <w:pPr>
              <w:pStyle w:val="VBAILTBody"/>
            </w:pPr>
          </w:p>
        </w:tc>
      </w:tr>
      <w:tr w:rsidR="00AE0EFF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Default="00AE0EFF" w:rsidP="00AE0EFF">
            <w:pPr>
              <w:pStyle w:val="VBAILTBodyStrong"/>
            </w:pPr>
            <w:r>
              <w:t xml:space="preserve">You Are Here </w:t>
            </w:r>
          </w:p>
          <w:p w14:paraId="6B08C34E" w14:textId="3783AA80" w:rsidR="00AE0EFF" w:rsidRDefault="001C7BED" w:rsidP="008508A5">
            <w:pPr>
              <w:pStyle w:val="VBAILTBodyStrong"/>
            </w:pPr>
            <w:r w:rsidRPr="008D4066">
              <w:rPr>
                <w:noProof/>
              </w:rPr>
              <w:drawing>
                <wp:inline distT="0" distB="0" distL="0" distR="0" wp14:anchorId="5130C11F" wp14:editId="566DAD2F">
                  <wp:extent cx="2488139" cy="2108200"/>
                  <wp:effectExtent l="0" t="0" r="7620" b="6350"/>
                  <wp:docPr id="19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" title="PMC VSR Phase 5, Part 5—Award Adjustmen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 &#10;&#10;Phase 5 branches to the right column of the flow chart showing the parts of Phase 5 and highlighting Part 3. From the top, the parts are: Phase 5 Part 1, Determine Eligibility; Phase 5 Part 2, Process a Claim; Phase 5 Part 3, Promulgate Non-rating or rating Decision; Phase 5 Part 4, Prepare Decision Notice; and Phase 5 Part 5, Award Adjustment." title="PMC VSR Phase 5, Part 3—Promulgate Non-rating or rating Decision Diagram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39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53" w14:textId="04ABE98A" w:rsidR="00AE0EFF" w:rsidRPr="009F361E" w:rsidRDefault="00AE0EFF" w:rsidP="001C7BED">
            <w:pPr>
              <w:pStyle w:val="VBAILTBody"/>
              <w:rPr>
                <w:rStyle w:val="Strong"/>
              </w:rPr>
            </w:pPr>
          </w:p>
        </w:tc>
      </w:tr>
      <w:tr w:rsidR="00C6276F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Default="00CC23BD" w:rsidP="00AE0EFF">
            <w:pPr>
              <w:pStyle w:val="VBAILTBodyStrong"/>
            </w:pPr>
            <w:r w:rsidRPr="002F670B">
              <w:t>Why It Matters!</w:t>
            </w:r>
          </w:p>
          <w:p w14:paraId="101B47CB" w14:textId="6745572A" w:rsidR="002F670B" w:rsidRPr="002F670B" w:rsidRDefault="007F6169" w:rsidP="007944D5">
            <w:pPr>
              <w:pStyle w:val="VBAILTBody"/>
            </w:pPr>
            <w:r>
              <w:t>P</w:t>
            </w:r>
            <w:r w:rsidRPr="007F6169">
              <w:t>reparing an award adjustment involves reviewing any additional information provided by the claimant or third party, and deciding the reason for adjustment</w:t>
            </w:r>
            <w:r w:rsidR="005F3272">
              <w:t>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19DDE2A" w14:textId="449747DB" w:rsidR="009B363F" w:rsidRPr="001B1AA1" w:rsidRDefault="00777CD9" w:rsidP="00777CD9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456C46" w14:paraId="6B08C391" w14:textId="77777777" w:rsidTr="00B57B92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1D4A0B71" w:rsidR="00456C46" w:rsidRDefault="00834450" w:rsidP="00456C46">
            <w:pPr>
              <w:pStyle w:val="VBAILTBodyStrong"/>
            </w:pPr>
            <w:r>
              <w:t>Knowledge Check</w:t>
            </w:r>
          </w:p>
          <w:p w14:paraId="6B08C38D" w14:textId="6E4EA095" w:rsidR="00456C46" w:rsidRPr="00214913" w:rsidRDefault="005958AD" w:rsidP="00456C46">
            <w:pPr>
              <w:pStyle w:val="VBAILTBodyStrong"/>
              <w:rPr>
                <w:b w:val="0"/>
              </w:rPr>
            </w:pPr>
            <w:r w:rsidRPr="008D4066">
              <w:rPr>
                <w:b w:val="0"/>
                <w:noProof/>
              </w:rPr>
              <w:drawing>
                <wp:inline distT="0" distB="0" distL="0" distR="0" wp14:anchorId="59735B01" wp14:editId="1C87C633">
                  <wp:extent cx="2218414" cy="3609845"/>
                  <wp:effectExtent l="0" t="0" r="0" b="0"/>
                  <wp:docPr id="979" name="Content Placeholder 7" descr="Vertical flowchart showing the five parts of Phase 5 of the PMC VSR course with the corresponding posttests. Phase 5 Part 5a Knowledge Check is highlighted. From the top, the parts are: Phase 5 Part 1, Determine Eligibility; Phase 5 Part 2, Process a Claim; Phase 5 Part 3, Promulgate Non-Rating or Rating Decision; Phase 5 Part 4, Prepare Decision Notice and Phase 5, Part 5, Award Adjustments is divided into two knowledge checks. Phase 5 part 5a Knowledge check and Phase 5 part 5b Knowledge Check." title="Phase 5 Part 5a Knowledge Chec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tent Placeholder 7" descr="Vertical flowchart showing the five parts of Phase 5 of the PMC VSR course with the corresponding posttests. Phase 5 Part 3 Knowledge Check is highlighted. From the top, the parts are: Phase 5 Part 1, Determine Eligibility; Phase 5 Part 2, Process a Claim; Phase 5 Part 3, Promulgate Non-Rating or Rating Decision; Phase 5 Part 4, Prepare Decision Notice and Phase 5, Part 5, Award Adjustments." title="Phase 5 Part 3 Knowledge Check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14" cy="360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90" w14:textId="27256AF8" w:rsidR="00674527" w:rsidRPr="00B362F0" w:rsidRDefault="00674527" w:rsidP="000B7C3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47593210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2A0A862" w14:textId="77777777" w:rsidR="005B4EB7" w:rsidRDefault="005B4EB7" w:rsidP="00B712CD">
            <w:pPr>
              <w:pStyle w:val="VBAILTBodyStrong"/>
              <w:rPr>
                <w:rStyle w:val="Strong"/>
                <w:b/>
              </w:rPr>
            </w:pPr>
            <w:r>
              <w:t>Knowledge Check Preparation Overview</w:t>
            </w:r>
          </w:p>
          <w:p w14:paraId="78689BC7" w14:textId="77777777" w:rsidR="005B4EB7" w:rsidRDefault="005B4EB7" w:rsidP="00B712C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This preparation will consist of the following:</w:t>
            </w:r>
          </w:p>
          <w:p w14:paraId="602D1BE0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3D934082" w14:textId="77777777" w:rsidR="005B4EB7" w:rsidRPr="001C43F5" w:rsidRDefault="005B4EB7" w:rsidP="00B712CD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Partner activities</w:t>
            </w:r>
          </w:p>
          <w:p w14:paraId="551E96CA" w14:textId="77777777" w:rsidR="005B4EB7" w:rsidRPr="009E6526" w:rsidRDefault="005B4EB7" w:rsidP="00B712CD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Question/answer forum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919A198" w14:textId="508E3885" w:rsidR="005B4EB7" w:rsidRPr="009E6526" w:rsidRDefault="005B4EB7" w:rsidP="004220D8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5B4EB7" w14:paraId="07CDA25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E27497" w14:textId="2900BF78" w:rsidR="005B4EB7" w:rsidRPr="005B1AEC" w:rsidRDefault="005B4EB7" w:rsidP="00B712CD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Phase 5</w:t>
            </w:r>
            <w:r w:rsidR="007C3DB3">
              <w:rPr>
                <w:rStyle w:val="Strong"/>
                <w:b/>
                <w:bCs w:val="0"/>
              </w:rPr>
              <w:t>,</w:t>
            </w:r>
            <w:r>
              <w:rPr>
                <w:rStyle w:val="Strong"/>
                <w:b/>
                <w:bCs w:val="0"/>
              </w:rPr>
              <w:t xml:space="preserve"> Part </w:t>
            </w:r>
            <w:proofErr w:type="spellStart"/>
            <w:r w:rsidR="005958AD">
              <w:rPr>
                <w:rStyle w:val="Strong"/>
                <w:b/>
                <w:bCs w:val="0"/>
              </w:rPr>
              <w:t>5</w:t>
            </w:r>
            <w:r w:rsidR="007C3DB3">
              <w:rPr>
                <w:rStyle w:val="Strong"/>
                <w:b/>
                <w:bCs w:val="0"/>
              </w:rPr>
              <w:t>a</w:t>
            </w:r>
            <w:proofErr w:type="spellEnd"/>
            <w:r>
              <w:rPr>
                <w:rStyle w:val="Strong"/>
                <w:b/>
                <w:bCs w:val="0"/>
              </w:rPr>
              <w:t xml:space="preserve"> </w:t>
            </w:r>
            <w:r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564E8177" w14:textId="53B09935" w:rsidR="005B4EB7" w:rsidRPr="004E20D4" w:rsidRDefault="00EE2538" w:rsidP="001F5BEA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  <w:i/>
              </w:rPr>
            </w:pPr>
            <w:r w:rsidRPr="00EE2538">
              <w:rPr>
                <w:i/>
                <w:noProof/>
              </w:rPr>
              <w:drawing>
                <wp:inline distT="0" distB="0" distL="0" distR="0" wp14:anchorId="38F27479" wp14:editId="486B2737">
                  <wp:extent cx="2545715" cy="1682115"/>
                  <wp:effectExtent l="0" t="0" r="6985" b="0"/>
                  <wp:docPr id="8" name="Content Placeholder 7" descr="List of lessons in Phase 5 Part 5a&#10;Determine Qualifying Expense Adjustments,&#10;Determine Amended Income Adjustments, and &#10;Determine Net Worth Adjustments&#10;" title="Phase 5 Part 5a lesson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 descr="List of lessons in Phase 5 Part 5a&#10;Determine Qualifying Expense Adjustments,&#10;Determine Amended Income Adjustments, and &#10;Determine Net Worth Adjustments&#10;" title="Phase 5 Part 5a lessons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A77FA65" w14:textId="47E6A577" w:rsidR="005B4EB7" w:rsidRPr="001F5BEA" w:rsidRDefault="005B4EB7" w:rsidP="007B685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6A8F5CC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0FA4B6" w14:textId="2E639FC1" w:rsidR="006F48ED" w:rsidRDefault="006F48ED" w:rsidP="006F48ED">
            <w:pPr>
              <w:pStyle w:val="VBAILTBodyStrong"/>
            </w:pPr>
            <w:r w:rsidRPr="006F48ED">
              <w:t>Determine Qualifying Expense Adjustments</w:t>
            </w:r>
          </w:p>
          <w:p w14:paraId="02CF4E51" w14:textId="2A8562B7" w:rsidR="00D16CF0" w:rsidRPr="00DA2E46" w:rsidRDefault="007B685A" w:rsidP="00534266">
            <w:pPr>
              <w:pStyle w:val="VBAILTBody"/>
              <w:rPr>
                <w:rStyle w:val="Strong"/>
                <w:b w:val="0"/>
                <w:bCs w:val="0"/>
              </w:rPr>
            </w:pPr>
            <w:r w:rsidRPr="007B685A">
              <w:rPr>
                <w:noProof/>
              </w:rPr>
              <w:drawing>
                <wp:inline distT="0" distB="0" distL="0" distR="0" wp14:anchorId="5A28BDB4" wp14:editId="68027735">
                  <wp:extent cx="2545715" cy="2294255"/>
                  <wp:effectExtent l="0" t="0" r="6985" b="0"/>
                  <wp:docPr id="7" name="Content Placeholder 6" descr="Qualifying Expense Adjustments with the following: Enter qualifying expense, develop for the expense and deny the expense. " title="Qualifying Expense Adjustmen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Qualifying Expense Adjustments with the following: Enter qualifying expense, develop for the expense and deny the expense. " title="Qualifying Expense Adjustments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2207BB" w14:textId="4B0FC21D" w:rsidR="00DB051B" w:rsidRPr="00947452" w:rsidRDefault="00DB051B" w:rsidP="00DB051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5B4EB7" w14:paraId="6D018A52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8E677CA" w14:textId="5CD2C918" w:rsidR="005B4EB7" w:rsidRPr="00491436" w:rsidRDefault="00F44BD9" w:rsidP="00B712CD">
            <w:pPr>
              <w:pStyle w:val="VBAILTBodyStrong"/>
              <w:rPr>
                <w:rStyle w:val="Strong"/>
                <w:bCs w:val="0"/>
              </w:rPr>
            </w:pPr>
            <w:r w:rsidRPr="00F44BD9">
              <w:t>Determine Qualifying Expense Adjustments</w:t>
            </w:r>
            <w:r w:rsidR="005B4EB7">
              <w:t xml:space="preserve"> Objectives</w:t>
            </w:r>
          </w:p>
          <w:p w14:paraId="2C15B5F1" w14:textId="77777777" w:rsidR="00534266" w:rsidRDefault="00534266" w:rsidP="00F77043">
            <w:pPr>
              <w:pStyle w:val="VBAILTBody"/>
            </w:pPr>
            <w:r>
              <w:t>Determine qualifying expense adjustments.</w:t>
            </w:r>
          </w:p>
          <w:p w14:paraId="57F1B35E" w14:textId="77777777" w:rsidR="00534266" w:rsidRDefault="00534266" w:rsidP="00F77043">
            <w:pPr>
              <w:pStyle w:val="VBAILTbullet1"/>
            </w:pPr>
            <w:r>
              <w:t>Determine whether medical expense qualifies for an award adjustment.</w:t>
            </w:r>
          </w:p>
          <w:p w14:paraId="6E7B0EAA" w14:textId="77777777" w:rsidR="00534266" w:rsidRDefault="00534266" w:rsidP="00F77043">
            <w:pPr>
              <w:pStyle w:val="VBAILTbullet1"/>
            </w:pPr>
            <w:r>
              <w:t>Determine whether final expense qualifies for an award adjustment.</w:t>
            </w:r>
          </w:p>
          <w:p w14:paraId="4C6C56CE" w14:textId="01EE70B8" w:rsidR="005B4EB7" w:rsidRPr="00881A47" w:rsidRDefault="00534266" w:rsidP="00F77043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Determine whether educational expense qualifies for an award adjustment.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14E1ED4" w14:textId="3A4E9799" w:rsidR="005B4EB7" w:rsidRPr="009F361E" w:rsidRDefault="005B4EB7" w:rsidP="00E36D9C">
            <w:pPr>
              <w:pStyle w:val="VBAILTBody"/>
              <w:rPr>
                <w:rStyle w:val="Strong"/>
              </w:rPr>
            </w:pPr>
          </w:p>
        </w:tc>
      </w:tr>
      <w:tr w:rsidR="005B4EB7" w14:paraId="47732E2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F246DC9" w14:textId="1182FA74" w:rsidR="005B4EB7" w:rsidRDefault="007D642D" w:rsidP="00B712CD">
            <w:pPr>
              <w:pStyle w:val="VBAILTBodyStrong"/>
            </w:pPr>
            <w:r w:rsidRPr="007D642D">
              <w:t>Qualifying Expense Adjustments</w:t>
            </w:r>
            <w:r w:rsidR="005B4EB7">
              <w:t xml:space="preserve"> </w:t>
            </w:r>
            <w:r w:rsidR="005B4EB7" w:rsidRPr="00785A60">
              <w:t>Question Writing Opportunity</w:t>
            </w:r>
          </w:p>
          <w:p w14:paraId="6394BDEA" w14:textId="77777777" w:rsidR="005B4EB7" w:rsidRDefault="005B4EB7" w:rsidP="00B712CD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C46AAA0" w14:textId="5192C5DD" w:rsidR="005B4EB7" w:rsidRDefault="005B4EB7" w:rsidP="00D55A14">
            <w:pPr>
              <w:pStyle w:val="VBAILTBullet2"/>
            </w:pPr>
            <w:r>
              <w:t xml:space="preserve">Use </w:t>
            </w:r>
            <w:r w:rsidRPr="005B4EB7">
              <w:t xml:space="preserve">Appendix </w:t>
            </w:r>
            <w:r w:rsidR="00947452">
              <w:t>D</w:t>
            </w:r>
            <w:r w:rsidRPr="005B4EB7">
              <w:t>: Question and</w:t>
            </w:r>
            <w:r>
              <w:t xml:space="preserve"> Answer Worksheet to write any questions regarding </w:t>
            </w:r>
            <w:r w:rsidR="00D55A14" w:rsidRPr="00D55A14">
              <w:t>qualifying expense adjustments</w:t>
            </w:r>
            <w:r w:rsidR="005F3272">
              <w:t>.</w:t>
            </w:r>
          </w:p>
          <w:p w14:paraId="1E0C9631" w14:textId="721A4466" w:rsidR="005B4EB7" w:rsidRDefault="005B4EB7" w:rsidP="00B712CD">
            <w:pPr>
              <w:pStyle w:val="VBAILTBullet2"/>
            </w:pPr>
            <w:r>
              <w:t>Questions will be answered at the end of this preparation</w:t>
            </w:r>
            <w:r w:rsidR="005F3272">
              <w:t>.</w:t>
            </w:r>
          </w:p>
          <w:p w14:paraId="63EA9603" w14:textId="77777777" w:rsidR="005B4EB7" w:rsidRPr="00F064F0" w:rsidRDefault="005B4EB7" w:rsidP="00B712CD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EEBA70" w14:textId="15F0D62B" w:rsidR="005B4EB7" w:rsidRPr="000E5DFD" w:rsidRDefault="005B4EB7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71F4B684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823857" w14:textId="0F143183" w:rsidR="00D96131" w:rsidRDefault="00DB051B" w:rsidP="00B712CD">
            <w:pPr>
              <w:pStyle w:val="VBAILTBodyStrong"/>
            </w:pPr>
            <w:r>
              <w:t>Determine Amended Income Adjustments</w:t>
            </w:r>
          </w:p>
          <w:p w14:paraId="35EB9329" w14:textId="1E5D2A05" w:rsidR="005B4EB7" w:rsidRPr="00F064F0" w:rsidRDefault="007B685A" w:rsidP="00C95443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7B685A">
              <w:rPr>
                <w:noProof/>
              </w:rPr>
              <w:drawing>
                <wp:inline distT="0" distB="0" distL="0" distR="0" wp14:anchorId="7721B43D" wp14:editId="630C91BA">
                  <wp:extent cx="2545715" cy="1688465"/>
                  <wp:effectExtent l="0" t="0" r="6985" b="6985"/>
                  <wp:docPr id="14" name="Content Placeholder 6" descr="Amended Income Adjustments:&#10;Develop for additional information if needed, Enter the amended countable income into VBMS-A, Calculate IVAP using the amended income, Process the award adjustment&#10;&#10;" title="Amended Income Adjustments 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Amended Income Adjustments:&#10;Develop for additional information if needed, Enter the amended countable income into VBMS-A, Calculate IVAP using the amended income, Process the award adjustment&#10;&#10;" title="Amended Income Adjustments 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1A4C7A" w14:textId="582523E5" w:rsidR="00503061" w:rsidRPr="0022410A" w:rsidRDefault="00503061" w:rsidP="00B23CA4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5B4EB7" w14:paraId="52982D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40AC9C2" w14:textId="2DFE128A" w:rsidR="005B4EB7" w:rsidRPr="00DE73C2" w:rsidRDefault="00DB051B" w:rsidP="00B712CD">
            <w:pPr>
              <w:pStyle w:val="VBAILTBodyStrong"/>
            </w:pPr>
            <w:r>
              <w:t>Determine Amended Income Adjustments</w:t>
            </w:r>
            <w:r w:rsidR="005B4EB7" w:rsidRPr="00DE73C2">
              <w:t xml:space="preserve"> Objectives </w:t>
            </w:r>
          </w:p>
          <w:p w14:paraId="19DA2436" w14:textId="77777777" w:rsidR="00DB051B" w:rsidRDefault="00DB051B" w:rsidP="00F77043">
            <w:pPr>
              <w:pStyle w:val="VBAILTBody"/>
            </w:pPr>
            <w:r>
              <w:t xml:space="preserve">Determine award adjustment based on amended income. </w:t>
            </w:r>
          </w:p>
          <w:p w14:paraId="60ABE95B" w14:textId="77777777" w:rsidR="00DB051B" w:rsidRDefault="00DB051B" w:rsidP="00F77043">
            <w:pPr>
              <w:pStyle w:val="VBAILTbullet1"/>
            </w:pPr>
            <w:r>
              <w:t>Determine whether income type is countable.</w:t>
            </w:r>
          </w:p>
          <w:p w14:paraId="3E243BAC" w14:textId="77777777" w:rsidR="00DB051B" w:rsidRDefault="00DB051B" w:rsidP="00F77043">
            <w:pPr>
              <w:pStyle w:val="VBAILTbullet1"/>
            </w:pPr>
            <w:r>
              <w:t>Determine whether to develop for amended income information.</w:t>
            </w:r>
          </w:p>
          <w:p w14:paraId="0F1219BE" w14:textId="77777777" w:rsidR="00DB051B" w:rsidRDefault="00DB051B" w:rsidP="00F77043">
            <w:pPr>
              <w:pStyle w:val="VBAILTbullet1"/>
            </w:pPr>
            <w:r>
              <w:t>Determine whether amended income information is received within the time limit.</w:t>
            </w:r>
          </w:p>
          <w:p w14:paraId="76F3879C" w14:textId="447242D9" w:rsidR="005B4EB7" w:rsidRPr="00DE73C2" w:rsidRDefault="00DB051B" w:rsidP="00F77043">
            <w:pPr>
              <w:pStyle w:val="VBAILTbullet1"/>
            </w:pPr>
            <w:r>
              <w:t>Determine whether amended income qualifies for an award adjustment.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36B9DFA" w14:textId="2FB21212" w:rsidR="005B4EB7" w:rsidRPr="000E5DFD" w:rsidRDefault="005B4EB7" w:rsidP="00E36D9C">
            <w:pPr>
              <w:pStyle w:val="VBAILTBody"/>
              <w:rPr>
                <w:rStyle w:val="Strong"/>
              </w:rPr>
            </w:pPr>
          </w:p>
        </w:tc>
      </w:tr>
      <w:tr w:rsidR="005B4EB7" w14:paraId="26E4D7A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1D25FB" w14:textId="7AA33584" w:rsidR="005B4EB7" w:rsidRPr="00DE73C2" w:rsidRDefault="00DB051B" w:rsidP="00B712CD">
            <w:pPr>
              <w:pStyle w:val="VBAILTBodyStrong"/>
            </w:pPr>
            <w:r>
              <w:t>Amended Income Adjustments</w:t>
            </w:r>
            <w:r w:rsidR="005B4EB7" w:rsidRPr="00DE73C2">
              <w:t xml:space="preserve"> Question Writing Opportunity</w:t>
            </w:r>
          </w:p>
          <w:p w14:paraId="0046E9C0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</w:pPr>
            <w:r w:rsidRPr="00DE73C2">
              <w:t>Instructions:</w:t>
            </w:r>
          </w:p>
          <w:p w14:paraId="3B821CE1" w14:textId="519F2F10" w:rsidR="005B4EB7" w:rsidRPr="00DE73C2" w:rsidRDefault="005B4EB7" w:rsidP="00B712CD">
            <w:pPr>
              <w:pStyle w:val="VBAILTBullet2"/>
            </w:pPr>
            <w:r w:rsidRPr="00DE73C2">
              <w:t xml:space="preserve">Use </w:t>
            </w:r>
            <w:r w:rsidR="009F4046">
              <w:t>Appendix D:</w:t>
            </w:r>
            <w:r w:rsidRPr="00DE73C2">
              <w:t xml:space="preserve"> Question and Answer Worksheet to write any questions regarding </w:t>
            </w:r>
            <w:r w:rsidR="000448A1">
              <w:t>processing an award action</w:t>
            </w:r>
            <w:r w:rsidR="00783BEB">
              <w:t>.</w:t>
            </w:r>
          </w:p>
          <w:p w14:paraId="099AAB13" w14:textId="15EEC03D" w:rsidR="005B4EB7" w:rsidRPr="00DE73C2" w:rsidRDefault="005B4EB7" w:rsidP="00B712CD">
            <w:pPr>
              <w:pStyle w:val="VBAILTBullet2"/>
            </w:pPr>
            <w:r w:rsidRPr="00DE73C2">
              <w:t>Questions will be answered at the end of this preparation</w:t>
            </w:r>
            <w:r w:rsidR="00783BEB">
              <w:t>.</w:t>
            </w:r>
          </w:p>
          <w:p w14:paraId="0DA1B6C5" w14:textId="77777777" w:rsidR="005B4EB7" w:rsidRPr="00DE73C2" w:rsidRDefault="005B4EB7" w:rsidP="00B712CD">
            <w:pPr>
              <w:pStyle w:val="VBAILTbullet1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DE73C2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592AC32" w14:textId="45E37B85" w:rsidR="005B4EB7" w:rsidRPr="000E5DFD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  <w:b w:val="0"/>
              </w:rPr>
              <w:t xml:space="preserve"> </w:t>
            </w:r>
          </w:p>
        </w:tc>
      </w:tr>
      <w:tr w:rsidR="0095775B" w14:paraId="1721D57F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F039561" w14:textId="77777777" w:rsidR="0095775B" w:rsidRDefault="00ED15E0" w:rsidP="00ED15E0">
            <w:pPr>
              <w:pStyle w:val="VBAILTBodyStrong"/>
            </w:pPr>
            <w:r w:rsidRPr="00ED15E0">
              <w:t xml:space="preserve">Determine Net Worth Adjustments </w:t>
            </w:r>
          </w:p>
          <w:p w14:paraId="2FE50336" w14:textId="77777777" w:rsidR="00256914" w:rsidRDefault="00256914" w:rsidP="00256914">
            <w:pPr>
              <w:pStyle w:val="VBAILTbullet1"/>
              <w:spacing w:after="0"/>
            </w:pPr>
            <w:r>
              <w:t xml:space="preserve">Once the amended net worth has been calculated, then the </w:t>
            </w:r>
            <w:r w:rsidRPr="005C1380">
              <w:t>a</w:t>
            </w:r>
            <w:r>
              <w:t>ward adjustment for net worth</w:t>
            </w:r>
            <w:r w:rsidRPr="005C1380">
              <w:t xml:space="preserve"> may result in</w:t>
            </w:r>
            <w:r>
              <w:t xml:space="preserve"> one of the following two outcomes: </w:t>
            </w:r>
          </w:p>
          <w:p w14:paraId="77DB84AE" w14:textId="77777777" w:rsidR="00586301" w:rsidRPr="00586301" w:rsidRDefault="00586301" w:rsidP="00586301">
            <w:pPr>
              <w:pStyle w:val="VBAILTBullet2"/>
              <w:rPr>
                <w:rStyle w:val="Strong"/>
                <w:b w:val="0"/>
              </w:rPr>
            </w:pPr>
            <w:r w:rsidRPr="00586301">
              <w:rPr>
                <w:rStyle w:val="Strong"/>
                <w:b w:val="0"/>
              </w:rPr>
              <w:t>Update the VBMS-A with amended net worth amount</w:t>
            </w:r>
          </w:p>
          <w:p w14:paraId="7683B952" w14:textId="77777777" w:rsidR="00256914" w:rsidRPr="00321827" w:rsidRDefault="00256914" w:rsidP="00256914">
            <w:pPr>
              <w:pStyle w:val="VBAILTBullet2"/>
              <w:rPr>
                <w:rStyle w:val="Strong"/>
              </w:rPr>
            </w:pPr>
            <w:r>
              <w:rPr>
                <w:rStyle w:val="Strong"/>
                <w:b w:val="0"/>
              </w:rPr>
              <w:t>A termination of benefits</w:t>
            </w:r>
          </w:p>
          <w:p w14:paraId="35D1F975" w14:textId="2D6B1B5E" w:rsidR="006E2B55" w:rsidRPr="00661CF0" w:rsidRDefault="00256914" w:rsidP="007B685A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>An administrative decision for net worth determines if the net worth is a bar to benefits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C65595B" w14:textId="6D05C112" w:rsidR="0095775B" w:rsidRPr="00FF0911" w:rsidRDefault="00FF0911" w:rsidP="00B239E2">
            <w:pPr>
              <w:pStyle w:val="VBAILTBody"/>
              <w:rPr>
                <w:rStyle w:val="Strong"/>
                <w:b w:val="0"/>
                <w:bCs w:val="0"/>
              </w:rPr>
            </w:pPr>
            <w:r w:rsidRPr="00FF0911"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95775B" w14:paraId="135AD7CE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137959C" w14:textId="38503818" w:rsidR="0095775B" w:rsidRPr="00DE73C2" w:rsidRDefault="0095775B" w:rsidP="0095775B">
            <w:pPr>
              <w:pStyle w:val="VBAILTBodyStrong"/>
            </w:pPr>
            <w:r>
              <w:t>Determine Net Worth Adjustments</w:t>
            </w:r>
            <w:r w:rsidRPr="00DE73C2">
              <w:t xml:space="preserve"> Objectives </w:t>
            </w:r>
          </w:p>
          <w:p w14:paraId="1D5B1AF1" w14:textId="77777777" w:rsidR="00ED15E0" w:rsidRDefault="00ED15E0" w:rsidP="00F77043">
            <w:pPr>
              <w:pStyle w:val="VBAILTbullet1"/>
              <w:numPr>
                <w:ilvl w:val="0"/>
                <w:numId w:val="0"/>
              </w:numPr>
              <w:spacing w:after="0"/>
            </w:pPr>
            <w:r w:rsidRPr="00776A34">
              <w:t xml:space="preserve">Determine </w:t>
            </w:r>
            <w:r>
              <w:t>award adjustment based on changes to net worth.</w:t>
            </w:r>
          </w:p>
          <w:p w14:paraId="4B255BFA" w14:textId="77777777" w:rsidR="00ED15E0" w:rsidRDefault="00ED15E0" w:rsidP="00F77043">
            <w:pPr>
              <w:pStyle w:val="VBAILTbullet1"/>
            </w:pPr>
            <w:r w:rsidRPr="00596858">
              <w:t>Determine whether amended net worth is an inclusion or an exclusion.</w:t>
            </w:r>
          </w:p>
          <w:p w14:paraId="73466A26" w14:textId="77777777" w:rsidR="00ED15E0" w:rsidRDefault="00ED15E0" w:rsidP="00F77043">
            <w:pPr>
              <w:pStyle w:val="VBAILTbullet1"/>
            </w:pPr>
            <w:r w:rsidRPr="00CA3755">
              <w:t>Determine whether a net worth determination is required.</w:t>
            </w:r>
          </w:p>
          <w:p w14:paraId="6F6315F5" w14:textId="77777777" w:rsidR="00ED15E0" w:rsidRDefault="00ED15E0" w:rsidP="00F77043">
            <w:pPr>
              <w:pStyle w:val="VBAILTbullet1"/>
            </w:pPr>
            <w:r w:rsidRPr="00845198">
              <w:t xml:space="preserve">Determine whether to develop for </w:t>
            </w:r>
            <w:r>
              <w:t>additional net worth information.</w:t>
            </w:r>
          </w:p>
          <w:p w14:paraId="23B9093D" w14:textId="474E5668" w:rsidR="0095775B" w:rsidRDefault="00ED15E0" w:rsidP="00F77043">
            <w:pPr>
              <w:pStyle w:val="VBAILTbullet1"/>
              <w:rPr>
                <w:rStyle w:val="Strong"/>
              </w:rPr>
            </w:pPr>
            <w:r w:rsidRPr="005A58F3">
              <w:t>Determine whether net worth is a bar to benefits.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CA43A3C" w14:textId="13A92923" w:rsidR="0095775B" w:rsidRDefault="0095775B" w:rsidP="00A9168A">
            <w:pPr>
              <w:pStyle w:val="VBAILTBody"/>
              <w:rPr>
                <w:rStyle w:val="Strong"/>
              </w:rPr>
            </w:pPr>
          </w:p>
        </w:tc>
      </w:tr>
      <w:tr w:rsidR="0095775B" w14:paraId="226BE128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107AAA" w14:textId="7AAF6801" w:rsidR="0095775B" w:rsidRPr="00DE73C2" w:rsidRDefault="0095775B" w:rsidP="0095775B">
            <w:pPr>
              <w:pStyle w:val="VBAILTBodyStrong"/>
            </w:pPr>
            <w:r>
              <w:t>Net Worth Adjustments</w:t>
            </w:r>
            <w:r w:rsidRPr="00DE73C2">
              <w:t xml:space="preserve"> Question Writing Opportunity</w:t>
            </w:r>
          </w:p>
          <w:p w14:paraId="773E9F73" w14:textId="77777777" w:rsidR="0095775B" w:rsidRPr="00DE73C2" w:rsidRDefault="0095775B" w:rsidP="0095775B">
            <w:pPr>
              <w:pStyle w:val="VBAILTbullet1"/>
              <w:numPr>
                <w:ilvl w:val="0"/>
                <w:numId w:val="6"/>
              </w:numPr>
            </w:pPr>
            <w:r w:rsidRPr="00DE73C2">
              <w:t>Instructions:</w:t>
            </w:r>
          </w:p>
          <w:p w14:paraId="3877FADC" w14:textId="3808F6E1" w:rsidR="0095775B" w:rsidRPr="00DE73C2" w:rsidRDefault="0095775B" w:rsidP="0095775B">
            <w:pPr>
              <w:pStyle w:val="VBAILTBullet2"/>
            </w:pPr>
            <w:r w:rsidRPr="00DE73C2">
              <w:t xml:space="preserve">Use </w:t>
            </w:r>
            <w:r>
              <w:t>Appendix D:</w:t>
            </w:r>
            <w:r w:rsidRPr="00DE73C2">
              <w:t xml:space="preserve"> Question and Answer Worksheet to write any questions regarding </w:t>
            </w:r>
            <w:r w:rsidR="00ED15E0">
              <w:t>net worth adjustments</w:t>
            </w:r>
            <w:r>
              <w:t>.</w:t>
            </w:r>
          </w:p>
          <w:p w14:paraId="6DDF9BF7" w14:textId="77777777" w:rsidR="0095775B" w:rsidRPr="00DE73C2" w:rsidRDefault="0095775B" w:rsidP="0095775B">
            <w:pPr>
              <w:pStyle w:val="VBAILTBullet2"/>
            </w:pPr>
            <w:r w:rsidRPr="00DE73C2">
              <w:t>Questions will be answered at the end of this preparation</w:t>
            </w:r>
            <w:r>
              <w:t>.</w:t>
            </w:r>
          </w:p>
          <w:p w14:paraId="6CD1C12C" w14:textId="366F4EF6" w:rsidR="0095775B" w:rsidRDefault="0095775B" w:rsidP="007F6169">
            <w:pPr>
              <w:pStyle w:val="VBAILTbullet1"/>
              <w:rPr>
                <w:rStyle w:val="Strong"/>
              </w:rPr>
            </w:pPr>
            <w:r w:rsidRPr="00DE73C2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45ECA467" w14:textId="510BF418" w:rsidR="0095775B" w:rsidRDefault="0095775B" w:rsidP="0095775B">
            <w:pPr>
              <w:pStyle w:val="VBAILTBody"/>
              <w:rPr>
                <w:rStyle w:val="Strong"/>
              </w:rPr>
            </w:pPr>
          </w:p>
        </w:tc>
      </w:tr>
      <w:tr w:rsidR="00E30126" w14:paraId="5AA0577D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6B4065" w14:textId="12FD7B5A" w:rsidR="00E30126" w:rsidRPr="0033197F" w:rsidRDefault="00E30126" w:rsidP="00E30126">
            <w:pPr>
              <w:pStyle w:val="VBAILTBodyStrong"/>
            </w:pPr>
            <w:r>
              <w:t>Partner Activity—Award Adjustment</w:t>
            </w:r>
          </w:p>
          <w:p w14:paraId="5A920C6D" w14:textId="77777777" w:rsidR="00E30126" w:rsidRPr="0033197F" w:rsidRDefault="00E30126" w:rsidP="00E30126">
            <w:pPr>
              <w:pStyle w:val="VBAILTbullet1"/>
            </w:pPr>
            <w:r w:rsidRPr="0033197F">
              <w:t xml:space="preserve">Instructions: </w:t>
            </w:r>
          </w:p>
          <w:p w14:paraId="2FF3921B" w14:textId="68136E16" w:rsidR="00E30126" w:rsidRPr="0033197F" w:rsidRDefault="00E426BB" w:rsidP="00E30126">
            <w:pPr>
              <w:pStyle w:val="VBAILTBullet2"/>
            </w:pPr>
            <w:r>
              <w:t>Find a partner</w:t>
            </w:r>
            <w:r w:rsidR="00E30126">
              <w:t>.</w:t>
            </w:r>
            <w:r w:rsidR="00E30126" w:rsidRPr="0033197F">
              <w:t xml:space="preserve"> </w:t>
            </w:r>
          </w:p>
          <w:p w14:paraId="2E38EDDA" w14:textId="2B098FF3" w:rsidR="00E30126" w:rsidRPr="0033197F" w:rsidRDefault="00E30126" w:rsidP="00E30126">
            <w:pPr>
              <w:pStyle w:val="VBAILTBullet2"/>
            </w:pPr>
            <w:r w:rsidRPr="0033197F">
              <w:t xml:space="preserve">Review example claim in Appendix </w:t>
            </w:r>
            <w:r>
              <w:t>B</w:t>
            </w:r>
            <w:r w:rsidRPr="0033197F">
              <w:t>: Example Claim</w:t>
            </w:r>
            <w:r>
              <w:t xml:space="preserve">. </w:t>
            </w:r>
          </w:p>
          <w:p w14:paraId="59098814" w14:textId="68C187BA" w:rsidR="00E30126" w:rsidRDefault="00A1402A" w:rsidP="00E30126">
            <w:pPr>
              <w:pStyle w:val="VBAILTBullet2"/>
            </w:pPr>
            <w:r>
              <w:t>Answer the questions listed in</w:t>
            </w:r>
            <w:r w:rsidR="00E30126" w:rsidRPr="0033197F">
              <w:t xml:space="preserve"> Appendix </w:t>
            </w:r>
            <w:r w:rsidR="00211903">
              <w:t>C</w:t>
            </w:r>
            <w:r w:rsidR="00E30126" w:rsidRPr="0033197F">
              <w:t>:</w:t>
            </w:r>
            <w:r w:rsidR="00E30126">
              <w:t xml:space="preserve"> </w:t>
            </w:r>
            <w:r w:rsidR="00E30126" w:rsidRPr="0033197F">
              <w:t>Phase 5</w:t>
            </w:r>
            <w:r w:rsidR="00E30126">
              <w:t>,</w:t>
            </w:r>
            <w:r w:rsidR="00E30126" w:rsidRPr="0033197F">
              <w:t xml:space="preserve"> Part </w:t>
            </w:r>
            <w:proofErr w:type="spellStart"/>
            <w:r w:rsidR="00E30126">
              <w:t>5a</w:t>
            </w:r>
            <w:proofErr w:type="spellEnd"/>
            <w:r w:rsidR="00E30126">
              <w:t xml:space="preserve"> </w:t>
            </w:r>
            <w:r w:rsidR="00E30126" w:rsidRPr="0033197F">
              <w:t>Worksheet</w:t>
            </w:r>
            <w:r w:rsidR="00E30126">
              <w:t>.</w:t>
            </w:r>
            <w:r w:rsidR="00E30126" w:rsidRPr="0033197F">
              <w:t xml:space="preserve"> </w:t>
            </w:r>
          </w:p>
          <w:p w14:paraId="10E0AB20" w14:textId="3B37346D" w:rsidR="00E30126" w:rsidRPr="0033197F" w:rsidRDefault="00E30126" w:rsidP="00E30126">
            <w:pPr>
              <w:pStyle w:val="VBAILTBullet2"/>
            </w:pPr>
            <w:r>
              <w:t xml:space="preserve">Use the job aids </w:t>
            </w:r>
            <w:r w:rsidR="00862797">
              <w:t xml:space="preserve">listed </w:t>
            </w:r>
            <w:r>
              <w:t>in Appendix A</w:t>
            </w:r>
            <w:r w:rsidR="00A1402A">
              <w:t>.</w:t>
            </w:r>
            <w:r>
              <w:t xml:space="preserve"> </w:t>
            </w:r>
          </w:p>
          <w:p w14:paraId="372E14FA" w14:textId="77777777" w:rsidR="00E30126" w:rsidRPr="0033197F" w:rsidRDefault="00E30126" w:rsidP="00E30126">
            <w:pPr>
              <w:pStyle w:val="VBAILTBullet2"/>
            </w:pPr>
            <w:r w:rsidRPr="0033197F">
              <w:t>Be prepared to share your finished activity with the class</w:t>
            </w:r>
            <w:r>
              <w:t>.</w:t>
            </w:r>
          </w:p>
          <w:p w14:paraId="4B9A6D94" w14:textId="6BA415AE" w:rsidR="00E30126" w:rsidRDefault="00E30126" w:rsidP="00862797">
            <w:pPr>
              <w:pStyle w:val="VBAILTbullet1"/>
              <w:rPr>
                <w:rStyle w:val="Strong"/>
              </w:rPr>
            </w:pPr>
            <w:r w:rsidRPr="0033197F">
              <w:t>Time allowed: 2</w:t>
            </w:r>
            <w:r>
              <w:t>5-30</w:t>
            </w:r>
            <w:r w:rsidRPr="0033197F">
              <w:t xml:space="preserve">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E6A99EF" w14:textId="7A15392C" w:rsidR="00E30126" w:rsidRDefault="00E30126" w:rsidP="00862797">
            <w:pPr>
              <w:pStyle w:val="VBAILTBody"/>
              <w:rPr>
                <w:rStyle w:val="Strong"/>
              </w:rPr>
            </w:pPr>
          </w:p>
        </w:tc>
      </w:tr>
      <w:tr w:rsidR="00211903" w14:paraId="16A92637" w14:textId="77777777" w:rsidTr="00F574C9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92F45A" w14:textId="346F06DB" w:rsidR="00D636B2" w:rsidRPr="00D636B2" w:rsidRDefault="00211903" w:rsidP="001B5F38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1 of 3</w:t>
            </w:r>
            <w:r>
              <w:t>)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B4EB06" w14:textId="7A45684C" w:rsidR="008E0FF2" w:rsidRDefault="008E0FF2" w:rsidP="008E0FF2">
            <w:pPr>
              <w:pStyle w:val="VBAILTBody"/>
              <w:rPr>
                <w:rStyle w:val="Strong"/>
              </w:rPr>
            </w:pPr>
          </w:p>
        </w:tc>
      </w:tr>
    </w:tbl>
    <w:p w14:paraId="79148AE2" w14:textId="77777777" w:rsidR="00D85F25" w:rsidRDefault="00D85F25" w:rsidP="00D85F25"/>
    <w:p w14:paraId="192EF949" w14:textId="2420FC1C" w:rsidR="008E0FF2" w:rsidRDefault="008E0FF2" w:rsidP="00800EA3">
      <w:pPr>
        <w:pStyle w:val="VBAILTAnswer"/>
      </w:pPr>
      <w:r>
        <w:t xml:space="preserve">Medical Expenses </w:t>
      </w:r>
      <w:r w:rsidR="00C33D0B">
        <w:t>Answers</w:t>
      </w:r>
    </w:p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340"/>
        <w:gridCol w:w="1350"/>
        <w:gridCol w:w="1262"/>
        <w:gridCol w:w="1801"/>
        <w:gridCol w:w="1711"/>
        <w:gridCol w:w="1526"/>
      </w:tblGrid>
      <w:tr w:rsidR="008E0FF2" w14:paraId="2033701A" w14:textId="77777777" w:rsidTr="002B797C">
        <w:trPr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A1E1C5E" w14:textId="77777777" w:rsidR="008E0FF2" w:rsidRDefault="008E0FF2" w:rsidP="00717F5D">
            <w:pPr>
              <w:pStyle w:val="VBAILTTableHeading1"/>
            </w:pPr>
            <w:r>
              <w:t xml:space="preserve">Description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331A7D" w14:textId="77777777" w:rsidR="008E0FF2" w:rsidRDefault="008E0FF2" w:rsidP="00717F5D">
            <w:pPr>
              <w:pStyle w:val="VBAILTTableHeading1"/>
            </w:pPr>
            <w:r>
              <w:t xml:space="preserve">Amount Paid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8C0D2B" w14:textId="77777777" w:rsidR="008E0FF2" w:rsidRDefault="008E0FF2" w:rsidP="00717F5D">
            <w:pPr>
              <w:pStyle w:val="VBAILTTableHeading1"/>
            </w:pPr>
            <w:r>
              <w:t>Date Paid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E209B5" w14:textId="77777777" w:rsidR="008E0FF2" w:rsidRDefault="008E0FF2" w:rsidP="00717F5D">
            <w:pPr>
              <w:pStyle w:val="VBAILTTableHeading1"/>
            </w:pPr>
            <w:r>
              <w:t>Provider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09B2B7C" w14:textId="77777777" w:rsidR="008E0FF2" w:rsidRDefault="008E0FF2" w:rsidP="00717F5D">
            <w:pPr>
              <w:pStyle w:val="VBAILTTableHeading1"/>
            </w:pPr>
            <w:r>
              <w:t>Paid For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BE01FDF" w14:textId="77777777" w:rsidR="008E0FF2" w:rsidRDefault="008E0FF2" w:rsidP="00717F5D">
            <w:pPr>
              <w:pStyle w:val="VBAILTTableHeading1"/>
            </w:pPr>
            <w:r>
              <w:t>UME or CME?</w:t>
            </w:r>
          </w:p>
        </w:tc>
      </w:tr>
      <w:tr w:rsidR="008E0FF2" w14:paraId="49AD77AA" w14:textId="77777777" w:rsidTr="002B797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DC" w14:textId="24F35ECD" w:rsidR="008E0FF2" w:rsidRDefault="008E0FF2" w:rsidP="00717F5D">
            <w:pPr>
              <w:pStyle w:val="VBAILTAnsw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B3" w14:textId="4712527D" w:rsidR="008E0FF2" w:rsidRDefault="008E0FF2" w:rsidP="00717F5D">
            <w:pPr>
              <w:pStyle w:val="VBAILTAnsw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294" w14:textId="5C29B504" w:rsidR="008E0FF2" w:rsidRDefault="008E0FF2" w:rsidP="00717F5D">
            <w:pPr>
              <w:pStyle w:val="VBAILTAnsw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DB4" w14:textId="47427906" w:rsidR="008E0FF2" w:rsidRDefault="008E0FF2" w:rsidP="00717F5D">
            <w:pPr>
              <w:pStyle w:val="VBAILTAnsw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87D" w14:textId="37E780BC" w:rsidR="008E0FF2" w:rsidRDefault="008E0FF2" w:rsidP="00717F5D">
            <w:pPr>
              <w:pStyle w:val="VBAILTAnsw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B93" w14:textId="3CCA4C8D" w:rsidR="008E0FF2" w:rsidRDefault="008E0FF2" w:rsidP="00717F5D">
            <w:pPr>
              <w:pStyle w:val="VBAILTAnswer"/>
            </w:pPr>
          </w:p>
        </w:tc>
      </w:tr>
      <w:tr w:rsidR="008E0FF2" w14:paraId="463C185D" w14:textId="77777777" w:rsidTr="002B797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DEF" w14:textId="1EBED492" w:rsidR="008E0FF2" w:rsidRDefault="008E0FF2" w:rsidP="00717F5D">
            <w:pPr>
              <w:pStyle w:val="VBAILTAnsw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E61" w14:textId="17B891D2" w:rsidR="008E0FF2" w:rsidRDefault="008E0FF2" w:rsidP="00FA1846">
            <w:pPr>
              <w:pStyle w:val="VBAILTAnsw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728" w14:textId="1692C5BD" w:rsidR="008E0FF2" w:rsidRDefault="008E0FF2" w:rsidP="00717F5D">
            <w:pPr>
              <w:pStyle w:val="VBAILTAnsw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68E" w14:textId="1F4E36A3" w:rsidR="008E0FF2" w:rsidRDefault="008E0FF2" w:rsidP="00717F5D">
            <w:pPr>
              <w:pStyle w:val="VBAILTAnsw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414" w14:textId="41561AC8" w:rsidR="008E0FF2" w:rsidRDefault="008E0FF2" w:rsidP="00717F5D">
            <w:pPr>
              <w:pStyle w:val="VBAILTAnsw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979" w14:textId="2788ACB3" w:rsidR="008E0FF2" w:rsidRDefault="008E0FF2" w:rsidP="00717F5D">
            <w:pPr>
              <w:pStyle w:val="VBAILTAnswer"/>
            </w:pPr>
          </w:p>
        </w:tc>
      </w:tr>
    </w:tbl>
    <w:p w14:paraId="06F74089" w14:textId="2EDA564D" w:rsidR="00F0722D" w:rsidRDefault="00F0722D"/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315"/>
        <w:gridCol w:w="5760"/>
        <w:gridCol w:w="6"/>
      </w:tblGrid>
      <w:tr w:rsidR="008E0FF2" w14:paraId="78CE2863" w14:textId="77777777" w:rsidTr="00BA5271">
        <w:trPr>
          <w:cantSplit/>
          <w:tblHeader/>
          <w:jc w:val="center"/>
        </w:trPr>
        <w:tc>
          <w:tcPr>
            <w:tcW w:w="431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A86D123" w14:textId="77777777" w:rsidR="008E0FF2" w:rsidRPr="006E54AE" w:rsidRDefault="008E0FF2" w:rsidP="00717F5D">
            <w:pPr>
              <w:pStyle w:val="VBAILTTableHeading1"/>
            </w:pPr>
            <w:r>
              <w:t>PowerPoint Slides</w:t>
            </w:r>
          </w:p>
        </w:tc>
        <w:tc>
          <w:tcPr>
            <w:tcW w:w="576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1111F419" w14:textId="61C7E298" w:rsidR="008E0FF2" w:rsidRDefault="007B685A" w:rsidP="00717F5D">
            <w:pPr>
              <w:pStyle w:val="VBAILTTableHeading1"/>
            </w:pPr>
            <w:r>
              <w:t>Notes</w:t>
            </w:r>
          </w:p>
        </w:tc>
      </w:tr>
      <w:tr w:rsidR="00211903" w14:paraId="720033E2" w14:textId="77777777" w:rsidTr="00696D67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1C835004" w14:textId="6E32E9D9" w:rsidR="00717F5D" w:rsidRPr="007944D5" w:rsidRDefault="00211903" w:rsidP="001B5F38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2 of 3</w:t>
            </w:r>
            <w:r>
              <w:t>)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4A17B32" w14:textId="5FA545CE" w:rsidR="00993AE7" w:rsidRPr="00FA1846" w:rsidRDefault="00993AE7" w:rsidP="009B6956">
            <w:pPr>
              <w:pStyle w:val="VBAILTBody"/>
              <w:spacing w:before="0" w:after="0"/>
              <w:jc w:val="right"/>
              <w:rPr>
                <w:rStyle w:val="Strong"/>
              </w:rPr>
            </w:pPr>
          </w:p>
        </w:tc>
      </w:tr>
      <w:tr w:rsidR="00211903" w14:paraId="64198B53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6EA21ACD" w14:textId="67F23991" w:rsidR="00A722B9" w:rsidRDefault="00211903" w:rsidP="001B5F38">
            <w:pPr>
              <w:pStyle w:val="VBAILTBodyStrong"/>
            </w:pPr>
            <w:r w:rsidRPr="0033197F">
              <w:t>Partner Activity—</w:t>
            </w:r>
            <w:r>
              <w:t>Award Adjustment Answers (</w:t>
            </w:r>
            <w:r w:rsidR="00430C43">
              <w:t>3 of 3</w:t>
            </w:r>
            <w:r>
              <w:t>)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BEB11DF" w14:textId="1F314ED9" w:rsidR="00E21E7C" w:rsidRPr="00367B70" w:rsidRDefault="00E21E7C" w:rsidP="00367B70">
            <w:pPr>
              <w:pStyle w:val="VBAILTBody"/>
              <w:spacing w:before="0" w:after="0" w:line="240" w:lineRule="auto"/>
              <w:jc w:val="right"/>
              <w:rPr>
                <w:rStyle w:val="Strong"/>
                <w:b w:val="0"/>
                <w:bCs w:val="0"/>
              </w:rPr>
            </w:pPr>
          </w:p>
        </w:tc>
      </w:tr>
      <w:tr w:rsidR="005B4EB7" w14:paraId="17C7667B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1E70C92C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Question and Answer Forum</w:t>
            </w:r>
          </w:p>
          <w:p w14:paraId="67E26CC8" w14:textId="7D3A8D2C" w:rsidR="005B4EB7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  <w:r w:rsidR="00783BEB">
              <w:rPr>
                <w:noProof/>
              </w:rPr>
              <w:t>:</w:t>
            </w:r>
          </w:p>
          <w:p w14:paraId="74741FA7" w14:textId="15D1FC86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Divide into groups of three or four</w:t>
            </w:r>
            <w:r w:rsidR="00783BEB">
              <w:rPr>
                <w:noProof/>
              </w:rPr>
              <w:t>.</w:t>
            </w:r>
          </w:p>
          <w:p w14:paraId="25EF3232" w14:textId="09C6FD1D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Review the </w:t>
            </w:r>
            <w:r w:rsidR="009F4046">
              <w:rPr>
                <w:noProof/>
              </w:rPr>
              <w:t>Appendix D:</w:t>
            </w:r>
            <w:r>
              <w:rPr>
                <w:noProof/>
              </w:rPr>
              <w:t xml:space="preserve"> Question and Answer Worksheet with your group</w:t>
            </w:r>
            <w:r w:rsidR="00783BEB">
              <w:rPr>
                <w:noProof/>
              </w:rPr>
              <w:t>.</w:t>
            </w:r>
          </w:p>
          <w:p w14:paraId="64656AA0" w14:textId="4FA7458B" w:rsidR="005B4EB7" w:rsidRDefault="005B4EB7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  <w:r w:rsidR="00783BEB">
              <w:rPr>
                <w:noProof/>
              </w:rPr>
              <w:t>.</w:t>
            </w:r>
          </w:p>
          <w:p w14:paraId="087E5103" w14:textId="0B968F45" w:rsidR="00D4442D" w:rsidRDefault="00D4442D" w:rsidP="00B712CD">
            <w:pPr>
              <w:pStyle w:val="VBAILTBullet2"/>
              <w:rPr>
                <w:noProof/>
              </w:rPr>
            </w:pPr>
            <w:r>
              <w:rPr>
                <w:noProof/>
              </w:rPr>
              <w:t>Be prepared to share your answers with the class.</w:t>
            </w:r>
          </w:p>
          <w:p w14:paraId="21B85A63" w14:textId="77777777" w:rsidR="005B4EB7" w:rsidRPr="002C7924" w:rsidRDefault="005B4EB7" w:rsidP="00B712CD">
            <w:pPr>
              <w:pStyle w:val="VBAILTbullet1"/>
              <w:rPr>
                <w:noProof/>
              </w:rPr>
            </w:pPr>
            <w:r>
              <w:rPr>
                <w:noProof/>
              </w:rPr>
              <w:t>Time allowed: 10–15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8985A27" w14:textId="0E2BBD23" w:rsidR="00D4442D" w:rsidRPr="009F361E" w:rsidRDefault="00D4442D" w:rsidP="00B712CD">
            <w:pPr>
              <w:pStyle w:val="VBAILTBody"/>
              <w:rPr>
                <w:rStyle w:val="Strong"/>
              </w:rPr>
            </w:pPr>
          </w:p>
        </w:tc>
      </w:tr>
      <w:tr w:rsidR="005B4EB7" w14:paraId="552D4A08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57B34E21" w14:textId="77777777" w:rsidR="005B4EB7" w:rsidRDefault="005B4EB7" w:rsidP="00B712CD">
            <w:pPr>
              <w:pStyle w:val="VBAILTBodyStrong"/>
            </w:pPr>
            <w:r>
              <w:t>Question and Answer Clarification</w:t>
            </w:r>
          </w:p>
          <w:p w14:paraId="05B01656" w14:textId="43E2255D" w:rsidR="005B4EB7" w:rsidRDefault="005B4EB7" w:rsidP="001B5F38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55EA2F0E" wp14:editId="141C0421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A443189" w14:textId="473C2165" w:rsidR="00F5160A" w:rsidRPr="00D62D1D" w:rsidRDefault="00F5160A" w:rsidP="009F4046">
            <w:pPr>
              <w:pStyle w:val="VBAILTBody"/>
              <w:rPr>
                <w:rStyle w:val="Strong"/>
              </w:rPr>
            </w:pPr>
          </w:p>
        </w:tc>
      </w:tr>
      <w:tr w:rsidR="005B4EB7" w:rsidRPr="001B5F38" w14:paraId="31D20E03" w14:textId="77777777" w:rsidTr="00BA5271">
        <w:trPr>
          <w:gridAfter w:val="1"/>
          <w:wAfter w:w="6" w:type="dxa"/>
          <w:cantSplit/>
          <w:jc w:val="center"/>
        </w:trPr>
        <w:tc>
          <w:tcPr>
            <w:tcW w:w="4315" w:type="dxa"/>
            <w:tcBorders>
              <w:right w:val="dashSmallGap" w:sz="4" w:space="0" w:color="auto"/>
            </w:tcBorders>
          </w:tcPr>
          <w:p w14:paraId="457DF903" w14:textId="77777777" w:rsidR="005B4EB7" w:rsidRDefault="005B4EB7" w:rsidP="00B712CD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0CC6B558" w14:textId="68A91661" w:rsidR="005B4EB7" w:rsidRPr="00D62D1D" w:rsidRDefault="009F4046" w:rsidP="00B712CD">
            <w:pPr>
              <w:pStyle w:val="VBAILTBody"/>
            </w:pPr>
            <w:r>
              <w:t xml:space="preserve">Phase 5, Part </w:t>
            </w:r>
            <w:proofErr w:type="spellStart"/>
            <w:r>
              <w:t>5a</w:t>
            </w:r>
            <w:proofErr w:type="spellEnd"/>
            <w:r>
              <w:t>: Award Adjustments</w:t>
            </w:r>
            <w:r w:rsidR="0095775B">
              <w:t xml:space="preserve"> </w:t>
            </w:r>
            <w:r w:rsidR="005B4EB7">
              <w:t>Knowledge Check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2A6532F" w14:textId="6ED670F6" w:rsidR="005B4EB7" w:rsidRPr="009F361E" w:rsidRDefault="005B4EB7" w:rsidP="00B712C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C0683B" w:rsidRDefault="007F4D1E" w:rsidP="00C0683B">
      <w:pPr>
        <w:pStyle w:val="VBAILTBody"/>
        <w:spacing w:before="0"/>
      </w:pPr>
      <w:bookmarkStart w:id="0" w:name="_GoBack"/>
      <w:bookmarkEnd w:id="0"/>
    </w:p>
    <w:sectPr w:rsidR="007F4D1E" w:rsidRPr="00C0683B" w:rsidSect="006D32CC">
      <w:headerReference w:type="default" r:id="rId18"/>
      <w:footerReference w:type="default" r:id="rId19"/>
      <w:headerReference w:type="first" r:id="rId2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C07B" w14:textId="77777777" w:rsidR="007944D5" w:rsidRDefault="007944D5" w:rsidP="00C214A9">
      <w:pPr>
        <w:spacing w:after="0" w:line="240" w:lineRule="auto"/>
      </w:pPr>
      <w:r>
        <w:separator/>
      </w:r>
    </w:p>
  </w:endnote>
  <w:endnote w:type="continuationSeparator" w:id="0">
    <w:p w14:paraId="259C2033" w14:textId="77777777" w:rsidR="007944D5" w:rsidRDefault="007944D5" w:rsidP="00C214A9">
      <w:pPr>
        <w:spacing w:after="0" w:line="240" w:lineRule="auto"/>
      </w:pPr>
      <w:r>
        <w:continuationSeparator/>
      </w:r>
    </w:p>
  </w:endnote>
  <w:endnote w:type="continuationNotice" w:id="1">
    <w:p w14:paraId="2661DA3D" w14:textId="77777777" w:rsidR="007944D5" w:rsidRDefault="0079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3CE57DF6" w:rsidR="007944D5" w:rsidRDefault="00187D98" w:rsidP="000A0F42">
    <w:pPr>
      <w:pStyle w:val="VBAILTFooter"/>
    </w:pPr>
    <w:r>
      <w:t>May 18, 2017</w:t>
    </w:r>
    <w:r w:rsidR="00586301">
      <w:t xml:space="preserve"> </w:t>
    </w:r>
    <w:r w:rsidR="007944D5">
      <w:t>Version 1.0</w:t>
    </w:r>
    <w:r w:rsidR="007944D5">
      <w:tab/>
    </w:r>
    <w:r w:rsidR="007944D5" w:rsidRPr="00C214A9">
      <w:rPr>
        <w:i w:val="0"/>
      </w:rPr>
      <w:fldChar w:fldCharType="begin"/>
    </w:r>
    <w:r w:rsidR="007944D5" w:rsidRPr="00C214A9">
      <w:instrText xml:space="preserve"> PAGE   \* MERGEFORMAT </w:instrText>
    </w:r>
    <w:r w:rsidR="007944D5" w:rsidRPr="00C214A9">
      <w:rPr>
        <w:i w:val="0"/>
      </w:rPr>
      <w:fldChar w:fldCharType="separate"/>
    </w:r>
    <w:r w:rsidR="006D32CC" w:rsidRPr="006D32CC">
      <w:rPr>
        <w:b/>
        <w:bCs/>
        <w:noProof/>
      </w:rPr>
      <w:t>10</w:t>
    </w:r>
    <w:r w:rsidR="007944D5" w:rsidRPr="00C214A9">
      <w:rPr>
        <w:b/>
        <w:bCs/>
        <w:i w:val="0"/>
        <w:noProof/>
      </w:rPr>
      <w:fldChar w:fldCharType="end"/>
    </w:r>
    <w:r w:rsidR="007944D5" w:rsidRPr="00C214A9">
      <w:rPr>
        <w:b/>
        <w:bCs/>
      </w:rPr>
      <w:t xml:space="preserve"> </w:t>
    </w:r>
    <w:r w:rsidR="007944D5" w:rsidRPr="00C214A9">
      <w:t>|</w:t>
    </w:r>
    <w:r w:rsidR="007944D5" w:rsidRPr="00C214A9">
      <w:rPr>
        <w:b/>
        <w:bCs/>
      </w:rPr>
      <w:t xml:space="preserve"> </w:t>
    </w:r>
    <w:r w:rsidR="007944D5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A944" w14:textId="77777777" w:rsidR="007944D5" w:rsidRDefault="007944D5" w:rsidP="00C214A9">
      <w:pPr>
        <w:spacing w:after="0" w:line="240" w:lineRule="auto"/>
      </w:pPr>
      <w:r>
        <w:separator/>
      </w:r>
    </w:p>
  </w:footnote>
  <w:footnote w:type="continuationSeparator" w:id="0">
    <w:p w14:paraId="2135DD3C" w14:textId="77777777" w:rsidR="007944D5" w:rsidRDefault="007944D5" w:rsidP="00C214A9">
      <w:pPr>
        <w:spacing w:after="0" w:line="240" w:lineRule="auto"/>
      </w:pPr>
      <w:r>
        <w:continuationSeparator/>
      </w:r>
    </w:p>
  </w:footnote>
  <w:footnote w:type="continuationNotice" w:id="1">
    <w:p w14:paraId="6935AD1C" w14:textId="77777777" w:rsidR="007944D5" w:rsidRDefault="00794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54EA793A" w:rsidR="007944D5" w:rsidRPr="002D1DCE" w:rsidRDefault="007944D5" w:rsidP="000B1CB7">
    <w:pPr>
      <w:pStyle w:val="VBAILTHeader"/>
    </w:pPr>
    <w:r>
      <w:t xml:space="preserve">Phase 5 Part </w:t>
    </w:r>
    <w:proofErr w:type="spellStart"/>
    <w:r>
      <w:t>5a</w:t>
    </w:r>
    <w:proofErr w:type="spellEnd"/>
    <w:r>
      <w:t xml:space="preserve"> Knowledge Check Preparation</w:t>
    </w:r>
  </w:p>
  <w:p w14:paraId="6B08C54D" w14:textId="68D6BF51" w:rsidR="007944D5" w:rsidRPr="002D1DCE" w:rsidRDefault="00187D98" w:rsidP="001262F7">
    <w:pPr>
      <w:pStyle w:val="VBAILTHeader"/>
      <w:pBdr>
        <w:bottom w:val="single" w:sz="4" w:space="1" w:color="auto"/>
      </w:pBdr>
    </w:pPr>
    <w:r>
      <w:t>Trainee Guide</w:t>
    </w:r>
    <w:r w:rsidR="007944D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7944D5" w:rsidRDefault="007944D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37"/>
    <w:multiLevelType w:val="hybridMultilevel"/>
    <w:tmpl w:val="37A063BA"/>
    <w:lvl w:ilvl="0" w:tplc="38EE5C8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0B6A"/>
    <w:multiLevelType w:val="hybridMultilevel"/>
    <w:tmpl w:val="8E90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E6E20"/>
    <w:multiLevelType w:val="hybridMultilevel"/>
    <w:tmpl w:val="9878D440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1629FFE">
      <w:start w:val="1"/>
      <w:numFmt w:val="bullet"/>
      <w:pStyle w:val="VBAILTBullet2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A1E00"/>
    <w:multiLevelType w:val="hybridMultilevel"/>
    <w:tmpl w:val="D75E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8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1100"/>
    <w:multiLevelType w:val="hybridMultilevel"/>
    <w:tmpl w:val="E37C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D104C0"/>
    <w:multiLevelType w:val="hybridMultilevel"/>
    <w:tmpl w:val="27206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FAB"/>
    <w:multiLevelType w:val="hybridMultilevel"/>
    <w:tmpl w:val="FCBA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A4149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71C5D"/>
    <w:multiLevelType w:val="hybridMultilevel"/>
    <w:tmpl w:val="1B1C6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0127B7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23910"/>
    <w:multiLevelType w:val="hybridMultilevel"/>
    <w:tmpl w:val="9B1A9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3003F"/>
    <w:multiLevelType w:val="hybridMultilevel"/>
    <w:tmpl w:val="2AD4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F48EE"/>
    <w:multiLevelType w:val="hybridMultilevel"/>
    <w:tmpl w:val="8382B01C"/>
    <w:lvl w:ilvl="0" w:tplc="CFB4D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9261A"/>
    <w:multiLevelType w:val="hybridMultilevel"/>
    <w:tmpl w:val="DBFC0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21"/>
  </w:num>
  <w:num w:numId="6">
    <w:abstractNumId w:val="9"/>
  </w:num>
  <w:num w:numId="7">
    <w:abstractNumId w:val="23"/>
  </w:num>
  <w:num w:numId="8">
    <w:abstractNumId w:val="20"/>
  </w:num>
  <w:num w:numId="9">
    <w:abstractNumId w:val="12"/>
  </w:num>
  <w:num w:numId="10">
    <w:abstractNumId w:val="8"/>
  </w:num>
  <w:num w:numId="11">
    <w:abstractNumId w:val="15"/>
  </w:num>
  <w:num w:numId="12">
    <w:abstractNumId w:val="18"/>
  </w:num>
  <w:num w:numId="13">
    <w:abstractNumId w:val="19"/>
  </w:num>
  <w:num w:numId="14">
    <w:abstractNumId w:val="4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5"/>
  </w:num>
  <w:num w:numId="20">
    <w:abstractNumId w:val="0"/>
  </w:num>
  <w:num w:numId="21">
    <w:abstractNumId w:val="14"/>
  </w:num>
  <w:num w:numId="22">
    <w:abstractNumId w:val="1"/>
  </w:num>
  <w:num w:numId="23">
    <w:abstractNumId w:val="17"/>
  </w:num>
  <w:num w:numId="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0F6E"/>
    <w:rsid w:val="000031DB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49F2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3750E"/>
    <w:rsid w:val="00040C79"/>
    <w:rsid w:val="00041D22"/>
    <w:rsid w:val="0004215F"/>
    <w:rsid w:val="00043816"/>
    <w:rsid w:val="000448A1"/>
    <w:rsid w:val="0004614E"/>
    <w:rsid w:val="00046868"/>
    <w:rsid w:val="0004723C"/>
    <w:rsid w:val="00047294"/>
    <w:rsid w:val="000474BF"/>
    <w:rsid w:val="00047608"/>
    <w:rsid w:val="00047E55"/>
    <w:rsid w:val="00050E44"/>
    <w:rsid w:val="00051332"/>
    <w:rsid w:val="0005138C"/>
    <w:rsid w:val="00051756"/>
    <w:rsid w:val="00051956"/>
    <w:rsid w:val="0005261F"/>
    <w:rsid w:val="00054486"/>
    <w:rsid w:val="00054682"/>
    <w:rsid w:val="00054E49"/>
    <w:rsid w:val="00054FCE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2C14"/>
    <w:rsid w:val="0009337D"/>
    <w:rsid w:val="00094136"/>
    <w:rsid w:val="00094940"/>
    <w:rsid w:val="000955B7"/>
    <w:rsid w:val="000A014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3F5B"/>
    <w:rsid w:val="000B423D"/>
    <w:rsid w:val="000B71CA"/>
    <w:rsid w:val="000B71D2"/>
    <w:rsid w:val="000B77A5"/>
    <w:rsid w:val="000B7C32"/>
    <w:rsid w:val="000C114C"/>
    <w:rsid w:val="000C1234"/>
    <w:rsid w:val="000C140B"/>
    <w:rsid w:val="000C35C4"/>
    <w:rsid w:val="000C407E"/>
    <w:rsid w:val="000C55F0"/>
    <w:rsid w:val="000C592A"/>
    <w:rsid w:val="000C636A"/>
    <w:rsid w:val="000C67BE"/>
    <w:rsid w:val="000C74CB"/>
    <w:rsid w:val="000C77FB"/>
    <w:rsid w:val="000C7C63"/>
    <w:rsid w:val="000C7EAD"/>
    <w:rsid w:val="000D13C2"/>
    <w:rsid w:val="000D236A"/>
    <w:rsid w:val="000D271D"/>
    <w:rsid w:val="000D3231"/>
    <w:rsid w:val="000D662E"/>
    <w:rsid w:val="000D6FBB"/>
    <w:rsid w:val="000D7B6B"/>
    <w:rsid w:val="000E074B"/>
    <w:rsid w:val="000E127F"/>
    <w:rsid w:val="000E16FA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67D9"/>
    <w:rsid w:val="0012730C"/>
    <w:rsid w:val="00130509"/>
    <w:rsid w:val="00130725"/>
    <w:rsid w:val="00130934"/>
    <w:rsid w:val="0013179E"/>
    <w:rsid w:val="00131C27"/>
    <w:rsid w:val="00132426"/>
    <w:rsid w:val="00135530"/>
    <w:rsid w:val="00135734"/>
    <w:rsid w:val="00140293"/>
    <w:rsid w:val="001402A2"/>
    <w:rsid w:val="00140902"/>
    <w:rsid w:val="00140AFD"/>
    <w:rsid w:val="00140DC2"/>
    <w:rsid w:val="001434A8"/>
    <w:rsid w:val="00143CCF"/>
    <w:rsid w:val="00143CD1"/>
    <w:rsid w:val="00144120"/>
    <w:rsid w:val="00145486"/>
    <w:rsid w:val="00145686"/>
    <w:rsid w:val="00145E68"/>
    <w:rsid w:val="00147CDB"/>
    <w:rsid w:val="00147EAE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78F"/>
    <w:rsid w:val="00182A07"/>
    <w:rsid w:val="001831DF"/>
    <w:rsid w:val="00183926"/>
    <w:rsid w:val="0018413E"/>
    <w:rsid w:val="00184241"/>
    <w:rsid w:val="00184945"/>
    <w:rsid w:val="00184D4D"/>
    <w:rsid w:val="001852A7"/>
    <w:rsid w:val="00185A18"/>
    <w:rsid w:val="00187D98"/>
    <w:rsid w:val="001901D1"/>
    <w:rsid w:val="00191628"/>
    <w:rsid w:val="00194543"/>
    <w:rsid w:val="00194ADD"/>
    <w:rsid w:val="00194ADF"/>
    <w:rsid w:val="00194B55"/>
    <w:rsid w:val="0019576C"/>
    <w:rsid w:val="001958FF"/>
    <w:rsid w:val="00196A5D"/>
    <w:rsid w:val="00197C94"/>
    <w:rsid w:val="001A0D8A"/>
    <w:rsid w:val="001A0FBC"/>
    <w:rsid w:val="001A15E6"/>
    <w:rsid w:val="001A195A"/>
    <w:rsid w:val="001A2382"/>
    <w:rsid w:val="001A2B71"/>
    <w:rsid w:val="001A41CD"/>
    <w:rsid w:val="001A4661"/>
    <w:rsid w:val="001A4A5D"/>
    <w:rsid w:val="001A54DB"/>
    <w:rsid w:val="001A5640"/>
    <w:rsid w:val="001A59CE"/>
    <w:rsid w:val="001A6CF6"/>
    <w:rsid w:val="001A7493"/>
    <w:rsid w:val="001B13C5"/>
    <w:rsid w:val="001B1AA1"/>
    <w:rsid w:val="001B1F0A"/>
    <w:rsid w:val="001B24A2"/>
    <w:rsid w:val="001B268A"/>
    <w:rsid w:val="001B2766"/>
    <w:rsid w:val="001B2773"/>
    <w:rsid w:val="001B3D91"/>
    <w:rsid w:val="001B59CD"/>
    <w:rsid w:val="001B5F38"/>
    <w:rsid w:val="001B74F0"/>
    <w:rsid w:val="001C0B61"/>
    <w:rsid w:val="001C22EC"/>
    <w:rsid w:val="001C247E"/>
    <w:rsid w:val="001C4076"/>
    <w:rsid w:val="001C43F5"/>
    <w:rsid w:val="001C47B2"/>
    <w:rsid w:val="001C4C67"/>
    <w:rsid w:val="001C54D7"/>
    <w:rsid w:val="001C5828"/>
    <w:rsid w:val="001C5E4B"/>
    <w:rsid w:val="001C5E6D"/>
    <w:rsid w:val="001C6938"/>
    <w:rsid w:val="001C7BED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9E"/>
    <w:rsid w:val="001F4BBB"/>
    <w:rsid w:val="001F4BBE"/>
    <w:rsid w:val="001F51DB"/>
    <w:rsid w:val="001F5BEA"/>
    <w:rsid w:val="001F6EAD"/>
    <w:rsid w:val="001F6F2D"/>
    <w:rsid w:val="00200847"/>
    <w:rsid w:val="002015F3"/>
    <w:rsid w:val="00201C72"/>
    <w:rsid w:val="00201C95"/>
    <w:rsid w:val="00201CF2"/>
    <w:rsid w:val="00203A43"/>
    <w:rsid w:val="00205087"/>
    <w:rsid w:val="002070C8"/>
    <w:rsid w:val="00207894"/>
    <w:rsid w:val="00210E2F"/>
    <w:rsid w:val="0021182A"/>
    <w:rsid w:val="00211903"/>
    <w:rsid w:val="00211B53"/>
    <w:rsid w:val="00212F94"/>
    <w:rsid w:val="00214686"/>
    <w:rsid w:val="00214913"/>
    <w:rsid w:val="00214A9E"/>
    <w:rsid w:val="002169E3"/>
    <w:rsid w:val="00216D96"/>
    <w:rsid w:val="00216FA0"/>
    <w:rsid w:val="00222A6D"/>
    <w:rsid w:val="00222D69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5743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914"/>
    <w:rsid w:val="00257FE1"/>
    <w:rsid w:val="00260F0C"/>
    <w:rsid w:val="00261984"/>
    <w:rsid w:val="00261E47"/>
    <w:rsid w:val="0026251A"/>
    <w:rsid w:val="00265703"/>
    <w:rsid w:val="00265F0D"/>
    <w:rsid w:val="002661C6"/>
    <w:rsid w:val="00266D51"/>
    <w:rsid w:val="00267BA2"/>
    <w:rsid w:val="00267F5A"/>
    <w:rsid w:val="00270145"/>
    <w:rsid w:val="00270F9F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82AA9"/>
    <w:rsid w:val="002843F8"/>
    <w:rsid w:val="0028561F"/>
    <w:rsid w:val="00286467"/>
    <w:rsid w:val="002869D3"/>
    <w:rsid w:val="00287015"/>
    <w:rsid w:val="002874C7"/>
    <w:rsid w:val="00290680"/>
    <w:rsid w:val="002908E2"/>
    <w:rsid w:val="002912BA"/>
    <w:rsid w:val="00291824"/>
    <w:rsid w:val="002927F8"/>
    <w:rsid w:val="002928DA"/>
    <w:rsid w:val="00293ECD"/>
    <w:rsid w:val="00293F59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1EF7"/>
    <w:rsid w:val="002B297E"/>
    <w:rsid w:val="002B2982"/>
    <w:rsid w:val="002B2AE2"/>
    <w:rsid w:val="002B4413"/>
    <w:rsid w:val="002B4F4E"/>
    <w:rsid w:val="002B62BB"/>
    <w:rsid w:val="002B674D"/>
    <w:rsid w:val="002B6A5A"/>
    <w:rsid w:val="002B6C1F"/>
    <w:rsid w:val="002B6F98"/>
    <w:rsid w:val="002B797C"/>
    <w:rsid w:val="002B7C25"/>
    <w:rsid w:val="002C0923"/>
    <w:rsid w:val="002C1AA6"/>
    <w:rsid w:val="002C3FE7"/>
    <w:rsid w:val="002C4A91"/>
    <w:rsid w:val="002C4E24"/>
    <w:rsid w:val="002C616F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929"/>
    <w:rsid w:val="002D5B35"/>
    <w:rsid w:val="002D6907"/>
    <w:rsid w:val="002D7C4C"/>
    <w:rsid w:val="002E1305"/>
    <w:rsid w:val="002E2486"/>
    <w:rsid w:val="002E3042"/>
    <w:rsid w:val="002E3812"/>
    <w:rsid w:val="002E3A60"/>
    <w:rsid w:val="002E4AD8"/>
    <w:rsid w:val="002E592A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70B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20EEC"/>
    <w:rsid w:val="0032211D"/>
    <w:rsid w:val="0032290E"/>
    <w:rsid w:val="00325E6C"/>
    <w:rsid w:val="00326DCF"/>
    <w:rsid w:val="00326FB0"/>
    <w:rsid w:val="00331418"/>
    <w:rsid w:val="0033197F"/>
    <w:rsid w:val="003349FB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67B70"/>
    <w:rsid w:val="00370236"/>
    <w:rsid w:val="00370A5A"/>
    <w:rsid w:val="00371384"/>
    <w:rsid w:val="00371E59"/>
    <w:rsid w:val="0037205D"/>
    <w:rsid w:val="00374262"/>
    <w:rsid w:val="00374966"/>
    <w:rsid w:val="00374CEB"/>
    <w:rsid w:val="00376493"/>
    <w:rsid w:val="00376739"/>
    <w:rsid w:val="003805E7"/>
    <w:rsid w:val="003816AC"/>
    <w:rsid w:val="00382020"/>
    <w:rsid w:val="0038269B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1A0F"/>
    <w:rsid w:val="003B2EE7"/>
    <w:rsid w:val="003B3180"/>
    <w:rsid w:val="003B4A38"/>
    <w:rsid w:val="003B52E8"/>
    <w:rsid w:val="003B6EF8"/>
    <w:rsid w:val="003B72D0"/>
    <w:rsid w:val="003B7605"/>
    <w:rsid w:val="003B79A5"/>
    <w:rsid w:val="003C0331"/>
    <w:rsid w:val="003C247E"/>
    <w:rsid w:val="003C2790"/>
    <w:rsid w:val="003C59DA"/>
    <w:rsid w:val="003C656C"/>
    <w:rsid w:val="003D0760"/>
    <w:rsid w:val="003D1175"/>
    <w:rsid w:val="003D24AE"/>
    <w:rsid w:val="003D24BA"/>
    <w:rsid w:val="003D2D9A"/>
    <w:rsid w:val="003D36C9"/>
    <w:rsid w:val="003D3E5B"/>
    <w:rsid w:val="003D423A"/>
    <w:rsid w:val="003D4DBA"/>
    <w:rsid w:val="003D53B8"/>
    <w:rsid w:val="003D6564"/>
    <w:rsid w:val="003D7A37"/>
    <w:rsid w:val="003D7E76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1498"/>
    <w:rsid w:val="003F2603"/>
    <w:rsid w:val="003F2A49"/>
    <w:rsid w:val="003F5C6A"/>
    <w:rsid w:val="003F6032"/>
    <w:rsid w:val="003F6152"/>
    <w:rsid w:val="003F671A"/>
    <w:rsid w:val="00402060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0D8"/>
    <w:rsid w:val="004221E3"/>
    <w:rsid w:val="00423678"/>
    <w:rsid w:val="004236DE"/>
    <w:rsid w:val="004255CE"/>
    <w:rsid w:val="00425CC0"/>
    <w:rsid w:val="004265F4"/>
    <w:rsid w:val="004266EC"/>
    <w:rsid w:val="004273B3"/>
    <w:rsid w:val="00430C43"/>
    <w:rsid w:val="00431633"/>
    <w:rsid w:val="00432145"/>
    <w:rsid w:val="004335A4"/>
    <w:rsid w:val="00435570"/>
    <w:rsid w:val="004356BB"/>
    <w:rsid w:val="0043691F"/>
    <w:rsid w:val="00437E75"/>
    <w:rsid w:val="00437EF1"/>
    <w:rsid w:val="004404D3"/>
    <w:rsid w:val="00440BED"/>
    <w:rsid w:val="00441BA5"/>
    <w:rsid w:val="00445F8A"/>
    <w:rsid w:val="00446839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759"/>
    <w:rsid w:val="00463EC8"/>
    <w:rsid w:val="00466B2E"/>
    <w:rsid w:val="00466F33"/>
    <w:rsid w:val="004704EF"/>
    <w:rsid w:val="00470F14"/>
    <w:rsid w:val="0047210B"/>
    <w:rsid w:val="00472B38"/>
    <w:rsid w:val="0047317A"/>
    <w:rsid w:val="004734AE"/>
    <w:rsid w:val="004736EF"/>
    <w:rsid w:val="00474625"/>
    <w:rsid w:val="00475248"/>
    <w:rsid w:val="0047595D"/>
    <w:rsid w:val="00475B5E"/>
    <w:rsid w:val="00475C1F"/>
    <w:rsid w:val="00477FCF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521F"/>
    <w:rsid w:val="004961BD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1A63"/>
    <w:rsid w:val="004E20D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29AE"/>
    <w:rsid w:val="00503061"/>
    <w:rsid w:val="00503817"/>
    <w:rsid w:val="0050394A"/>
    <w:rsid w:val="0050507E"/>
    <w:rsid w:val="00505DDF"/>
    <w:rsid w:val="00507C98"/>
    <w:rsid w:val="00507FC8"/>
    <w:rsid w:val="00510445"/>
    <w:rsid w:val="00510974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4E60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426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2479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0A07"/>
    <w:rsid w:val="0056106A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A0B"/>
    <w:rsid w:val="00566D64"/>
    <w:rsid w:val="005702EC"/>
    <w:rsid w:val="00570370"/>
    <w:rsid w:val="00572DBE"/>
    <w:rsid w:val="00572E7F"/>
    <w:rsid w:val="005737EA"/>
    <w:rsid w:val="00576D49"/>
    <w:rsid w:val="00577E13"/>
    <w:rsid w:val="00580CCB"/>
    <w:rsid w:val="00585485"/>
    <w:rsid w:val="005856E3"/>
    <w:rsid w:val="00585B88"/>
    <w:rsid w:val="00585DB3"/>
    <w:rsid w:val="00585E17"/>
    <w:rsid w:val="00586301"/>
    <w:rsid w:val="005863E0"/>
    <w:rsid w:val="005863F6"/>
    <w:rsid w:val="00590195"/>
    <w:rsid w:val="005907AA"/>
    <w:rsid w:val="00590F38"/>
    <w:rsid w:val="00591206"/>
    <w:rsid w:val="00591947"/>
    <w:rsid w:val="00591B9B"/>
    <w:rsid w:val="00594E07"/>
    <w:rsid w:val="005958AD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5D3"/>
    <w:rsid w:val="005A37EC"/>
    <w:rsid w:val="005A625A"/>
    <w:rsid w:val="005A66E2"/>
    <w:rsid w:val="005A6A4E"/>
    <w:rsid w:val="005A72B9"/>
    <w:rsid w:val="005B0037"/>
    <w:rsid w:val="005B05B9"/>
    <w:rsid w:val="005B05CB"/>
    <w:rsid w:val="005B13FE"/>
    <w:rsid w:val="005B1AEC"/>
    <w:rsid w:val="005B31E0"/>
    <w:rsid w:val="005B350B"/>
    <w:rsid w:val="005B43B5"/>
    <w:rsid w:val="005B4B6B"/>
    <w:rsid w:val="005B4EB7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535"/>
    <w:rsid w:val="005D6978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1267"/>
    <w:rsid w:val="005F3272"/>
    <w:rsid w:val="005F5321"/>
    <w:rsid w:val="005F61C9"/>
    <w:rsid w:val="0060116F"/>
    <w:rsid w:val="0060120D"/>
    <w:rsid w:val="00601864"/>
    <w:rsid w:val="00601CE0"/>
    <w:rsid w:val="00602646"/>
    <w:rsid w:val="0060266B"/>
    <w:rsid w:val="00602970"/>
    <w:rsid w:val="00602D0A"/>
    <w:rsid w:val="00605711"/>
    <w:rsid w:val="00606B6D"/>
    <w:rsid w:val="00610933"/>
    <w:rsid w:val="00610B9A"/>
    <w:rsid w:val="00611512"/>
    <w:rsid w:val="006117E8"/>
    <w:rsid w:val="006120AC"/>
    <w:rsid w:val="00612D9E"/>
    <w:rsid w:val="00612EEB"/>
    <w:rsid w:val="00613433"/>
    <w:rsid w:val="00614547"/>
    <w:rsid w:val="0061679F"/>
    <w:rsid w:val="006201F4"/>
    <w:rsid w:val="006201FA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62D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26C"/>
    <w:rsid w:val="00661539"/>
    <w:rsid w:val="00661A61"/>
    <w:rsid w:val="00661CF0"/>
    <w:rsid w:val="0066220F"/>
    <w:rsid w:val="006633E3"/>
    <w:rsid w:val="006663E9"/>
    <w:rsid w:val="00666482"/>
    <w:rsid w:val="00666F11"/>
    <w:rsid w:val="006671B9"/>
    <w:rsid w:val="006673A2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653"/>
    <w:rsid w:val="00696CB4"/>
    <w:rsid w:val="00696D67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9F4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2CC"/>
    <w:rsid w:val="006D35B2"/>
    <w:rsid w:val="006D39D7"/>
    <w:rsid w:val="006D4BD2"/>
    <w:rsid w:val="006D66B5"/>
    <w:rsid w:val="006E1367"/>
    <w:rsid w:val="006E2B55"/>
    <w:rsid w:val="006E3A99"/>
    <w:rsid w:val="006E3C84"/>
    <w:rsid w:val="006E54AE"/>
    <w:rsid w:val="006F367C"/>
    <w:rsid w:val="006F48ED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3179"/>
    <w:rsid w:val="00714441"/>
    <w:rsid w:val="00714939"/>
    <w:rsid w:val="0071558A"/>
    <w:rsid w:val="00715EA8"/>
    <w:rsid w:val="00716E5E"/>
    <w:rsid w:val="00717F5D"/>
    <w:rsid w:val="007205F4"/>
    <w:rsid w:val="00720FA1"/>
    <w:rsid w:val="00721940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91C"/>
    <w:rsid w:val="007431A7"/>
    <w:rsid w:val="007432E6"/>
    <w:rsid w:val="0074531A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5DD9"/>
    <w:rsid w:val="007760EF"/>
    <w:rsid w:val="0077679F"/>
    <w:rsid w:val="00777CD9"/>
    <w:rsid w:val="00780CFF"/>
    <w:rsid w:val="007816D0"/>
    <w:rsid w:val="00781E23"/>
    <w:rsid w:val="007839E4"/>
    <w:rsid w:val="00783BEB"/>
    <w:rsid w:val="00784599"/>
    <w:rsid w:val="00784630"/>
    <w:rsid w:val="00784745"/>
    <w:rsid w:val="0078592B"/>
    <w:rsid w:val="00785A60"/>
    <w:rsid w:val="007862D1"/>
    <w:rsid w:val="00786904"/>
    <w:rsid w:val="0078709D"/>
    <w:rsid w:val="00790D7C"/>
    <w:rsid w:val="00791555"/>
    <w:rsid w:val="00793668"/>
    <w:rsid w:val="00793A22"/>
    <w:rsid w:val="007944D5"/>
    <w:rsid w:val="00794557"/>
    <w:rsid w:val="007947AF"/>
    <w:rsid w:val="007948A8"/>
    <w:rsid w:val="00795016"/>
    <w:rsid w:val="0079513F"/>
    <w:rsid w:val="00795202"/>
    <w:rsid w:val="00796686"/>
    <w:rsid w:val="007A0CCF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140E"/>
    <w:rsid w:val="007B189C"/>
    <w:rsid w:val="007B1C05"/>
    <w:rsid w:val="007B3B14"/>
    <w:rsid w:val="007B42C1"/>
    <w:rsid w:val="007B4C5D"/>
    <w:rsid w:val="007B5936"/>
    <w:rsid w:val="007B5E90"/>
    <w:rsid w:val="007B685A"/>
    <w:rsid w:val="007B6B98"/>
    <w:rsid w:val="007B789D"/>
    <w:rsid w:val="007C1C9C"/>
    <w:rsid w:val="007C26B4"/>
    <w:rsid w:val="007C3DB3"/>
    <w:rsid w:val="007C4487"/>
    <w:rsid w:val="007C4543"/>
    <w:rsid w:val="007C5401"/>
    <w:rsid w:val="007C5EC9"/>
    <w:rsid w:val="007D34CB"/>
    <w:rsid w:val="007D47CB"/>
    <w:rsid w:val="007D483F"/>
    <w:rsid w:val="007D62EC"/>
    <w:rsid w:val="007D642D"/>
    <w:rsid w:val="007D65FF"/>
    <w:rsid w:val="007D74F6"/>
    <w:rsid w:val="007D7F7E"/>
    <w:rsid w:val="007E09DD"/>
    <w:rsid w:val="007E0C5B"/>
    <w:rsid w:val="007E0ED8"/>
    <w:rsid w:val="007E1F58"/>
    <w:rsid w:val="007E29AA"/>
    <w:rsid w:val="007E3B0D"/>
    <w:rsid w:val="007E3B24"/>
    <w:rsid w:val="007E4966"/>
    <w:rsid w:val="007E6302"/>
    <w:rsid w:val="007E68D1"/>
    <w:rsid w:val="007E7307"/>
    <w:rsid w:val="007E75B2"/>
    <w:rsid w:val="007F0B92"/>
    <w:rsid w:val="007F17EA"/>
    <w:rsid w:val="007F18FC"/>
    <w:rsid w:val="007F1B5E"/>
    <w:rsid w:val="007F24BC"/>
    <w:rsid w:val="007F3FE1"/>
    <w:rsid w:val="007F4752"/>
    <w:rsid w:val="007F4916"/>
    <w:rsid w:val="007F4D1E"/>
    <w:rsid w:val="007F522C"/>
    <w:rsid w:val="007F59BB"/>
    <w:rsid w:val="007F6169"/>
    <w:rsid w:val="007F67FA"/>
    <w:rsid w:val="00800EA3"/>
    <w:rsid w:val="00803475"/>
    <w:rsid w:val="00803940"/>
    <w:rsid w:val="00803FF7"/>
    <w:rsid w:val="0080756A"/>
    <w:rsid w:val="0081052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D3"/>
    <w:rsid w:val="00835A12"/>
    <w:rsid w:val="00836221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24E8"/>
    <w:rsid w:val="008528C2"/>
    <w:rsid w:val="008534A4"/>
    <w:rsid w:val="00853CFC"/>
    <w:rsid w:val="00855C1D"/>
    <w:rsid w:val="0085607C"/>
    <w:rsid w:val="008561CC"/>
    <w:rsid w:val="0085783C"/>
    <w:rsid w:val="00861A50"/>
    <w:rsid w:val="00861EAA"/>
    <w:rsid w:val="00862551"/>
    <w:rsid w:val="00862797"/>
    <w:rsid w:val="008632D1"/>
    <w:rsid w:val="00863953"/>
    <w:rsid w:val="00863BAA"/>
    <w:rsid w:val="00864806"/>
    <w:rsid w:val="00864B01"/>
    <w:rsid w:val="00865258"/>
    <w:rsid w:val="008652B1"/>
    <w:rsid w:val="00865E22"/>
    <w:rsid w:val="00866154"/>
    <w:rsid w:val="00866642"/>
    <w:rsid w:val="008666B2"/>
    <w:rsid w:val="00866A63"/>
    <w:rsid w:val="008710B0"/>
    <w:rsid w:val="008715F0"/>
    <w:rsid w:val="00871F5E"/>
    <w:rsid w:val="00872478"/>
    <w:rsid w:val="0087375C"/>
    <w:rsid w:val="00875AAC"/>
    <w:rsid w:val="008763EC"/>
    <w:rsid w:val="00876842"/>
    <w:rsid w:val="0088085E"/>
    <w:rsid w:val="00881A47"/>
    <w:rsid w:val="00883349"/>
    <w:rsid w:val="00883615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4FC7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A56AB"/>
    <w:rsid w:val="008B05BB"/>
    <w:rsid w:val="008B0638"/>
    <w:rsid w:val="008B0FC0"/>
    <w:rsid w:val="008B17A7"/>
    <w:rsid w:val="008B2CC7"/>
    <w:rsid w:val="008B5241"/>
    <w:rsid w:val="008B5D53"/>
    <w:rsid w:val="008B5EC0"/>
    <w:rsid w:val="008B6EB9"/>
    <w:rsid w:val="008B70D7"/>
    <w:rsid w:val="008C07BD"/>
    <w:rsid w:val="008C0917"/>
    <w:rsid w:val="008C171D"/>
    <w:rsid w:val="008C219B"/>
    <w:rsid w:val="008C2B5C"/>
    <w:rsid w:val="008C2F09"/>
    <w:rsid w:val="008C2FA7"/>
    <w:rsid w:val="008C417D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0FF2"/>
    <w:rsid w:val="008E2820"/>
    <w:rsid w:val="008E2BA8"/>
    <w:rsid w:val="008E32ED"/>
    <w:rsid w:val="008E5573"/>
    <w:rsid w:val="008E62C4"/>
    <w:rsid w:val="008E6E60"/>
    <w:rsid w:val="008F083A"/>
    <w:rsid w:val="008F6C8D"/>
    <w:rsid w:val="00900B0A"/>
    <w:rsid w:val="00903472"/>
    <w:rsid w:val="009041EB"/>
    <w:rsid w:val="009049C9"/>
    <w:rsid w:val="0090535D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1978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47452"/>
    <w:rsid w:val="009517E7"/>
    <w:rsid w:val="00951B6F"/>
    <w:rsid w:val="0095421C"/>
    <w:rsid w:val="009543DA"/>
    <w:rsid w:val="00954E8B"/>
    <w:rsid w:val="00955506"/>
    <w:rsid w:val="00955DA5"/>
    <w:rsid w:val="0095775B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3A44"/>
    <w:rsid w:val="00974D63"/>
    <w:rsid w:val="00975EC2"/>
    <w:rsid w:val="00977D61"/>
    <w:rsid w:val="00981494"/>
    <w:rsid w:val="00981FDF"/>
    <w:rsid w:val="0098253F"/>
    <w:rsid w:val="0098344A"/>
    <w:rsid w:val="0098362F"/>
    <w:rsid w:val="00983B6D"/>
    <w:rsid w:val="00983DE1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3AE7"/>
    <w:rsid w:val="009940C0"/>
    <w:rsid w:val="00994C3A"/>
    <w:rsid w:val="009953FE"/>
    <w:rsid w:val="00995589"/>
    <w:rsid w:val="0099609D"/>
    <w:rsid w:val="009968FF"/>
    <w:rsid w:val="00997695"/>
    <w:rsid w:val="00997DC8"/>
    <w:rsid w:val="00997E1E"/>
    <w:rsid w:val="009A0B2E"/>
    <w:rsid w:val="009A17B2"/>
    <w:rsid w:val="009A1EE0"/>
    <w:rsid w:val="009A2863"/>
    <w:rsid w:val="009A2C4A"/>
    <w:rsid w:val="009A2E6B"/>
    <w:rsid w:val="009A2F91"/>
    <w:rsid w:val="009A3DBA"/>
    <w:rsid w:val="009A6CFF"/>
    <w:rsid w:val="009A712D"/>
    <w:rsid w:val="009A7C77"/>
    <w:rsid w:val="009B0C49"/>
    <w:rsid w:val="009B3228"/>
    <w:rsid w:val="009B3370"/>
    <w:rsid w:val="009B363F"/>
    <w:rsid w:val="009B4B7C"/>
    <w:rsid w:val="009B650F"/>
    <w:rsid w:val="009B66F4"/>
    <w:rsid w:val="009B6956"/>
    <w:rsid w:val="009B6C3C"/>
    <w:rsid w:val="009B77F8"/>
    <w:rsid w:val="009C008E"/>
    <w:rsid w:val="009C14AF"/>
    <w:rsid w:val="009C1586"/>
    <w:rsid w:val="009C5271"/>
    <w:rsid w:val="009C5CF5"/>
    <w:rsid w:val="009C691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016D"/>
    <w:rsid w:val="009F1052"/>
    <w:rsid w:val="009F2CB3"/>
    <w:rsid w:val="009F361E"/>
    <w:rsid w:val="009F36D6"/>
    <w:rsid w:val="009F4046"/>
    <w:rsid w:val="009F47BB"/>
    <w:rsid w:val="009F4D09"/>
    <w:rsid w:val="009F5ECA"/>
    <w:rsid w:val="009F709F"/>
    <w:rsid w:val="009F75A2"/>
    <w:rsid w:val="00A016C8"/>
    <w:rsid w:val="00A024DE"/>
    <w:rsid w:val="00A032E4"/>
    <w:rsid w:val="00A037E4"/>
    <w:rsid w:val="00A03870"/>
    <w:rsid w:val="00A0421C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02A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3082"/>
    <w:rsid w:val="00A54219"/>
    <w:rsid w:val="00A544EE"/>
    <w:rsid w:val="00A5578A"/>
    <w:rsid w:val="00A558A5"/>
    <w:rsid w:val="00A57875"/>
    <w:rsid w:val="00A60A60"/>
    <w:rsid w:val="00A6228B"/>
    <w:rsid w:val="00A63847"/>
    <w:rsid w:val="00A64FB4"/>
    <w:rsid w:val="00A6501F"/>
    <w:rsid w:val="00A65E49"/>
    <w:rsid w:val="00A660BC"/>
    <w:rsid w:val="00A6640B"/>
    <w:rsid w:val="00A66C32"/>
    <w:rsid w:val="00A66DFB"/>
    <w:rsid w:val="00A705B0"/>
    <w:rsid w:val="00A709E2"/>
    <w:rsid w:val="00A70EFC"/>
    <w:rsid w:val="00A7165F"/>
    <w:rsid w:val="00A72094"/>
    <w:rsid w:val="00A720AC"/>
    <w:rsid w:val="00A722B9"/>
    <w:rsid w:val="00A735FE"/>
    <w:rsid w:val="00A75348"/>
    <w:rsid w:val="00A75FB5"/>
    <w:rsid w:val="00A7617D"/>
    <w:rsid w:val="00A80C9B"/>
    <w:rsid w:val="00A81BDF"/>
    <w:rsid w:val="00A83D2C"/>
    <w:rsid w:val="00A83DE1"/>
    <w:rsid w:val="00A85E58"/>
    <w:rsid w:val="00A86C51"/>
    <w:rsid w:val="00A907AD"/>
    <w:rsid w:val="00A914FB"/>
    <w:rsid w:val="00A9168A"/>
    <w:rsid w:val="00A931C0"/>
    <w:rsid w:val="00A938D7"/>
    <w:rsid w:val="00A93B98"/>
    <w:rsid w:val="00A957CB"/>
    <w:rsid w:val="00A962EB"/>
    <w:rsid w:val="00A97C2D"/>
    <w:rsid w:val="00A97DE6"/>
    <w:rsid w:val="00AA0554"/>
    <w:rsid w:val="00AA0D2B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B777B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180"/>
    <w:rsid w:val="00AD35A3"/>
    <w:rsid w:val="00AD3EC8"/>
    <w:rsid w:val="00AD4654"/>
    <w:rsid w:val="00AD4949"/>
    <w:rsid w:val="00AD5B47"/>
    <w:rsid w:val="00AD5D43"/>
    <w:rsid w:val="00AD67EC"/>
    <w:rsid w:val="00AD6BC4"/>
    <w:rsid w:val="00AD723B"/>
    <w:rsid w:val="00AD72EC"/>
    <w:rsid w:val="00AE0EFF"/>
    <w:rsid w:val="00AE3B2E"/>
    <w:rsid w:val="00AE3EF8"/>
    <w:rsid w:val="00AE6ACA"/>
    <w:rsid w:val="00AE7A36"/>
    <w:rsid w:val="00AF2369"/>
    <w:rsid w:val="00AF2389"/>
    <w:rsid w:val="00AF294D"/>
    <w:rsid w:val="00AF3D28"/>
    <w:rsid w:val="00AF472B"/>
    <w:rsid w:val="00AF6CC5"/>
    <w:rsid w:val="00B0061A"/>
    <w:rsid w:val="00B00ABB"/>
    <w:rsid w:val="00B016A7"/>
    <w:rsid w:val="00B01B43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F32"/>
    <w:rsid w:val="00B12068"/>
    <w:rsid w:val="00B12B23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39E2"/>
    <w:rsid w:val="00B23CA4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A4E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086F"/>
    <w:rsid w:val="00B61BBF"/>
    <w:rsid w:val="00B62771"/>
    <w:rsid w:val="00B62CD7"/>
    <w:rsid w:val="00B63022"/>
    <w:rsid w:val="00B6405C"/>
    <w:rsid w:val="00B64942"/>
    <w:rsid w:val="00B64E8D"/>
    <w:rsid w:val="00B653C0"/>
    <w:rsid w:val="00B65696"/>
    <w:rsid w:val="00B65AB4"/>
    <w:rsid w:val="00B66372"/>
    <w:rsid w:val="00B66A9A"/>
    <w:rsid w:val="00B6744D"/>
    <w:rsid w:val="00B7067F"/>
    <w:rsid w:val="00B712CD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C5D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1D61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271"/>
    <w:rsid w:val="00BA56D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D60F0"/>
    <w:rsid w:val="00BE1D51"/>
    <w:rsid w:val="00BE2236"/>
    <w:rsid w:val="00BE2C8E"/>
    <w:rsid w:val="00BE43A9"/>
    <w:rsid w:val="00BE6D26"/>
    <w:rsid w:val="00BF09ED"/>
    <w:rsid w:val="00BF0A38"/>
    <w:rsid w:val="00BF0BAA"/>
    <w:rsid w:val="00BF18E4"/>
    <w:rsid w:val="00BF2AA2"/>
    <w:rsid w:val="00BF446F"/>
    <w:rsid w:val="00BF4495"/>
    <w:rsid w:val="00BF4C17"/>
    <w:rsid w:val="00BF4D0A"/>
    <w:rsid w:val="00BF6A20"/>
    <w:rsid w:val="00BF6ADA"/>
    <w:rsid w:val="00C005AC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683B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277"/>
    <w:rsid w:val="00C214A9"/>
    <w:rsid w:val="00C215D9"/>
    <w:rsid w:val="00C21FC8"/>
    <w:rsid w:val="00C22C5A"/>
    <w:rsid w:val="00C22DE2"/>
    <w:rsid w:val="00C23A82"/>
    <w:rsid w:val="00C2547E"/>
    <w:rsid w:val="00C255E8"/>
    <w:rsid w:val="00C25FC3"/>
    <w:rsid w:val="00C30F06"/>
    <w:rsid w:val="00C310D8"/>
    <w:rsid w:val="00C31591"/>
    <w:rsid w:val="00C31DFB"/>
    <w:rsid w:val="00C32BE2"/>
    <w:rsid w:val="00C336E1"/>
    <w:rsid w:val="00C3394A"/>
    <w:rsid w:val="00C33D0B"/>
    <w:rsid w:val="00C35902"/>
    <w:rsid w:val="00C37092"/>
    <w:rsid w:val="00C37F40"/>
    <w:rsid w:val="00C405AB"/>
    <w:rsid w:val="00C4063D"/>
    <w:rsid w:val="00C40AB2"/>
    <w:rsid w:val="00C41F73"/>
    <w:rsid w:val="00C4258C"/>
    <w:rsid w:val="00C427E2"/>
    <w:rsid w:val="00C44A8E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FC3"/>
    <w:rsid w:val="00C52FF7"/>
    <w:rsid w:val="00C53F21"/>
    <w:rsid w:val="00C54669"/>
    <w:rsid w:val="00C55CFF"/>
    <w:rsid w:val="00C56110"/>
    <w:rsid w:val="00C60348"/>
    <w:rsid w:val="00C60536"/>
    <w:rsid w:val="00C61925"/>
    <w:rsid w:val="00C61A9E"/>
    <w:rsid w:val="00C61FA9"/>
    <w:rsid w:val="00C6276F"/>
    <w:rsid w:val="00C635B9"/>
    <w:rsid w:val="00C63B09"/>
    <w:rsid w:val="00C63D33"/>
    <w:rsid w:val="00C647A7"/>
    <w:rsid w:val="00C6485C"/>
    <w:rsid w:val="00C649E2"/>
    <w:rsid w:val="00C652F5"/>
    <w:rsid w:val="00C70F7F"/>
    <w:rsid w:val="00C7115D"/>
    <w:rsid w:val="00C71EBC"/>
    <w:rsid w:val="00C724BB"/>
    <w:rsid w:val="00C72704"/>
    <w:rsid w:val="00C728B8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95443"/>
    <w:rsid w:val="00C97347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1216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9F1"/>
    <w:rsid w:val="00CD3C30"/>
    <w:rsid w:val="00CD40A2"/>
    <w:rsid w:val="00CD4F97"/>
    <w:rsid w:val="00CD518E"/>
    <w:rsid w:val="00CD5709"/>
    <w:rsid w:val="00CD5C8F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CF730A"/>
    <w:rsid w:val="00D05BB9"/>
    <w:rsid w:val="00D0615B"/>
    <w:rsid w:val="00D068D0"/>
    <w:rsid w:val="00D06950"/>
    <w:rsid w:val="00D06967"/>
    <w:rsid w:val="00D10848"/>
    <w:rsid w:val="00D11A30"/>
    <w:rsid w:val="00D1227C"/>
    <w:rsid w:val="00D1357A"/>
    <w:rsid w:val="00D13E17"/>
    <w:rsid w:val="00D14934"/>
    <w:rsid w:val="00D15DCB"/>
    <w:rsid w:val="00D16CF0"/>
    <w:rsid w:val="00D17A07"/>
    <w:rsid w:val="00D20395"/>
    <w:rsid w:val="00D211DD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965"/>
    <w:rsid w:val="00D37C3E"/>
    <w:rsid w:val="00D37DCA"/>
    <w:rsid w:val="00D40378"/>
    <w:rsid w:val="00D4141D"/>
    <w:rsid w:val="00D41CF3"/>
    <w:rsid w:val="00D41D60"/>
    <w:rsid w:val="00D42954"/>
    <w:rsid w:val="00D4442D"/>
    <w:rsid w:val="00D44D39"/>
    <w:rsid w:val="00D467FD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5A14"/>
    <w:rsid w:val="00D600D0"/>
    <w:rsid w:val="00D60466"/>
    <w:rsid w:val="00D60758"/>
    <w:rsid w:val="00D60D79"/>
    <w:rsid w:val="00D61312"/>
    <w:rsid w:val="00D61756"/>
    <w:rsid w:val="00D61968"/>
    <w:rsid w:val="00D62D1D"/>
    <w:rsid w:val="00D636B2"/>
    <w:rsid w:val="00D639B1"/>
    <w:rsid w:val="00D660D4"/>
    <w:rsid w:val="00D67320"/>
    <w:rsid w:val="00D677AC"/>
    <w:rsid w:val="00D7072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3C75"/>
    <w:rsid w:val="00D8514A"/>
    <w:rsid w:val="00D85F25"/>
    <w:rsid w:val="00D86AB7"/>
    <w:rsid w:val="00D873FF"/>
    <w:rsid w:val="00D874CA"/>
    <w:rsid w:val="00D90C06"/>
    <w:rsid w:val="00D90F20"/>
    <w:rsid w:val="00D911D0"/>
    <w:rsid w:val="00D918E7"/>
    <w:rsid w:val="00D92BA3"/>
    <w:rsid w:val="00D93177"/>
    <w:rsid w:val="00D931CE"/>
    <w:rsid w:val="00D94618"/>
    <w:rsid w:val="00D94905"/>
    <w:rsid w:val="00D95150"/>
    <w:rsid w:val="00D9579B"/>
    <w:rsid w:val="00D95860"/>
    <w:rsid w:val="00D95BA7"/>
    <w:rsid w:val="00D96131"/>
    <w:rsid w:val="00D96C3B"/>
    <w:rsid w:val="00D97FBC"/>
    <w:rsid w:val="00DA045B"/>
    <w:rsid w:val="00DA22AF"/>
    <w:rsid w:val="00DA2824"/>
    <w:rsid w:val="00DA2E46"/>
    <w:rsid w:val="00DA329F"/>
    <w:rsid w:val="00DA3AC6"/>
    <w:rsid w:val="00DA3D68"/>
    <w:rsid w:val="00DB051B"/>
    <w:rsid w:val="00DB0984"/>
    <w:rsid w:val="00DB285C"/>
    <w:rsid w:val="00DB28FF"/>
    <w:rsid w:val="00DB5118"/>
    <w:rsid w:val="00DB54AC"/>
    <w:rsid w:val="00DB6443"/>
    <w:rsid w:val="00DB78B1"/>
    <w:rsid w:val="00DC1565"/>
    <w:rsid w:val="00DC248C"/>
    <w:rsid w:val="00DC2E90"/>
    <w:rsid w:val="00DC3A67"/>
    <w:rsid w:val="00DC3E73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6CA8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E73C2"/>
    <w:rsid w:val="00DF2B9E"/>
    <w:rsid w:val="00DF3F40"/>
    <w:rsid w:val="00DF4CD5"/>
    <w:rsid w:val="00DF519D"/>
    <w:rsid w:val="00DF52E3"/>
    <w:rsid w:val="00DF5B63"/>
    <w:rsid w:val="00DF6115"/>
    <w:rsid w:val="00DF6FFD"/>
    <w:rsid w:val="00E00FE3"/>
    <w:rsid w:val="00E03D53"/>
    <w:rsid w:val="00E03D63"/>
    <w:rsid w:val="00E03F9F"/>
    <w:rsid w:val="00E04568"/>
    <w:rsid w:val="00E04C33"/>
    <w:rsid w:val="00E06296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45BD"/>
    <w:rsid w:val="00E15715"/>
    <w:rsid w:val="00E16C03"/>
    <w:rsid w:val="00E172CE"/>
    <w:rsid w:val="00E17556"/>
    <w:rsid w:val="00E20F50"/>
    <w:rsid w:val="00E218B1"/>
    <w:rsid w:val="00E21E7C"/>
    <w:rsid w:val="00E220E1"/>
    <w:rsid w:val="00E226F4"/>
    <w:rsid w:val="00E22C71"/>
    <w:rsid w:val="00E22D9B"/>
    <w:rsid w:val="00E24E81"/>
    <w:rsid w:val="00E24E84"/>
    <w:rsid w:val="00E26018"/>
    <w:rsid w:val="00E26296"/>
    <w:rsid w:val="00E26E5C"/>
    <w:rsid w:val="00E2785A"/>
    <w:rsid w:val="00E30126"/>
    <w:rsid w:val="00E30656"/>
    <w:rsid w:val="00E3237E"/>
    <w:rsid w:val="00E332C4"/>
    <w:rsid w:val="00E34C8B"/>
    <w:rsid w:val="00E365AD"/>
    <w:rsid w:val="00E36D9C"/>
    <w:rsid w:val="00E3701F"/>
    <w:rsid w:val="00E4103C"/>
    <w:rsid w:val="00E4130E"/>
    <w:rsid w:val="00E42181"/>
    <w:rsid w:val="00E426BB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87A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A08"/>
    <w:rsid w:val="00E66E4C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2FA3"/>
    <w:rsid w:val="00E83954"/>
    <w:rsid w:val="00E83AF9"/>
    <w:rsid w:val="00E85F86"/>
    <w:rsid w:val="00E86866"/>
    <w:rsid w:val="00E86AA5"/>
    <w:rsid w:val="00E86C08"/>
    <w:rsid w:val="00E86FD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18ED"/>
    <w:rsid w:val="00EA2319"/>
    <w:rsid w:val="00EA2BC0"/>
    <w:rsid w:val="00EA3091"/>
    <w:rsid w:val="00EA351F"/>
    <w:rsid w:val="00EA3565"/>
    <w:rsid w:val="00EA3830"/>
    <w:rsid w:val="00EA5BC1"/>
    <w:rsid w:val="00EA6C1F"/>
    <w:rsid w:val="00EB2701"/>
    <w:rsid w:val="00EB475B"/>
    <w:rsid w:val="00EB51F7"/>
    <w:rsid w:val="00EB588E"/>
    <w:rsid w:val="00EB6391"/>
    <w:rsid w:val="00EC00C8"/>
    <w:rsid w:val="00EC3EA9"/>
    <w:rsid w:val="00EC5C02"/>
    <w:rsid w:val="00EC5C59"/>
    <w:rsid w:val="00EC7052"/>
    <w:rsid w:val="00ED15E0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1B4F"/>
    <w:rsid w:val="00EE2073"/>
    <w:rsid w:val="00EE2538"/>
    <w:rsid w:val="00EE458F"/>
    <w:rsid w:val="00EE4E9F"/>
    <w:rsid w:val="00EE66A4"/>
    <w:rsid w:val="00EE6C60"/>
    <w:rsid w:val="00EE73E9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214"/>
    <w:rsid w:val="00F049E7"/>
    <w:rsid w:val="00F04DF6"/>
    <w:rsid w:val="00F0544B"/>
    <w:rsid w:val="00F064F0"/>
    <w:rsid w:val="00F0722D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B54"/>
    <w:rsid w:val="00F215FF"/>
    <w:rsid w:val="00F219E1"/>
    <w:rsid w:val="00F22407"/>
    <w:rsid w:val="00F250AC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3CA"/>
    <w:rsid w:val="00F37551"/>
    <w:rsid w:val="00F378AE"/>
    <w:rsid w:val="00F378C4"/>
    <w:rsid w:val="00F427E6"/>
    <w:rsid w:val="00F44BD9"/>
    <w:rsid w:val="00F44D01"/>
    <w:rsid w:val="00F4718D"/>
    <w:rsid w:val="00F507C3"/>
    <w:rsid w:val="00F5160A"/>
    <w:rsid w:val="00F53BD5"/>
    <w:rsid w:val="00F55452"/>
    <w:rsid w:val="00F55CCD"/>
    <w:rsid w:val="00F55ED4"/>
    <w:rsid w:val="00F5668D"/>
    <w:rsid w:val="00F574C9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41CF"/>
    <w:rsid w:val="00F75114"/>
    <w:rsid w:val="00F75B14"/>
    <w:rsid w:val="00F76BA9"/>
    <w:rsid w:val="00F76D17"/>
    <w:rsid w:val="00F77043"/>
    <w:rsid w:val="00F77278"/>
    <w:rsid w:val="00F77DA8"/>
    <w:rsid w:val="00F82D06"/>
    <w:rsid w:val="00F848BB"/>
    <w:rsid w:val="00F8667C"/>
    <w:rsid w:val="00F922A4"/>
    <w:rsid w:val="00F92401"/>
    <w:rsid w:val="00F9278D"/>
    <w:rsid w:val="00F942CA"/>
    <w:rsid w:val="00F96E44"/>
    <w:rsid w:val="00F97F53"/>
    <w:rsid w:val="00FA01F6"/>
    <w:rsid w:val="00FA05A6"/>
    <w:rsid w:val="00FA065C"/>
    <w:rsid w:val="00FA1846"/>
    <w:rsid w:val="00FA248F"/>
    <w:rsid w:val="00FA39CF"/>
    <w:rsid w:val="00FA4138"/>
    <w:rsid w:val="00FA7107"/>
    <w:rsid w:val="00FB0938"/>
    <w:rsid w:val="00FB0A87"/>
    <w:rsid w:val="00FB1FBC"/>
    <w:rsid w:val="00FB5FF5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11"/>
    <w:rsid w:val="00FF09B6"/>
    <w:rsid w:val="00FF359B"/>
    <w:rsid w:val="00FF3861"/>
    <w:rsid w:val="00FF407B"/>
    <w:rsid w:val="00FF416E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B08C306"/>
  <w15:docId w15:val="{EFDADB61-7CB6-40CA-988B-83C78F1E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036B92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1A0FBC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1A0FB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051956"/>
    <w:rPr>
      <w:i/>
      <w:color w:val="000000" w:themeColor="text1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image007.jpg@01D1641F.560002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EFAF-1885-453C-A782-1118B465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A4C3FC-AFB7-44A4-AF7D-708712A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5a Knowledge Check Preparation Trainee Guide</vt:lpstr>
    </vt:vector>
  </TitlesOfParts>
  <Company>Department of Veterans Affairs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5a Knowledge Check Preparation Trainee Guide</dc:title>
  <dc:creator>Pension and Fiduciary Service</dc:creator>
  <cp:lastModifiedBy>Virnig, Lori B</cp:lastModifiedBy>
  <cp:revision>11</cp:revision>
  <dcterms:created xsi:type="dcterms:W3CDTF">2017-05-16T16:41:00Z</dcterms:created>
  <dcterms:modified xsi:type="dcterms:W3CDTF">2017-09-26T18:57:00Z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