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5AA49" w14:textId="77777777" w:rsidR="003F0588" w:rsidRDefault="003F0588">
      <w:pPr>
        <w:pStyle w:val="VBALessonPlanTitle"/>
        <w:rPr>
          <w:color w:val="auto"/>
        </w:rPr>
      </w:pPr>
      <w:bookmarkStart w:id="0" w:name="_Toc276556863"/>
      <w:r>
        <w:rPr>
          <w:color w:val="auto"/>
        </w:rPr>
        <w:t>Pre-Discharge Benefits Delivery at Discharge (BDD)</w:t>
      </w:r>
      <w:r w:rsidRPr="00CF32D6">
        <w:rPr>
          <w:color w:val="auto"/>
        </w:rPr>
        <w:t xml:space="preserve"> Development</w:t>
      </w:r>
      <w:r>
        <w:rPr>
          <w:color w:val="auto"/>
        </w:rPr>
        <w:t xml:space="preserve"> </w:t>
      </w:r>
    </w:p>
    <w:p w14:paraId="59B8C882" w14:textId="07D299B3" w:rsidR="007A5600" w:rsidRDefault="007A5600">
      <w:pPr>
        <w:pStyle w:val="VBALessonPlanTitle"/>
        <w:rPr>
          <w:color w:val="auto"/>
        </w:rPr>
      </w:pPr>
      <w:r>
        <w:rPr>
          <w:color w:val="auto"/>
        </w:rPr>
        <w:t>Trainee Handout</w:t>
      </w:r>
      <w:bookmarkEnd w:id="0"/>
    </w:p>
    <w:p w14:paraId="59B8C883" w14:textId="77777777" w:rsidR="007A5600" w:rsidRDefault="007A5600">
      <w:pPr>
        <w:pStyle w:val="VBATopicHeading1"/>
      </w:pPr>
      <w:bookmarkStart w:id="1" w:name="_Toc276556864"/>
    </w:p>
    <w:p w14:paraId="59B8C884"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9B8C885" w14:textId="77777777" w:rsidR="007A5600" w:rsidRDefault="007A5600"/>
    <w:p w14:paraId="55961BE4" w14:textId="77777777" w:rsidR="00DD07FB"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93254629" w:history="1">
        <w:r w:rsidR="00DD07FB" w:rsidRPr="00F57C23">
          <w:rPr>
            <w:rStyle w:val="Hyperlink"/>
          </w:rPr>
          <w:t>Objectives</w:t>
        </w:r>
        <w:r w:rsidR="00DD07FB">
          <w:rPr>
            <w:webHidden/>
          </w:rPr>
          <w:tab/>
        </w:r>
        <w:r w:rsidR="00DD07FB">
          <w:rPr>
            <w:webHidden/>
          </w:rPr>
          <w:fldChar w:fldCharType="begin"/>
        </w:r>
        <w:r w:rsidR="00DD07FB">
          <w:rPr>
            <w:webHidden/>
          </w:rPr>
          <w:instrText xml:space="preserve"> PAGEREF _Toc493254629 \h </w:instrText>
        </w:r>
        <w:r w:rsidR="00DD07FB">
          <w:rPr>
            <w:webHidden/>
          </w:rPr>
        </w:r>
        <w:r w:rsidR="00DD07FB">
          <w:rPr>
            <w:webHidden/>
          </w:rPr>
          <w:fldChar w:fldCharType="separate"/>
        </w:r>
        <w:r w:rsidR="00DD07FB">
          <w:rPr>
            <w:webHidden/>
          </w:rPr>
          <w:t>2</w:t>
        </w:r>
        <w:r w:rsidR="00DD07FB">
          <w:rPr>
            <w:webHidden/>
          </w:rPr>
          <w:fldChar w:fldCharType="end"/>
        </w:r>
      </w:hyperlink>
    </w:p>
    <w:p w14:paraId="7AB8D6BC" w14:textId="77777777" w:rsidR="00DD07FB" w:rsidRDefault="00FC6D7E">
      <w:pPr>
        <w:pStyle w:val="TOC1"/>
        <w:rPr>
          <w:rFonts w:asciiTheme="minorHAnsi" w:eastAsiaTheme="minorEastAsia" w:hAnsiTheme="minorHAnsi" w:cstheme="minorBidi"/>
          <w:sz w:val="22"/>
        </w:rPr>
      </w:pPr>
      <w:hyperlink w:anchor="_Toc493254630" w:history="1">
        <w:r w:rsidR="00DD07FB" w:rsidRPr="00F57C23">
          <w:rPr>
            <w:rStyle w:val="Hyperlink"/>
          </w:rPr>
          <w:t>References</w:t>
        </w:r>
        <w:r w:rsidR="00DD07FB">
          <w:rPr>
            <w:webHidden/>
          </w:rPr>
          <w:tab/>
        </w:r>
        <w:r w:rsidR="00DD07FB">
          <w:rPr>
            <w:webHidden/>
          </w:rPr>
          <w:fldChar w:fldCharType="begin"/>
        </w:r>
        <w:r w:rsidR="00DD07FB">
          <w:rPr>
            <w:webHidden/>
          </w:rPr>
          <w:instrText xml:space="preserve"> PAGEREF _Toc493254630 \h </w:instrText>
        </w:r>
        <w:r w:rsidR="00DD07FB">
          <w:rPr>
            <w:webHidden/>
          </w:rPr>
        </w:r>
        <w:r w:rsidR="00DD07FB">
          <w:rPr>
            <w:webHidden/>
          </w:rPr>
          <w:fldChar w:fldCharType="separate"/>
        </w:r>
        <w:r w:rsidR="00DD07FB">
          <w:rPr>
            <w:webHidden/>
          </w:rPr>
          <w:t>3</w:t>
        </w:r>
        <w:r w:rsidR="00DD07FB">
          <w:rPr>
            <w:webHidden/>
          </w:rPr>
          <w:fldChar w:fldCharType="end"/>
        </w:r>
      </w:hyperlink>
    </w:p>
    <w:p w14:paraId="2012F37E" w14:textId="77777777" w:rsidR="00DD07FB" w:rsidRDefault="00FC6D7E">
      <w:pPr>
        <w:pStyle w:val="TOC1"/>
        <w:rPr>
          <w:rFonts w:asciiTheme="minorHAnsi" w:eastAsiaTheme="minorEastAsia" w:hAnsiTheme="minorHAnsi" w:cstheme="minorBidi"/>
          <w:sz w:val="22"/>
        </w:rPr>
      </w:pPr>
      <w:hyperlink w:anchor="_Toc493254631" w:history="1">
        <w:r w:rsidR="00DD07FB" w:rsidRPr="00F57C23">
          <w:rPr>
            <w:rStyle w:val="Hyperlink"/>
          </w:rPr>
          <w:t>Topic 1: Qualification for BDD Program</w:t>
        </w:r>
        <w:r w:rsidR="00DD07FB">
          <w:rPr>
            <w:webHidden/>
          </w:rPr>
          <w:tab/>
        </w:r>
        <w:r w:rsidR="00DD07FB">
          <w:rPr>
            <w:webHidden/>
          </w:rPr>
          <w:fldChar w:fldCharType="begin"/>
        </w:r>
        <w:r w:rsidR="00DD07FB">
          <w:rPr>
            <w:webHidden/>
          </w:rPr>
          <w:instrText xml:space="preserve"> PAGEREF _Toc493254631 \h </w:instrText>
        </w:r>
        <w:r w:rsidR="00DD07FB">
          <w:rPr>
            <w:webHidden/>
          </w:rPr>
        </w:r>
        <w:r w:rsidR="00DD07FB">
          <w:rPr>
            <w:webHidden/>
          </w:rPr>
          <w:fldChar w:fldCharType="separate"/>
        </w:r>
        <w:r w:rsidR="00DD07FB">
          <w:rPr>
            <w:webHidden/>
          </w:rPr>
          <w:t>4</w:t>
        </w:r>
        <w:r w:rsidR="00DD07FB">
          <w:rPr>
            <w:webHidden/>
          </w:rPr>
          <w:fldChar w:fldCharType="end"/>
        </w:r>
      </w:hyperlink>
    </w:p>
    <w:p w14:paraId="1213F2BB" w14:textId="77777777" w:rsidR="00DD07FB" w:rsidRDefault="00FC6D7E">
      <w:pPr>
        <w:pStyle w:val="TOC1"/>
        <w:rPr>
          <w:rFonts w:asciiTheme="minorHAnsi" w:eastAsiaTheme="minorEastAsia" w:hAnsiTheme="minorHAnsi" w:cstheme="minorBidi"/>
          <w:sz w:val="22"/>
        </w:rPr>
      </w:pPr>
      <w:hyperlink w:anchor="_Toc493254632" w:history="1">
        <w:r w:rsidR="00DD07FB" w:rsidRPr="00F57C23">
          <w:rPr>
            <w:rStyle w:val="Hyperlink"/>
          </w:rPr>
          <w:t>Topic 2: Pre-Discharge BDD Development</w:t>
        </w:r>
        <w:r w:rsidR="00DD07FB">
          <w:rPr>
            <w:webHidden/>
          </w:rPr>
          <w:tab/>
        </w:r>
        <w:r w:rsidR="00DD07FB">
          <w:rPr>
            <w:webHidden/>
          </w:rPr>
          <w:fldChar w:fldCharType="begin"/>
        </w:r>
        <w:r w:rsidR="00DD07FB">
          <w:rPr>
            <w:webHidden/>
          </w:rPr>
          <w:instrText xml:space="preserve"> PAGEREF _Toc493254632 \h </w:instrText>
        </w:r>
        <w:r w:rsidR="00DD07FB">
          <w:rPr>
            <w:webHidden/>
          </w:rPr>
        </w:r>
        <w:r w:rsidR="00DD07FB">
          <w:rPr>
            <w:webHidden/>
          </w:rPr>
          <w:fldChar w:fldCharType="separate"/>
        </w:r>
        <w:r w:rsidR="00DD07FB">
          <w:rPr>
            <w:webHidden/>
          </w:rPr>
          <w:t>7</w:t>
        </w:r>
        <w:r w:rsidR="00DD07FB">
          <w:rPr>
            <w:webHidden/>
          </w:rPr>
          <w:fldChar w:fldCharType="end"/>
        </w:r>
      </w:hyperlink>
    </w:p>
    <w:p w14:paraId="2253AE20" w14:textId="77777777" w:rsidR="00DD07FB" w:rsidRDefault="00FC6D7E">
      <w:pPr>
        <w:pStyle w:val="TOC1"/>
        <w:rPr>
          <w:rFonts w:asciiTheme="minorHAnsi" w:eastAsiaTheme="minorEastAsia" w:hAnsiTheme="minorHAnsi" w:cstheme="minorBidi"/>
          <w:sz w:val="22"/>
        </w:rPr>
      </w:pPr>
      <w:hyperlink w:anchor="_Toc493254633" w:history="1">
        <w:r w:rsidR="00DD07FB" w:rsidRPr="00F57C23">
          <w:rPr>
            <w:rStyle w:val="Hyperlink"/>
          </w:rPr>
          <w:t>Topic 3: Completion of Pre-Discharge BDD Claims</w:t>
        </w:r>
        <w:r w:rsidR="00DD07FB">
          <w:rPr>
            <w:webHidden/>
          </w:rPr>
          <w:tab/>
        </w:r>
        <w:r w:rsidR="00DD07FB">
          <w:rPr>
            <w:webHidden/>
          </w:rPr>
          <w:fldChar w:fldCharType="begin"/>
        </w:r>
        <w:r w:rsidR="00DD07FB">
          <w:rPr>
            <w:webHidden/>
          </w:rPr>
          <w:instrText xml:space="preserve"> PAGEREF _Toc493254633 \h </w:instrText>
        </w:r>
        <w:r w:rsidR="00DD07FB">
          <w:rPr>
            <w:webHidden/>
          </w:rPr>
        </w:r>
        <w:r w:rsidR="00DD07FB">
          <w:rPr>
            <w:webHidden/>
          </w:rPr>
          <w:fldChar w:fldCharType="separate"/>
        </w:r>
        <w:r w:rsidR="00DD07FB">
          <w:rPr>
            <w:webHidden/>
          </w:rPr>
          <w:t>12</w:t>
        </w:r>
        <w:r w:rsidR="00DD07FB">
          <w:rPr>
            <w:webHidden/>
          </w:rPr>
          <w:fldChar w:fldCharType="end"/>
        </w:r>
      </w:hyperlink>
    </w:p>
    <w:p w14:paraId="59B8C88E" w14:textId="77777777" w:rsidR="007A5600" w:rsidRDefault="007A5600">
      <w:pPr>
        <w:pStyle w:val="VBATopicHeading1"/>
        <w:rPr>
          <w:sz w:val="24"/>
        </w:rPr>
      </w:pPr>
      <w:r>
        <w:rPr>
          <w:rStyle w:val="Hyperlink"/>
          <w:bCs/>
          <w:szCs w:val="24"/>
        </w:rPr>
        <w:fldChar w:fldCharType="end"/>
      </w:r>
    </w:p>
    <w:p w14:paraId="59B8C88F" w14:textId="77777777" w:rsidR="007A5600" w:rsidRDefault="007A5600"/>
    <w:p w14:paraId="59B8C890" w14:textId="77777777" w:rsidR="007A5600" w:rsidRDefault="007A5600"/>
    <w:p w14:paraId="59B8C891" w14:textId="77777777" w:rsidR="007A5600" w:rsidRDefault="007A5600"/>
    <w:p w14:paraId="59B8C892" w14:textId="77777777" w:rsidR="007A5600" w:rsidRDefault="007A5600"/>
    <w:p w14:paraId="59B8C893" w14:textId="77777777" w:rsidR="007A5600" w:rsidRDefault="007A5600"/>
    <w:p w14:paraId="59B8C894" w14:textId="77777777" w:rsidR="007A5600" w:rsidRDefault="007A5600"/>
    <w:p w14:paraId="59B8C895" w14:textId="77777777" w:rsidR="007A5600" w:rsidRDefault="007A5600"/>
    <w:p w14:paraId="59B8C896" w14:textId="77777777" w:rsidR="007A5600" w:rsidRDefault="007A5600"/>
    <w:p w14:paraId="59B8C897" w14:textId="77777777" w:rsidR="007A5600" w:rsidRDefault="007A5600">
      <w:pPr>
        <w:overflowPunct/>
        <w:autoSpaceDE/>
        <w:autoSpaceDN/>
        <w:adjustRightInd/>
        <w:spacing w:before="0"/>
      </w:pPr>
      <w:r>
        <w:br w:type="page"/>
      </w:r>
    </w:p>
    <w:p w14:paraId="59B8C898" w14:textId="77777777" w:rsidR="007A5600" w:rsidRDefault="007A5600">
      <w:pPr>
        <w:pStyle w:val="VBATopicHeading1"/>
      </w:pPr>
      <w:bookmarkStart w:id="2" w:name="_Toc493254629"/>
      <w:bookmarkStart w:id="3" w:name="_Toc269888405"/>
      <w:bookmarkStart w:id="4" w:name="_Toc269888748"/>
      <w:bookmarkStart w:id="5" w:name="_Toc278291133"/>
      <w:r>
        <w:lastRenderedPageBreak/>
        <w:t>Objectives</w:t>
      </w:r>
      <w:bookmarkEnd w:id="2"/>
    </w:p>
    <w:p w14:paraId="527126D6" w14:textId="77777777" w:rsidR="003F0588" w:rsidRDefault="003F0588" w:rsidP="003F0588">
      <w:pPr>
        <w:pStyle w:val="VBAFirstLevelBullet"/>
      </w:pPr>
      <w:r>
        <w:t>Identify a BDD claim and distinguish it from an excluded BDD claim</w:t>
      </w:r>
    </w:p>
    <w:p w14:paraId="59EBD2C1" w14:textId="77777777" w:rsidR="003F0588" w:rsidRDefault="003F0588" w:rsidP="003F0588">
      <w:pPr>
        <w:pStyle w:val="VBAFirstLevelBullet"/>
      </w:pPr>
      <w:r>
        <w:t>Understand the development procedures for Pre-Discharge BDD claims</w:t>
      </w:r>
    </w:p>
    <w:p w14:paraId="730BCA2A" w14:textId="2592E1DB" w:rsidR="003F0588" w:rsidRDefault="000265D7" w:rsidP="003F0588">
      <w:pPr>
        <w:pStyle w:val="VBAFirstLevelBullet"/>
      </w:pPr>
      <w:r>
        <w:t>Understand the</w:t>
      </w:r>
      <w:r w:rsidR="00237367">
        <w:t xml:space="preserve"> </w:t>
      </w:r>
      <w:r w:rsidR="003F0588">
        <w:t>process for determining a BDD claim is ready for a decision</w:t>
      </w:r>
    </w:p>
    <w:p w14:paraId="59B8C89D" w14:textId="331AB8CC" w:rsidR="000E3279" w:rsidRDefault="000E3279" w:rsidP="003F0588">
      <w:pPr>
        <w:pStyle w:val="VBAFirstLevelBullet"/>
        <w:numPr>
          <w:ilvl w:val="0"/>
          <w:numId w:val="0"/>
        </w:numPr>
        <w:ind w:left="720"/>
      </w:pPr>
    </w:p>
    <w:p w14:paraId="59B8C89E" w14:textId="77777777" w:rsidR="00212FCB" w:rsidRDefault="00212FCB" w:rsidP="00212FCB">
      <w:pPr>
        <w:pStyle w:val="VBATopicHeading1"/>
        <w:jc w:val="left"/>
        <w:rPr>
          <w:rFonts w:ascii="Times New Roman" w:hAnsi="Times New Roman"/>
          <w:b w:val="0"/>
          <w:smallCaps w:val="0"/>
          <w:sz w:val="24"/>
          <w:szCs w:val="20"/>
        </w:rPr>
      </w:pPr>
    </w:p>
    <w:p w14:paraId="59B8C89F" w14:textId="77777777" w:rsidR="007A5600" w:rsidRDefault="007A5600" w:rsidP="000E3279">
      <w:pPr>
        <w:pStyle w:val="VBATopicHeading1"/>
      </w:pPr>
      <w:r>
        <w:br w:type="page"/>
      </w:r>
      <w:bookmarkStart w:id="6" w:name="_Toc493254630"/>
      <w:r>
        <w:lastRenderedPageBreak/>
        <w:t>References</w:t>
      </w:r>
      <w:bookmarkEnd w:id="6"/>
    </w:p>
    <w:p w14:paraId="01F3BD41" w14:textId="49B9059A" w:rsidR="003F0588" w:rsidRPr="0079362F" w:rsidRDefault="00FC6D7E" w:rsidP="00BD1D1F">
      <w:pPr>
        <w:pStyle w:val="VBAFirstLevelBullet"/>
        <w:numPr>
          <w:ilvl w:val="0"/>
          <w:numId w:val="2"/>
        </w:numPr>
        <w:ind w:left="360"/>
      </w:pPr>
      <w:hyperlink r:id="rId12" w:history="1">
        <w:r w:rsidR="00BD1D1F" w:rsidRPr="00BD1D1F">
          <w:rPr>
            <w:rStyle w:val="Hyperlink"/>
          </w:rPr>
          <w:t>M21-1, Part III, Subpart i, 2.A, General Information on Pre-Discharge Claims</w:t>
        </w:r>
      </w:hyperlink>
    </w:p>
    <w:p w14:paraId="59B8C8A3" w14:textId="31037ED1" w:rsidR="00212FCB" w:rsidRPr="00212FCB" w:rsidRDefault="00FC6D7E" w:rsidP="005A795D">
      <w:pPr>
        <w:pStyle w:val="ListParagraph"/>
        <w:numPr>
          <w:ilvl w:val="0"/>
          <w:numId w:val="2"/>
        </w:numPr>
        <w:spacing w:before="0" w:after="120"/>
        <w:ind w:left="360"/>
        <w:textAlignment w:val="baseline"/>
        <w:rPr>
          <w:b/>
        </w:rPr>
      </w:pPr>
      <w:hyperlink r:id="rId13" w:history="1">
        <w:r w:rsidR="003F0588" w:rsidRPr="00BD1D1F">
          <w:rPr>
            <w:rStyle w:val="Hyperlink"/>
          </w:rPr>
          <w:t>M21-1, Part III, Subpart i, 2.B, Division of Responsibilities for Processing Benefits Delivery at Discharge (BDD) and BDD Excluded Claims</w:t>
        </w:r>
      </w:hyperlink>
    </w:p>
    <w:p w14:paraId="59B8C8A4" w14:textId="0E2DD38B" w:rsidR="00212FCB" w:rsidRDefault="00212FCB" w:rsidP="00DD07FB">
      <w:r w:rsidRPr="00212FCB">
        <w:rPr>
          <w:noProof/>
        </w:rPr>
        <w:t xml:space="preserve">All M21-1 references are found in the </w:t>
      </w:r>
      <w:hyperlink r:id="rId14" w:history="1">
        <w:r w:rsidRPr="00212FCB">
          <w:rPr>
            <w:noProof/>
            <w:u w:val="single"/>
          </w:rPr>
          <w:t>Live Manual Website</w:t>
        </w:r>
      </w:hyperlink>
      <w:r w:rsidRPr="00212FCB">
        <w:rPr>
          <w:noProof/>
        </w:rPr>
        <w:t xml:space="preserve">. </w:t>
      </w:r>
      <w:r w:rsidRPr="00212FCB">
        <w:t xml:space="preserve">Explain </w:t>
      </w:r>
      <w:r w:rsidRPr="00212FCB">
        <w:rPr>
          <w:spacing w:val="-1"/>
        </w:rPr>
        <w:t>how to access these references.</w:t>
      </w:r>
    </w:p>
    <w:p w14:paraId="59B8C8A5" w14:textId="77777777" w:rsidR="00F86C93" w:rsidRDefault="00F86C93" w:rsidP="00F86C93">
      <w:pPr>
        <w:pStyle w:val="VBATopicHeading1"/>
        <w:ind w:left="720"/>
      </w:pPr>
    </w:p>
    <w:p w14:paraId="59B8C8A6" w14:textId="77777777" w:rsidR="00F86C93" w:rsidRDefault="00F86C93" w:rsidP="00F86C93">
      <w:pPr>
        <w:ind w:left="360"/>
      </w:pPr>
    </w:p>
    <w:p w14:paraId="59B8C8A7"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59B8C8A8" w14:textId="77777777" w:rsidR="007A5600" w:rsidRDefault="007A5600"/>
    <w:p w14:paraId="59B8C8A9" w14:textId="77777777" w:rsidR="007A5600" w:rsidRDefault="007A5600"/>
    <w:p w14:paraId="59B8C8AA" w14:textId="77777777" w:rsidR="007A5600" w:rsidRDefault="007A5600"/>
    <w:p w14:paraId="59B8C8AB" w14:textId="77777777" w:rsidR="007A5600" w:rsidRDefault="007A5600"/>
    <w:p w14:paraId="59B8C8AC" w14:textId="77777777" w:rsidR="007A5600" w:rsidRDefault="007A5600"/>
    <w:p w14:paraId="59B8C8AD" w14:textId="77777777" w:rsidR="007A5600" w:rsidRDefault="007A5600"/>
    <w:p w14:paraId="59B8C8AE" w14:textId="77777777" w:rsidR="007A5600" w:rsidRDefault="007A5600"/>
    <w:p w14:paraId="59B8C8AF" w14:textId="77777777" w:rsidR="007A5600" w:rsidRDefault="007A5600"/>
    <w:p w14:paraId="59B8C8B0" w14:textId="77777777" w:rsidR="007A5600" w:rsidRDefault="007A5600"/>
    <w:p w14:paraId="59B8C8B1" w14:textId="77777777" w:rsidR="007A5600" w:rsidRDefault="007A5600"/>
    <w:p w14:paraId="59B8C8B2" w14:textId="77777777" w:rsidR="007A5600" w:rsidRDefault="007A5600"/>
    <w:p w14:paraId="59B8C8B3" w14:textId="77777777" w:rsidR="007A5600" w:rsidRDefault="007A5600"/>
    <w:p w14:paraId="59B8C8B4" w14:textId="77777777" w:rsidR="007A5600" w:rsidRDefault="007A5600"/>
    <w:p w14:paraId="59B8C8B5" w14:textId="77777777" w:rsidR="007A5600" w:rsidRDefault="007A5600"/>
    <w:p w14:paraId="59B8C8B6" w14:textId="77777777" w:rsidR="007A5600" w:rsidRDefault="007A5600"/>
    <w:p w14:paraId="59B8C8B7" w14:textId="77777777" w:rsidR="007A5600" w:rsidRDefault="007A5600"/>
    <w:p w14:paraId="59B8C8B8" w14:textId="77777777" w:rsidR="007A5600" w:rsidRDefault="007A5600"/>
    <w:p w14:paraId="59B8C8B9" w14:textId="77777777" w:rsidR="007A5600" w:rsidRDefault="007A5600"/>
    <w:p w14:paraId="59B8C8BA" w14:textId="77777777" w:rsidR="007A5600" w:rsidRDefault="007A5600"/>
    <w:p w14:paraId="59B8C8BB" w14:textId="77777777" w:rsidR="007A5600" w:rsidRDefault="007A5600"/>
    <w:p w14:paraId="59B8C8BC" w14:textId="77777777" w:rsidR="007A5600" w:rsidRDefault="007A5600"/>
    <w:p w14:paraId="59B8C8B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59B8C8BE" w14:textId="40801BA4" w:rsidR="00975461" w:rsidRPr="00212FCB" w:rsidRDefault="007A5600" w:rsidP="00212FCB">
      <w:pPr>
        <w:pStyle w:val="VBATopicHeading1"/>
        <w:rPr>
          <w:bCs/>
          <w:i/>
        </w:rPr>
      </w:pPr>
      <w:bookmarkStart w:id="7" w:name="_Toc493254631"/>
      <w:r w:rsidRPr="00212FCB">
        <w:lastRenderedPageBreak/>
        <w:t xml:space="preserve">Topic 1: </w:t>
      </w:r>
      <w:r w:rsidR="003F0588" w:rsidRPr="003F0588">
        <w:t>Qualification for BDD Program</w:t>
      </w:r>
      <w:bookmarkEnd w:id="7"/>
    </w:p>
    <w:p w14:paraId="59B8C8BF" w14:textId="16F2469E" w:rsidR="00AA1A39" w:rsidRDefault="003F0588">
      <w:pPr>
        <w:pStyle w:val="VBASubHeading1"/>
        <w:spacing w:before="0"/>
        <w:rPr>
          <w:bCs/>
          <w:i w:val="0"/>
        </w:rPr>
      </w:pPr>
      <w:r>
        <w:rPr>
          <w:b/>
          <w:bCs/>
          <w:i w:val="0"/>
          <w:u w:val="single"/>
        </w:rPr>
        <w:t>Eligibility</w:t>
      </w:r>
      <w:r w:rsidR="00212FCB">
        <w:rPr>
          <w:b/>
          <w:bCs/>
          <w:i w:val="0"/>
          <w:u w:val="single"/>
        </w:rPr>
        <w:t xml:space="preserve"> </w:t>
      </w:r>
    </w:p>
    <w:p w14:paraId="59B8C8C0" w14:textId="77777777" w:rsidR="00212FCB" w:rsidRPr="000D5975" w:rsidRDefault="00212FCB">
      <w:pPr>
        <w:pStyle w:val="VBASubHeading1"/>
        <w:spacing w:before="0"/>
        <w:rPr>
          <w:bCs/>
          <w:i w:val="0"/>
          <w:sz w:val="12"/>
          <w:szCs w:val="12"/>
        </w:rPr>
      </w:pPr>
    </w:p>
    <w:p w14:paraId="4C9A1EAE" w14:textId="5C4A121F" w:rsidR="003347C3" w:rsidRPr="003347C3" w:rsidRDefault="003347C3" w:rsidP="003347C3">
      <w:pPr>
        <w:overflowPunct/>
        <w:autoSpaceDE/>
        <w:autoSpaceDN/>
        <w:adjustRightInd/>
        <w:rPr>
          <w:szCs w:val="24"/>
        </w:rPr>
      </w:pPr>
      <w:r w:rsidRPr="003347C3">
        <w:rPr>
          <w:szCs w:val="24"/>
        </w:rPr>
        <w:t xml:space="preserve">Any </w:t>
      </w:r>
      <w:r w:rsidR="00BD1D1F">
        <w:rPr>
          <w:szCs w:val="24"/>
        </w:rPr>
        <w:t>servicemember (</w:t>
      </w:r>
      <w:r w:rsidRPr="003347C3">
        <w:rPr>
          <w:szCs w:val="24"/>
        </w:rPr>
        <w:t>SM</w:t>
      </w:r>
      <w:r w:rsidR="00BD1D1F">
        <w:rPr>
          <w:szCs w:val="24"/>
        </w:rPr>
        <w:t>)</w:t>
      </w:r>
      <w:r w:rsidRPr="003347C3">
        <w:rPr>
          <w:szCs w:val="24"/>
        </w:rPr>
        <w:t xml:space="preserve"> on active duty</w:t>
      </w:r>
      <w:r w:rsidR="00C009D7">
        <w:rPr>
          <w:szCs w:val="24"/>
        </w:rPr>
        <w:t xml:space="preserve"> may file a pre-discharge claim.  This includes:</w:t>
      </w:r>
    </w:p>
    <w:p w14:paraId="106F048F" w14:textId="77777777" w:rsidR="003F0588" w:rsidRPr="000D5975" w:rsidRDefault="003F0588" w:rsidP="003F0588">
      <w:pPr>
        <w:spacing w:before="0"/>
        <w:textAlignment w:val="baseline"/>
        <w:rPr>
          <w:sz w:val="12"/>
          <w:szCs w:val="12"/>
        </w:rPr>
      </w:pPr>
    </w:p>
    <w:p w14:paraId="0E0EA7B6" w14:textId="77777777" w:rsidR="003F0588" w:rsidRPr="003F0588" w:rsidRDefault="003F0588" w:rsidP="005A795D">
      <w:pPr>
        <w:numPr>
          <w:ilvl w:val="0"/>
          <w:numId w:val="3"/>
        </w:numPr>
        <w:tabs>
          <w:tab w:val="num" w:pos="173"/>
        </w:tabs>
        <w:spacing w:before="0"/>
        <w:textAlignment w:val="baseline"/>
      </w:pPr>
      <w:r w:rsidRPr="003F0588">
        <w:t xml:space="preserve">reservists serving on active duty in an Active Guard Reserve (AGR) role under </w:t>
      </w:r>
      <w:hyperlink r:id="rId15" w:history="1">
        <w:r w:rsidRPr="003F0588">
          <w:rPr>
            <w:rStyle w:val="Hyperlink"/>
          </w:rPr>
          <w:t>10 U.S.C.</w:t>
        </w:r>
      </w:hyperlink>
    </w:p>
    <w:p w14:paraId="37706EEE" w14:textId="77777777" w:rsidR="003F0588" w:rsidRDefault="003F0588" w:rsidP="005A795D">
      <w:pPr>
        <w:numPr>
          <w:ilvl w:val="0"/>
          <w:numId w:val="3"/>
        </w:numPr>
        <w:tabs>
          <w:tab w:val="num" w:pos="173"/>
        </w:tabs>
        <w:spacing w:before="0"/>
        <w:textAlignment w:val="baseline"/>
      </w:pPr>
      <w:r w:rsidRPr="003F0588">
        <w:t xml:space="preserve">full-time National Guard members serving in an AGR role under </w:t>
      </w:r>
      <w:hyperlink r:id="rId16" w:history="1">
        <w:r w:rsidRPr="003F0588">
          <w:rPr>
            <w:rStyle w:val="Hyperlink"/>
          </w:rPr>
          <w:t>32 U.S.C.</w:t>
        </w:r>
      </w:hyperlink>
      <w:r w:rsidRPr="003F0588">
        <w:t>, and</w:t>
      </w:r>
    </w:p>
    <w:p w14:paraId="59B8C8C7" w14:textId="396BD2A2" w:rsidR="00212FCB" w:rsidRDefault="003F0588" w:rsidP="005A795D">
      <w:pPr>
        <w:numPr>
          <w:ilvl w:val="0"/>
          <w:numId w:val="3"/>
        </w:numPr>
        <w:tabs>
          <w:tab w:val="num" w:pos="173"/>
        </w:tabs>
        <w:spacing w:before="0"/>
        <w:textAlignment w:val="baseline"/>
      </w:pPr>
      <w:r w:rsidRPr="003F0588">
        <w:t>SMs undergoing medical evaluation board (MEB) or physical evaluation board (PEB) proceedings who are not currently enrolled in the Integrated Disability Evaluation System (IDES) program.</w:t>
      </w:r>
    </w:p>
    <w:p w14:paraId="47022C57" w14:textId="77777777" w:rsidR="003F0588" w:rsidRDefault="003F0588" w:rsidP="003F0588">
      <w:pPr>
        <w:spacing w:before="0"/>
        <w:ind w:left="720"/>
        <w:textAlignment w:val="baseline"/>
      </w:pPr>
    </w:p>
    <w:p w14:paraId="59B8C8C8" w14:textId="6393D83A" w:rsidR="00212FCB" w:rsidRDefault="003F0588" w:rsidP="00212FCB">
      <w:pPr>
        <w:spacing w:before="0"/>
        <w:textAlignment w:val="baseline"/>
      </w:pPr>
      <w:r>
        <w:rPr>
          <w:b/>
          <w:u w:val="single"/>
        </w:rPr>
        <w:t>Prescribed For</w:t>
      </w:r>
      <w:r w:rsidR="000265D7">
        <w:rPr>
          <w:b/>
          <w:u w:val="single"/>
        </w:rPr>
        <w:t>m</w:t>
      </w:r>
      <w:r>
        <w:rPr>
          <w:b/>
          <w:u w:val="single"/>
        </w:rPr>
        <w:t xml:space="preserve"> Requirement</w:t>
      </w:r>
    </w:p>
    <w:p w14:paraId="59B8C8C9" w14:textId="77777777" w:rsidR="00212FCB" w:rsidRPr="000D5975" w:rsidRDefault="00212FCB" w:rsidP="00212FCB">
      <w:pPr>
        <w:spacing w:before="0"/>
        <w:textAlignment w:val="baseline"/>
        <w:rPr>
          <w:sz w:val="12"/>
          <w:szCs w:val="12"/>
        </w:rPr>
      </w:pPr>
    </w:p>
    <w:p w14:paraId="2E1E0272" w14:textId="77777777" w:rsidR="002F6B48" w:rsidRPr="002F6B48" w:rsidRDefault="002F6B48" w:rsidP="002F6B48">
      <w:pPr>
        <w:spacing w:before="0" w:after="120"/>
        <w:textAlignment w:val="baseline"/>
        <w:rPr>
          <w:i/>
          <w:iCs/>
        </w:rPr>
      </w:pPr>
      <w:r w:rsidRPr="002F6B48">
        <w:t>To file a BDD claim, a SM must complete VA</w:t>
      </w:r>
      <w:r w:rsidRPr="002F6B48">
        <w:rPr>
          <w:iCs/>
        </w:rPr>
        <w:t xml:space="preserve"> Form 21-526EZ</w:t>
      </w:r>
      <w:r w:rsidRPr="002F6B48">
        <w:rPr>
          <w:i/>
          <w:iCs/>
        </w:rPr>
        <w:t>, Application for Disability Compensation and Related Compensation Benefits.</w:t>
      </w:r>
      <w:r w:rsidRPr="002F6B48">
        <w:t xml:space="preserve"> </w:t>
      </w:r>
    </w:p>
    <w:p w14:paraId="6894DB04" w14:textId="77777777" w:rsidR="00C009D7" w:rsidRPr="004B0061" w:rsidRDefault="00C009D7" w:rsidP="008C0056">
      <w:pPr>
        <w:pStyle w:val="BlockText"/>
        <w:spacing w:before="0"/>
        <w:rPr>
          <w:color w:val="auto"/>
        </w:rPr>
      </w:pPr>
    </w:p>
    <w:p w14:paraId="051D7114" w14:textId="2FBCFCA1" w:rsidR="003347C3" w:rsidRPr="00600FC6" w:rsidRDefault="003347C3" w:rsidP="008C0056">
      <w:pPr>
        <w:pStyle w:val="BlockText"/>
        <w:spacing w:before="0"/>
      </w:pPr>
      <w:r w:rsidRPr="00F34F88">
        <w:rPr>
          <w:b/>
          <w:i/>
          <w:color w:val="auto"/>
        </w:rPr>
        <w:t>Note</w:t>
      </w:r>
      <w:r w:rsidRPr="00F34F88">
        <w:rPr>
          <w:color w:val="auto"/>
        </w:rPr>
        <w:t xml:space="preserve">:  </w:t>
      </w:r>
      <w:r w:rsidR="00C009D7">
        <w:t>T</w:t>
      </w:r>
      <w:r w:rsidRPr="00600FC6">
        <w:t xml:space="preserve">he claim must </w:t>
      </w:r>
      <w:r w:rsidRPr="00600FC6">
        <w:rPr>
          <w:b/>
          <w:bCs/>
        </w:rPr>
        <w:t>not</w:t>
      </w:r>
      <w:r w:rsidRPr="00600FC6">
        <w:t xml:space="preserve"> be excluded from Veterans Benefits Management System (VBMS) processing. </w:t>
      </w:r>
    </w:p>
    <w:p w14:paraId="7C9FC828" w14:textId="77777777" w:rsidR="003F0588" w:rsidRPr="00212FCB" w:rsidRDefault="003F0588" w:rsidP="003F0588">
      <w:pPr>
        <w:spacing w:before="0"/>
        <w:textAlignment w:val="baseline"/>
      </w:pPr>
    </w:p>
    <w:p w14:paraId="4F38AD10" w14:textId="029467EA" w:rsidR="003F0588" w:rsidRDefault="003F0588" w:rsidP="00212FCB">
      <w:pPr>
        <w:spacing w:before="0"/>
        <w:rPr>
          <w:b/>
          <w:u w:val="single"/>
        </w:rPr>
      </w:pPr>
      <w:r w:rsidRPr="003F0588">
        <w:rPr>
          <w:b/>
          <w:u w:val="single"/>
        </w:rPr>
        <w:t>BDD v. BDD Excluded</w:t>
      </w:r>
    </w:p>
    <w:p w14:paraId="6A66BE03" w14:textId="77777777" w:rsidR="000D5975" w:rsidRPr="000517E9" w:rsidRDefault="000D5975" w:rsidP="00212FCB">
      <w:pPr>
        <w:spacing w:before="0"/>
        <w:rPr>
          <w:b/>
          <w:sz w:val="12"/>
          <w:szCs w:val="12"/>
          <w:u w:val="single"/>
        </w:rPr>
      </w:pPr>
    </w:p>
    <w:p w14:paraId="6679CE8B" w14:textId="77777777" w:rsidR="003F0588" w:rsidRPr="003F0588" w:rsidRDefault="003F0588" w:rsidP="000D5975">
      <w:pPr>
        <w:spacing w:before="0"/>
      </w:pPr>
      <w:r w:rsidRPr="003F0588">
        <w:t>Pre-Discharge claims received within 180 days prior to discharge will be identified as Benefits Delivery at Discharge (BDD) claims and excluded BDD claims.</w:t>
      </w:r>
    </w:p>
    <w:p w14:paraId="59B8C915" w14:textId="77777777" w:rsidR="00212FCB" w:rsidRDefault="00212FCB" w:rsidP="003F0588">
      <w:pPr>
        <w:spacing w:before="0"/>
      </w:pP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13"/>
        <w:gridCol w:w="2324"/>
      </w:tblGrid>
      <w:tr w:rsidR="003F0588" w:rsidRPr="003F0588" w14:paraId="2DCD5D45" w14:textId="77777777" w:rsidTr="003F0588">
        <w:tc>
          <w:tcPr>
            <w:tcW w:w="2835" w:type="dxa"/>
          </w:tcPr>
          <w:p w14:paraId="7561D6CA" w14:textId="77777777" w:rsidR="003F0588" w:rsidRPr="003F0588" w:rsidRDefault="003F0588" w:rsidP="003F0588">
            <w:pPr>
              <w:spacing w:before="0"/>
            </w:pPr>
            <w:r w:rsidRPr="003F0588">
              <w:t>Days prior to separation claim is submitted</w:t>
            </w:r>
          </w:p>
        </w:tc>
        <w:tc>
          <w:tcPr>
            <w:tcW w:w="1813" w:type="dxa"/>
          </w:tcPr>
          <w:p w14:paraId="457A0263" w14:textId="77777777" w:rsidR="003F0588" w:rsidRPr="003F0588" w:rsidRDefault="003F0588" w:rsidP="003F0588">
            <w:pPr>
              <w:spacing w:before="0"/>
            </w:pPr>
            <w:r w:rsidRPr="003F0588">
              <w:t>90-180 days</w:t>
            </w:r>
          </w:p>
        </w:tc>
        <w:tc>
          <w:tcPr>
            <w:tcW w:w="2324" w:type="dxa"/>
          </w:tcPr>
          <w:p w14:paraId="74BA654E" w14:textId="77777777" w:rsidR="003F0588" w:rsidRPr="003F0588" w:rsidRDefault="003F0588" w:rsidP="003F0588">
            <w:pPr>
              <w:spacing w:before="0"/>
            </w:pPr>
            <w:r w:rsidRPr="003F0588">
              <w:t>1-89 days</w:t>
            </w:r>
          </w:p>
        </w:tc>
      </w:tr>
      <w:tr w:rsidR="003F0588" w:rsidRPr="003F0588" w14:paraId="13AF8255" w14:textId="77777777" w:rsidTr="003F0588">
        <w:tc>
          <w:tcPr>
            <w:tcW w:w="2835" w:type="dxa"/>
          </w:tcPr>
          <w:p w14:paraId="3A7FE42D" w14:textId="77777777" w:rsidR="003F0588" w:rsidRPr="003F0588" w:rsidRDefault="003F0588" w:rsidP="003F0588">
            <w:pPr>
              <w:spacing w:before="0"/>
            </w:pPr>
            <w:r w:rsidRPr="003F0588">
              <w:t>Claim identity</w:t>
            </w:r>
          </w:p>
        </w:tc>
        <w:tc>
          <w:tcPr>
            <w:tcW w:w="1813" w:type="dxa"/>
          </w:tcPr>
          <w:p w14:paraId="57617075" w14:textId="77777777" w:rsidR="003F0588" w:rsidRPr="003F0588" w:rsidRDefault="003F0588" w:rsidP="003F0588">
            <w:pPr>
              <w:spacing w:before="0"/>
            </w:pPr>
            <w:r w:rsidRPr="003F0588">
              <w:t>BDD</w:t>
            </w:r>
          </w:p>
        </w:tc>
        <w:tc>
          <w:tcPr>
            <w:tcW w:w="2324" w:type="dxa"/>
          </w:tcPr>
          <w:p w14:paraId="502417BD" w14:textId="77777777" w:rsidR="003F0588" w:rsidRPr="003F0588" w:rsidRDefault="003F0588" w:rsidP="003F0588">
            <w:pPr>
              <w:spacing w:before="0"/>
            </w:pPr>
            <w:r w:rsidRPr="003F0588">
              <w:t>BDD Excluded</w:t>
            </w:r>
          </w:p>
        </w:tc>
      </w:tr>
    </w:tbl>
    <w:p w14:paraId="4E4D0F4A" w14:textId="77777777" w:rsidR="003F0588" w:rsidRPr="00212FCB" w:rsidRDefault="003F0588" w:rsidP="003F0588">
      <w:pPr>
        <w:spacing w:before="0"/>
      </w:pPr>
    </w:p>
    <w:p w14:paraId="59B8C916" w14:textId="0F78C9D0" w:rsidR="007A5600" w:rsidRPr="003F0588" w:rsidRDefault="003F0588" w:rsidP="003F0588">
      <w:pPr>
        <w:pStyle w:val="VBABodyText0"/>
        <w:spacing w:before="0"/>
        <w:rPr>
          <w:b/>
          <w:u w:val="single"/>
        </w:rPr>
      </w:pPr>
      <w:r w:rsidRPr="003F0588">
        <w:rPr>
          <w:b/>
          <w:u w:val="single"/>
        </w:rPr>
        <w:t>Qualifying Criteria under the BDD Program</w:t>
      </w:r>
    </w:p>
    <w:p w14:paraId="2DD04ADB" w14:textId="77777777" w:rsidR="000517E9" w:rsidRPr="000517E9" w:rsidRDefault="000517E9" w:rsidP="000517E9">
      <w:pPr>
        <w:spacing w:before="0"/>
        <w:rPr>
          <w:b/>
          <w:i/>
          <w:sz w:val="12"/>
          <w:szCs w:val="12"/>
        </w:rPr>
      </w:pPr>
    </w:p>
    <w:p w14:paraId="0B6727A8" w14:textId="2AD47C77" w:rsidR="000517E9" w:rsidRPr="000517E9" w:rsidRDefault="000517E9" w:rsidP="000517E9">
      <w:pPr>
        <w:spacing w:before="0"/>
      </w:pPr>
      <w:r w:rsidRPr="000517E9">
        <w:rPr>
          <w:b/>
          <w:i/>
        </w:rPr>
        <w:t>Important:</w:t>
      </w:r>
      <w:r w:rsidRPr="000517E9">
        <w:t xml:space="preserve">  Please note that any individual who does not meet the other BDD program requirements will also be identified as a BDD excluded claimant even if they file their claim within the 90-180 day prior to discharge timeframe. </w:t>
      </w:r>
    </w:p>
    <w:p w14:paraId="59B8C918" w14:textId="11BD2CE5" w:rsidR="007A5600" w:rsidRPr="000517E9" w:rsidRDefault="007A5600" w:rsidP="003F0588">
      <w:pPr>
        <w:spacing w:before="0"/>
        <w:rPr>
          <w:sz w:val="12"/>
          <w:szCs w:val="12"/>
        </w:rPr>
      </w:pPr>
    </w:p>
    <w:p w14:paraId="55E0AD69" w14:textId="77777777" w:rsidR="003F0588" w:rsidRPr="003F0588" w:rsidRDefault="003F0588" w:rsidP="00DD07FB">
      <w:pPr>
        <w:pStyle w:val="ListParagraph"/>
        <w:numPr>
          <w:ilvl w:val="0"/>
          <w:numId w:val="34"/>
        </w:numPr>
        <w:spacing w:before="0"/>
        <w:ind w:left="540"/>
      </w:pPr>
      <w:r w:rsidRPr="003F0588">
        <w:t xml:space="preserve">The SM must </w:t>
      </w:r>
    </w:p>
    <w:p w14:paraId="2769789D" w14:textId="77777777" w:rsidR="003F0588" w:rsidRPr="003F0588" w:rsidRDefault="003F0588" w:rsidP="00DD07FB">
      <w:pPr>
        <w:numPr>
          <w:ilvl w:val="0"/>
          <w:numId w:val="7"/>
        </w:numPr>
        <w:spacing w:before="0"/>
        <w:ind w:left="900"/>
      </w:pPr>
      <w:r w:rsidRPr="003F0588">
        <w:t>have a known date of discharge</w:t>
      </w:r>
    </w:p>
    <w:p w14:paraId="1444EAA4" w14:textId="77777777" w:rsidR="003F0588" w:rsidRPr="003F0588" w:rsidRDefault="003F0588" w:rsidP="00DD07FB">
      <w:pPr>
        <w:numPr>
          <w:ilvl w:val="0"/>
          <w:numId w:val="7"/>
        </w:numPr>
        <w:spacing w:before="0"/>
        <w:ind w:left="900"/>
      </w:pPr>
      <w:r w:rsidRPr="003F0588">
        <w:t>be 180 days to 90 days from discharge at the time of filing</w:t>
      </w:r>
    </w:p>
    <w:p w14:paraId="32EA539F" w14:textId="41FD2C9B" w:rsidR="003F0588" w:rsidRPr="003F0588" w:rsidRDefault="003F0588" w:rsidP="00DD07FB">
      <w:pPr>
        <w:numPr>
          <w:ilvl w:val="0"/>
          <w:numId w:val="7"/>
        </w:numPr>
        <w:spacing w:before="0"/>
        <w:ind w:left="900"/>
      </w:pPr>
      <w:r w:rsidRPr="003F0588">
        <w:t xml:space="preserve">be available to report for examinations </w:t>
      </w:r>
      <w:r w:rsidR="009E3121" w:rsidRPr="009E3121">
        <w:t>between the 10</w:t>
      </w:r>
      <w:r w:rsidR="009E3121" w:rsidRPr="009E3121">
        <w:rPr>
          <w:vertAlign w:val="superscript"/>
        </w:rPr>
        <w:t>th</w:t>
      </w:r>
      <w:r w:rsidR="009E3121" w:rsidRPr="009E3121">
        <w:t xml:space="preserve"> through the 45</w:t>
      </w:r>
      <w:r w:rsidR="009E3121" w:rsidRPr="009E3121">
        <w:rPr>
          <w:vertAlign w:val="superscript"/>
        </w:rPr>
        <w:t>th</w:t>
      </w:r>
      <w:r w:rsidR="009E3121" w:rsidRPr="009E3121">
        <w:t xml:space="preserve"> day </w:t>
      </w:r>
      <w:r w:rsidRPr="003F0588">
        <w:t>from the date the claim was received (</w:t>
      </w:r>
      <w:r w:rsidRPr="003F0588">
        <w:rPr>
          <w:b/>
          <w:i/>
        </w:rPr>
        <w:t>Example</w:t>
      </w:r>
      <w:r w:rsidRPr="003F0588">
        <w:t>:  For a claim received on January 1, 2017</w:t>
      </w:r>
      <w:r w:rsidR="00160D71">
        <w:t>,</w:t>
      </w:r>
      <w:r w:rsidRPr="003F0588">
        <w:t xml:space="preserve"> the SM must be available for examination from January 10, 2017 through February 15, 2017) </w:t>
      </w:r>
    </w:p>
    <w:p w14:paraId="6296BD85" w14:textId="77777777" w:rsidR="003F0588" w:rsidRPr="003F0588" w:rsidRDefault="003F0588" w:rsidP="00DD07FB">
      <w:pPr>
        <w:numPr>
          <w:ilvl w:val="0"/>
          <w:numId w:val="7"/>
        </w:numPr>
        <w:spacing w:before="0"/>
        <w:ind w:left="900"/>
      </w:pPr>
      <w:r w:rsidRPr="003F0588">
        <w:t>provide a copy of the service treatment records (STRs) from their current period of service</w:t>
      </w:r>
    </w:p>
    <w:p w14:paraId="4BF19173" w14:textId="2E4716B1" w:rsidR="003F0588" w:rsidRPr="003F0588" w:rsidRDefault="003F0588" w:rsidP="00DD07FB">
      <w:pPr>
        <w:numPr>
          <w:ilvl w:val="0"/>
          <w:numId w:val="7"/>
        </w:numPr>
        <w:spacing w:before="0"/>
        <w:ind w:left="900"/>
      </w:pPr>
      <w:r w:rsidRPr="003F0588">
        <w:t xml:space="preserve">submit the claim on a </w:t>
      </w:r>
      <w:r w:rsidR="006A64CD">
        <w:t>VA Form 21-526EZ</w:t>
      </w:r>
      <w:r w:rsidRPr="003F0588">
        <w:t>, and</w:t>
      </w:r>
    </w:p>
    <w:p w14:paraId="0D65C578" w14:textId="77777777" w:rsidR="003F0588" w:rsidRPr="003F0588" w:rsidRDefault="003F0588" w:rsidP="00DD07FB">
      <w:pPr>
        <w:numPr>
          <w:ilvl w:val="0"/>
          <w:numId w:val="6"/>
        </w:numPr>
        <w:spacing w:before="0"/>
        <w:ind w:left="540"/>
      </w:pPr>
      <w:r w:rsidRPr="003F0588">
        <w:t xml:space="preserve">the claim must </w:t>
      </w:r>
      <w:r w:rsidRPr="003F0588">
        <w:rPr>
          <w:b/>
        </w:rPr>
        <w:t>not</w:t>
      </w:r>
      <w:r w:rsidRPr="003F0588">
        <w:t xml:space="preserve"> be excluded from VBMS processing.</w:t>
      </w:r>
    </w:p>
    <w:p w14:paraId="23BEB8C7" w14:textId="77777777" w:rsidR="003F0588" w:rsidRPr="003F0588" w:rsidRDefault="003F0588" w:rsidP="003F0588">
      <w:pPr>
        <w:spacing w:before="0"/>
      </w:pPr>
      <w:r w:rsidRPr="003F0588">
        <w:rPr>
          <w:b/>
          <w:i/>
        </w:rPr>
        <w:t>Exceptions</w:t>
      </w:r>
      <w:r w:rsidRPr="003F0588">
        <w:t xml:space="preserve">:  </w:t>
      </w:r>
    </w:p>
    <w:p w14:paraId="66C36064" w14:textId="0025F2E3" w:rsidR="003F0588" w:rsidRPr="003F0588" w:rsidRDefault="003F0588" w:rsidP="005A795D">
      <w:pPr>
        <w:numPr>
          <w:ilvl w:val="0"/>
          <w:numId w:val="5"/>
        </w:numPr>
        <w:spacing w:before="0"/>
      </w:pPr>
      <w:r w:rsidRPr="003F0588">
        <w:lastRenderedPageBreak/>
        <w:t xml:space="preserve">Additional contentions received with less than 90 days remaining on active duty will be processed as a BDD-excluded claim as indicated in M21-1, Part III, Subpart i, 2.A.1.e and M21-1, Part III, Subpart i, 2.A </w:t>
      </w:r>
      <w:r w:rsidR="000265D7" w:rsidRPr="003F0588">
        <w:t>2. i.</w:t>
      </w:r>
    </w:p>
    <w:p w14:paraId="7055BBB6" w14:textId="77777777" w:rsidR="003F0588" w:rsidRPr="003F0588" w:rsidRDefault="003F0588" w:rsidP="005A795D">
      <w:pPr>
        <w:numPr>
          <w:ilvl w:val="0"/>
          <w:numId w:val="5"/>
        </w:numPr>
        <w:spacing w:before="0"/>
      </w:pPr>
      <w:r w:rsidRPr="003F0588">
        <w:t xml:space="preserve">SMs who file a BDD claim might not be able to complete certain types of examinations, such as sleep studies, before discharge.  VA does </w:t>
      </w:r>
      <w:r w:rsidRPr="003F0588">
        <w:rPr>
          <w:b/>
          <w:i/>
        </w:rPr>
        <w:t>not</w:t>
      </w:r>
      <w:r w:rsidRPr="003F0588">
        <w:t xml:space="preserve"> penalize these SMs (by removing them from the BDD program) under these rare circumstances.</w:t>
      </w:r>
    </w:p>
    <w:p w14:paraId="240F17BA" w14:textId="13D93305" w:rsidR="003F0588" w:rsidRPr="003F0588" w:rsidRDefault="003F0588" w:rsidP="005A795D">
      <w:pPr>
        <w:numPr>
          <w:ilvl w:val="0"/>
          <w:numId w:val="5"/>
        </w:numPr>
        <w:spacing w:before="0"/>
      </w:pPr>
      <w:r w:rsidRPr="003F0588">
        <w:t xml:space="preserve">If the SM is unable to attend required examinations within the prescribed </w:t>
      </w:r>
      <w:r w:rsidR="000265D7" w:rsidRPr="003F0588">
        <w:t>45-day</w:t>
      </w:r>
      <w:r w:rsidRPr="003F0588">
        <w:t xml:space="preserve"> </w:t>
      </w:r>
      <w:r w:rsidR="000265D7" w:rsidRPr="003F0588">
        <w:t>period</w:t>
      </w:r>
      <w:r w:rsidRPr="003F0588">
        <w:t xml:space="preserve"> due to a delay on VA’s part then</w:t>
      </w:r>
    </w:p>
    <w:p w14:paraId="473A2A68" w14:textId="77777777" w:rsidR="003F0588" w:rsidRDefault="003F0588" w:rsidP="005A795D">
      <w:pPr>
        <w:numPr>
          <w:ilvl w:val="0"/>
          <w:numId w:val="8"/>
        </w:numPr>
        <w:spacing w:before="0"/>
      </w:pPr>
      <w:r w:rsidRPr="003F0588">
        <w:t>do not remove the claim from the BDD program, and</w:t>
      </w:r>
    </w:p>
    <w:p w14:paraId="5AA547B7" w14:textId="1D79A6E8" w:rsidR="003F0588" w:rsidRDefault="003F0588" w:rsidP="005A795D">
      <w:pPr>
        <w:numPr>
          <w:ilvl w:val="0"/>
          <w:numId w:val="8"/>
        </w:numPr>
        <w:spacing w:before="0"/>
      </w:pPr>
      <w:r w:rsidRPr="003F0588">
        <w:t xml:space="preserve">do everything possible to attempt to have the examination performed </w:t>
      </w:r>
      <w:r w:rsidRPr="003F0588">
        <w:rPr>
          <w:b/>
          <w:i/>
        </w:rPr>
        <w:t>prior</w:t>
      </w:r>
      <w:r w:rsidRPr="003F0588">
        <w:t xml:space="preserve"> to the SMs discharge, including requesting the Separation Health Assessment (SHA) examination at their current location </w:t>
      </w:r>
      <w:r w:rsidRPr="003F0588">
        <w:rPr>
          <w:b/>
          <w:i/>
        </w:rPr>
        <w:t>prior</w:t>
      </w:r>
      <w:r w:rsidRPr="003F0588">
        <w:t xml:space="preserve"> to performing the actions in M21-1, Part III, Subpart i, 2.B.2.c.</w:t>
      </w:r>
    </w:p>
    <w:p w14:paraId="59B8C919" w14:textId="77777777" w:rsidR="007A5600" w:rsidRDefault="007A5600" w:rsidP="000D5975">
      <w:pPr>
        <w:spacing w:before="0"/>
      </w:pPr>
    </w:p>
    <w:p w14:paraId="65FB56E8" w14:textId="77777777" w:rsidR="000D5975" w:rsidRPr="000D5975" w:rsidRDefault="000D5975" w:rsidP="000D5975">
      <w:pPr>
        <w:spacing w:before="0"/>
        <w:rPr>
          <w:b/>
          <w:u w:val="single"/>
        </w:rPr>
      </w:pPr>
      <w:r w:rsidRPr="000D5975">
        <w:rPr>
          <w:b/>
          <w:u w:val="single"/>
        </w:rPr>
        <w:t>Exclusions from BDD Program</w:t>
      </w:r>
    </w:p>
    <w:p w14:paraId="47646271" w14:textId="77777777" w:rsidR="000D5975" w:rsidRPr="000517E9" w:rsidRDefault="000D5975" w:rsidP="000D5975">
      <w:pPr>
        <w:spacing w:before="0"/>
        <w:rPr>
          <w:sz w:val="12"/>
          <w:szCs w:val="12"/>
        </w:rPr>
      </w:pPr>
    </w:p>
    <w:p w14:paraId="351FCC0A" w14:textId="77777777" w:rsidR="000D5975" w:rsidRPr="000D5975" w:rsidRDefault="000D5975" w:rsidP="000D5975">
      <w:pPr>
        <w:spacing w:before="0"/>
      </w:pPr>
      <w:r w:rsidRPr="000D5975">
        <w:t xml:space="preserve">Claims of the types, or with the attributes, listed below are excluded from the BDD program, even if SMs submit them prior to discharge: </w:t>
      </w:r>
    </w:p>
    <w:p w14:paraId="1FE37A58" w14:textId="77777777" w:rsidR="000D5975" w:rsidRPr="000517E9" w:rsidRDefault="000D5975" w:rsidP="000D5975">
      <w:pPr>
        <w:spacing w:before="0"/>
        <w:rPr>
          <w:sz w:val="12"/>
          <w:szCs w:val="12"/>
        </w:rPr>
      </w:pPr>
    </w:p>
    <w:p w14:paraId="74D94C38" w14:textId="77777777" w:rsidR="000D5975" w:rsidRPr="000D5975" w:rsidRDefault="000D5975" w:rsidP="005A795D">
      <w:pPr>
        <w:numPr>
          <w:ilvl w:val="0"/>
          <w:numId w:val="10"/>
        </w:numPr>
        <w:spacing w:before="0"/>
      </w:pPr>
      <w:r w:rsidRPr="000D5975">
        <w:t>claims received from SMs with 89 days to one day remaining on active duty</w:t>
      </w:r>
    </w:p>
    <w:p w14:paraId="4F4E00C5" w14:textId="77777777" w:rsidR="000D5975" w:rsidRPr="000D5975" w:rsidRDefault="000D5975" w:rsidP="005A795D">
      <w:pPr>
        <w:numPr>
          <w:ilvl w:val="0"/>
          <w:numId w:val="10"/>
        </w:numPr>
        <w:spacing w:before="0"/>
      </w:pPr>
      <w:r w:rsidRPr="000D5975">
        <w:t>additional contentions that were added by the SM with less than 90 days remaining on active duty</w:t>
      </w:r>
    </w:p>
    <w:p w14:paraId="7E806C24" w14:textId="77777777" w:rsidR="000D5975" w:rsidRPr="000D5975" w:rsidRDefault="000D5975" w:rsidP="005A795D">
      <w:pPr>
        <w:numPr>
          <w:ilvl w:val="0"/>
          <w:numId w:val="10"/>
        </w:numPr>
        <w:spacing w:before="0"/>
      </w:pPr>
      <w:r w:rsidRPr="000D5975">
        <w:t>claims from SMs who are unable to report for examinations as provided in M21-1, Part III, Subpart i, 2.A.1.d, subject to the exceptions in that block</w:t>
      </w:r>
    </w:p>
    <w:p w14:paraId="1FC19478" w14:textId="097A2FDC" w:rsidR="000D5975" w:rsidRPr="000D5975" w:rsidRDefault="000D5975" w:rsidP="000B0331">
      <w:pPr>
        <w:numPr>
          <w:ilvl w:val="0"/>
          <w:numId w:val="10"/>
        </w:numPr>
        <w:spacing w:before="0"/>
      </w:pPr>
      <w:r w:rsidRPr="000D5975">
        <w:t>claims where the SM did not provide a copy of STRs for the current period of service with less than 90 days remaining on active duty.</w:t>
      </w:r>
      <w:r w:rsidR="000B0331" w:rsidRPr="000B0331">
        <w:t xml:space="preserve"> </w:t>
      </w:r>
    </w:p>
    <w:p w14:paraId="60698EF1" w14:textId="77777777" w:rsidR="000D5975" w:rsidRPr="000D5975" w:rsidRDefault="000D5975" w:rsidP="005A795D">
      <w:pPr>
        <w:numPr>
          <w:ilvl w:val="0"/>
          <w:numId w:val="10"/>
        </w:numPr>
        <w:spacing w:before="0"/>
      </w:pPr>
      <w:r w:rsidRPr="000D5975">
        <w:t xml:space="preserve">claims requiring case management for a SM who is </w:t>
      </w:r>
    </w:p>
    <w:p w14:paraId="4C9D9B1A" w14:textId="77777777" w:rsidR="000D5975" w:rsidRPr="000D5975" w:rsidRDefault="000D5975" w:rsidP="005A795D">
      <w:pPr>
        <w:numPr>
          <w:ilvl w:val="0"/>
          <w:numId w:val="11"/>
        </w:numPr>
        <w:spacing w:before="0"/>
      </w:pPr>
      <w:r w:rsidRPr="000D5975">
        <w:t>very seriously injured/ill (VSI)</w:t>
      </w:r>
    </w:p>
    <w:p w14:paraId="55540F55" w14:textId="77777777" w:rsidR="000D5975" w:rsidRPr="000D5975" w:rsidRDefault="000D5975" w:rsidP="005A795D">
      <w:pPr>
        <w:numPr>
          <w:ilvl w:val="0"/>
          <w:numId w:val="11"/>
        </w:numPr>
        <w:spacing w:before="0"/>
      </w:pPr>
      <w:r w:rsidRPr="000D5975">
        <w:t xml:space="preserve">seriously injured/ill (SI), or </w:t>
      </w:r>
    </w:p>
    <w:p w14:paraId="14DD1662" w14:textId="77777777" w:rsidR="000D5975" w:rsidRPr="000D5975" w:rsidRDefault="000D5975" w:rsidP="005A795D">
      <w:pPr>
        <w:numPr>
          <w:ilvl w:val="0"/>
          <w:numId w:val="11"/>
        </w:numPr>
        <w:spacing w:before="0"/>
      </w:pPr>
      <w:r w:rsidRPr="000D5975">
        <w:t>a “special category person” (SPC), who has suffered loss of a body part</w:t>
      </w:r>
    </w:p>
    <w:p w14:paraId="00B073AA" w14:textId="77777777" w:rsidR="000D5975" w:rsidRPr="000D5975" w:rsidRDefault="000D5975" w:rsidP="005A795D">
      <w:pPr>
        <w:numPr>
          <w:ilvl w:val="0"/>
          <w:numId w:val="12"/>
        </w:numPr>
        <w:spacing w:before="0"/>
      </w:pPr>
      <w:r w:rsidRPr="000D5975">
        <w:t>claims involving a terminally ill SM</w:t>
      </w:r>
    </w:p>
    <w:p w14:paraId="0C51EDDE" w14:textId="77777777" w:rsidR="000D5975" w:rsidRPr="000D5975" w:rsidRDefault="000D5975" w:rsidP="005A795D">
      <w:pPr>
        <w:numPr>
          <w:ilvl w:val="0"/>
          <w:numId w:val="12"/>
        </w:numPr>
        <w:spacing w:before="0"/>
      </w:pPr>
      <w:r w:rsidRPr="000D5975">
        <w:t xml:space="preserve">claims requiring a VA examination that must be completed in a foreign country, </w:t>
      </w:r>
      <w:r w:rsidRPr="000D5975">
        <w:rPr>
          <w:b/>
          <w:i/>
        </w:rPr>
        <w:t>except</w:t>
      </w:r>
      <w:r w:rsidRPr="000D5975">
        <w:t xml:space="preserve"> when the examination can be completed by VA offices in Landstuhl, Germany, or Yongsan, Korea</w:t>
      </w:r>
    </w:p>
    <w:p w14:paraId="3E1F1E77" w14:textId="77777777" w:rsidR="000D5975" w:rsidRPr="000D5975" w:rsidRDefault="000D5975" w:rsidP="005A795D">
      <w:pPr>
        <w:numPr>
          <w:ilvl w:val="0"/>
          <w:numId w:val="12"/>
        </w:numPr>
        <w:spacing w:before="0"/>
      </w:pPr>
      <w:r w:rsidRPr="000D5975">
        <w:t>claims involving a SM who is awaiting discharge, while hospitalized in a VA or military treatment facility</w:t>
      </w:r>
    </w:p>
    <w:p w14:paraId="4AE07EC7" w14:textId="77777777" w:rsidR="000D5975" w:rsidRPr="000D5975" w:rsidRDefault="000D5975" w:rsidP="005A795D">
      <w:pPr>
        <w:numPr>
          <w:ilvl w:val="0"/>
          <w:numId w:val="9"/>
        </w:numPr>
        <w:spacing w:before="0"/>
      </w:pPr>
      <w:r w:rsidRPr="000D5975">
        <w:t>claims from pregnant service women, or</w:t>
      </w:r>
    </w:p>
    <w:p w14:paraId="216C7BBA" w14:textId="77777777" w:rsidR="000D5975" w:rsidRPr="000D5975" w:rsidRDefault="000D5975" w:rsidP="005A795D">
      <w:pPr>
        <w:numPr>
          <w:ilvl w:val="0"/>
          <w:numId w:val="9"/>
        </w:numPr>
        <w:spacing w:before="0"/>
      </w:pPr>
      <w:r w:rsidRPr="000D5975">
        <w:t xml:space="preserve">claims requiring a character of discharge (COD) determination. </w:t>
      </w:r>
    </w:p>
    <w:p w14:paraId="59D34378" w14:textId="77777777" w:rsidR="000D5975" w:rsidRPr="000D5975" w:rsidRDefault="000D5975" w:rsidP="000D5975">
      <w:pPr>
        <w:spacing w:before="0"/>
      </w:pPr>
    </w:p>
    <w:p w14:paraId="753CF1B3" w14:textId="1278BEB3" w:rsidR="000D5975" w:rsidRDefault="000D5975" w:rsidP="000D5975">
      <w:pPr>
        <w:spacing w:before="0"/>
      </w:pPr>
      <w:r w:rsidRPr="000D5975">
        <w:rPr>
          <w:b/>
        </w:rPr>
        <w:t xml:space="preserve">NOTE: </w:t>
      </w:r>
      <w:r w:rsidRPr="000D5975">
        <w:t xml:space="preserve">Claims that are not eligible or qualify for the above programs will be considered claims excluded from Pre-Discharge and will be processed by the Regional Office of Jurisdiction.  </w:t>
      </w:r>
    </w:p>
    <w:p w14:paraId="3D38987E" w14:textId="77777777" w:rsidR="00C009D7" w:rsidRDefault="00C009D7" w:rsidP="000D5975">
      <w:pPr>
        <w:spacing w:before="0"/>
      </w:pPr>
    </w:p>
    <w:p w14:paraId="36C56981" w14:textId="6A64B7ED" w:rsidR="000D5975" w:rsidRPr="000D5975" w:rsidRDefault="000D5975" w:rsidP="000D5975">
      <w:pPr>
        <w:spacing w:before="0"/>
        <w:rPr>
          <w:b/>
          <w:u w:val="single"/>
        </w:rPr>
      </w:pPr>
      <w:r w:rsidRPr="000D5975">
        <w:rPr>
          <w:b/>
          <w:u w:val="single"/>
        </w:rPr>
        <w:t>Processing Additional Contentions from BDD Claimants</w:t>
      </w:r>
    </w:p>
    <w:p w14:paraId="20BD7FA1" w14:textId="77777777" w:rsidR="000D5975" w:rsidRDefault="000D5975" w:rsidP="000D5975">
      <w:pPr>
        <w:spacing w:before="0"/>
      </w:pPr>
    </w:p>
    <w:p w14:paraId="351F4C34" w14:textId="77777777" w:rsidR="000D5975" w:rsidRPr="000D5975" w:rsidRDefault="000D5975" w:rsidP="000D5975">
      <w:pPr>
        <w:spacing w:before="0"/>
      </w:pPr>
      <w:r w:rsidRPr="000D5975">
        <w:lastRenderedPageBreak/>
        <w:t xml:space="preserve">Additional contentions received subsequently from the initial BDD claim that meet the qualifications for the BDD program will be associated with the pending BDD diary 336 EP or proper rating EP (110, 010, or 020). </w:t>
      </w:r>
    </w:p>
    <w:p w14:paraId="55CAFE0C" w14:textId="77777777" w:rsidR="000D5975" w:rsidRDefault="000D5975" w:rsidP="000D5975">
      <w:pPr>
        <w:spacing w:before="0"/>
      </w:pPr>
    </w:p>
    <w:p w14:paraId="59B8C91A" w14:textId="0F193E00" w:rsidR="007A5600" w:rsidRDefault="000D5975" w:rsidP="000D5975">
      <w:pPr>
        <w:spacing w:before="0"/>
      </w:pPr>
      <w:r w:rsidRPr="000D5975">
        <w:t>Explain that, as noted in M21-1, Part III, Subpart i, 2.A.2.i, BDD claimants with less than 90 days remaining on active duty who submit claims for additional contentions will have those additional contentions processed under a separate EP as a BDD-excluded claim. These claims will be established as indicated by the table below:</w:t>
      </w:r>
    </w:p>
    <w:p w14:paraId="19BD6887" w14:textId="77777777" w:rsidR="000D5975" w:rsidRDefault="000D5975" w:rsidP="000D5975">
      <w:pPr>
        <w:spacing w:before="0"/>
      </w:pPr>
    </w:p>
    <w:tbl>
      <w:tblPr>
        <w:tblW w:w="6880" w:type="dxa"/>
        <w:tblInd w:w="1239" w:type="dxa"/>
        <w:tblLayout w:type="fixed"/>
        <w:tblCellMar>
          <w:left w:w="0" w:type="dxa"/>
          <w:right w:w="0" w:type="dxa"/>
        </w:tblCellMar>
        <w:tblLook w:val="0420" w:firstRow="1" w:lastRow="0" w:firstColumn="0" w:lastColumn="0" w:noHBand="0" w:noVBand="1"/>
      </w:tblPr>
      <w:tblGrid>
        <w:gridCol w:w="3460"/>
        <w:gridCol w:w="3420"/>
      </w:tblGrid>
      <w:tr w:rsidR="000D5975" w:rsidRPr="000D5975" w14:paraId="25A8075B" w14:textId="77777777" w:rsidTr="000D5975">
        <w:trPr>
          <w:trHeight w:val="22"/>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EAC26B" w14:textId="77777777" w:rsidR="000D5975" w:rsidRPr="000D5975" w:rsidRDefault="000D5975" w:rsidP="000D5975">
            <w:pPr>
              <w:spacing w:before="60" w:after="60"/>
              <w:textAlignment w:val="baseline"/>
            </w:pPr>
            <w:r w:rsidRPr="000D5975">
              <w:rPr>
                <w:b/>
                <w:bCs/>
              </w:rPr>
              <w:t>If the pending BDD EP is an…</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31481B" w14:textId="77777777" w:rsidR="000D5975" w:rsidRPr="000D5975" w:rsidRDefault="000D5975" w:rsidP="000D5975">
            <w:pPr>
              <w:spacing w:before="60" w:after="60"/>
              <w:textAlignment w:val="baseline"/>
            </w:pPr>
            <w:r w:rsidRPr="000D5975">
              <w:rPr>
                <w:b/>
                <w:bCs/>
              </w:rPr>
              <w:t>Then establish…</w:t>
            </w:r>
          </w:p>
        </w:tc>
      </w:tr>
      <w:tr w:rsidR="000D5975" w:rsidRPr="000D5975" w14:paraId="66FE9239" w14:textId="77777777" w:rsidTr="000D5975">
        <w:trPr>
          <w:trHeight w:val="376"/>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2EF5D7" w14:textId="77777777" w:rsidR="000D5975" w:rsidRPr="000D5975" w:rsidRDefault="000D5975" w:rsidP="005A795D">
            <w:pPr>
              <w:numPr>
                <w:ilvl w:val="0"/>
                <w:numId w:val="13"/>
              </w:numPr>
              <w:spacing w:before="60" w:after="60"/>
              <w:ind w:left="436"/>
              <w:textAlignment w:val="baseline"/>
            </w:pPr>
            <w:r w:rsidRPr="000D5975">
              <w:t>110 – BDD-Initial, or</w:t>
            </w:r>
          </w:p>
          <w:p w14:paraId="369A1365" w14:textId="77777777" w:rsidR="000D5975" w:rsidRPr="000D5975" w:rsidRDefault="000D5975" w:rsidP="005A795D">
            <w:pPr>
              <w:numPr>
                <w:ilvl w:val="0"/>
                <w:numId w:val="13"/>
              </w:numPr>
              <w:spacing w:before="60" w:after="60"/>
              <w:ind w:left="436"/>
              <w:textAlignment w:val="baseline"/>
            </w:pPr>
            <w:r w:rsidRPr="000D5975">
              <w:t>010 – BDD-Initial 8+ issues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E6DECF" w14:textId="77777777" w:rsidR="000D5975" w:rsidRPr="000D5975" w:rsidRDefault="000D5975" w:rsidP="000D5975">
            <w:pPr>
              <w:spacing w:before="60" w:after="60"/>
              <w:textAlignment w:val="baseline"/>
            </w:pPr>
            <w:r w:rsidRPr="000D5975">
              <w:t xml:space="preserve">Establish an EP 020 with the appropriate claim label. </w:t>
            </w:r>
          </w:p>
        </w:tc>
      </w:tr>
      <w:tr w:rsidR="000D5975" w:rsidRPr="000D5975" w14:paraId="14CAC87C" w14:textId="77777777" w:rsidTr="000D5975">
        <w:trPr>
          <w:trHeight w:val="22"/>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C8B8B" w14:textId="77777777" w:rsidR="000D5975" w:rsidRPr="000D5975" w:rsidRDefault="000D5975" w:rsidP="000D5975">
            <w:pPr>
              <w:spacing w:before="60" w:after="60"/>
              <w:textAlignment w:val="baseline"/>
            </w:pPr>
            <w:r w:rsidRPr="000D5975">
              <w:t>020 – BDD-Supplemental</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C2307B" w14:textId="77777777" w:rsidR="000D5975" w:rsidRPr="000D5975" w:rsidRDefault="000D5975" w:rsidP="000D5975">
            <w:pPr>
              <w:spacing w:before="60" w:after="60"/>
              <w:textAlignment w:val="baseline"/>
            </w:pPr>
            <w:r w:rsidRPr="000D5975">
              <w:t>Establish an EP 021 with the appropriate claim label.</w:t>
            </w:r>
          </w:p>
        </w:tc>
      </w:tr>
    </w:tbl>
    <w:p w14:paraId="26AC3B00" w14:textId="77777777" w:rsidR="000D5975" w:rsidRDefault="000D5975" w:rsidP="000D5975">
      <w:pPr>
        <w:spacing w:before="0"/>
      </w:pPr>
    </w:p>
    <w:p w14:paraId="005AAF77" w14:textId="15841D09" w:rsidR="000D5975" w:rsidRDefault="000D5975" w:rsidP="000D5975">
      <w:pPr>
        <w:spacing w:before="0"/>
      </w:pPr>
      <w:r w:rsidRPr="000D5975">
        <w:rPr>
          <w:b/>
          <w:i/>
        </w:rPr>
        <w:t>Important:</w:t>
      </w:r>
      <w:r w:rsidRPr="000D5975">
        <w:t xml:space="preserve">  Concurrently pending BDD and BDD-excluded rating EPs </w:t>
      </w:r>
      <w:r w:rsidRPr="000D5975">
        <w:rPr>
          <w:b/>
        </w:rPr>
        <w:t>are</w:t>
      </w:r>
      <w:r w:rsidRPr="000D5975">
        <w:t xml:space="preserve"> allowed and should not be combined unless as noted in M21-1, Part III, Subpart i, 2.B.3.d.</w:t>
      </w:r>
    </w:p>
    <w:p w14:paraId="41708AA8" w14:textId="77777777" w:rsidR="000D5975" w:rsidRDefault="000D5975" w:rsidP="000D5975">
      <w:pPr>
        <w:spacing w:before="0"/>
      </w:pPr>
    </w:p>
    <w:p w14:paraId="1FFC9D9F" w14:textId="0A61F8E2" w:rsidR="000D5975" w:rsidRDefault="000D5975" w:rsidP="000D5975">
      <w:pPr>
        <w:spacing w:before="0"/>
        <w:rPr>
          <w:b/>
          <w:u w:val="single"/>
        </w:rPr>
      </w:pPr>
      <w:r w:rsidRPr="000D5975">
        <w:rPr>
          <w:b/>
          <w:u w:val="single"/>
        </w:rPr>
        <w:t>Notification of BDD Exclusion</w:t>
      </w:r>
    </w:p>
    <w:p w14:paraId="572D92B4" w14:textId="77777777" w:rsidR="000D5975" w:rsidRDefault="000D5975" w:rsidP="000D5975">
      <w:pPr>
        <w:spacing w:before="0"/>
        <w:rPr>
          <w:b/>
          <w:u w:val="single"/>
        </w:rPr>
      </w:pPr>
    </w:p>
    <w:p w14:paraId="6500FD85" w14:textId="77777777" w:rsidR="000D5975" w:rsidRPr="000D5975" w:rsidRDefault="000D5975" w:rsidP="000D5975">
      <w:pPr>
        <w:spacing w:before="0" w:after="120"/>
        <w:textAlignment w:val="baseline"/>
      </w:pPr>
      <w:r w:rsidRPr="000D5975">
        <w:t>If a claim is excluded from the BDD program, the following actions must be taken:</w:t>
      </w:r>
    </w:p>
    <w:p w14:paraId="5F443CE7" w14:textId="77777777" w:rsidR="000B0331" w:rsidRPr="00A76F1B" w:rsidRDefault="000B0331" w:rsidP="000B0331">
      <w:pPr>
        <w:numPr>
          <w:ilvl w:val="0"/>
          <w:numId w:val="14"/>
        </w:numPr>
        <w:spacing w:before="0"/>
        <w:textAlignment w:val="baseline"/>
      </w:pPr>
      <w:r w:rsidRPr="00A76F1B">
        <w:t>Generate the BDD exclusion letter using the Letter Creator tool</w:t>
      </w:r>
    </w:p>
    <w:p w14:paraId="57E14627" w14:textId="77777777" w:rsidR="000B0331" w:rsidRPr="00A76F1B" w:rsidRDefault="000B0331" w:rsidP="000B0331">
      <w:pPr>
        <w:numPr>
          <w:ilvl w:val="0"/>
          <w:numId w:val="14"/>
        </w:numPr>
        <w:spacing w:before="0"/>
        <w:textAlignment w:val="baseline"/>
      </w:pPr>
      <w:r w:rsidRPr="00A76F1B">
        <w:t>Select the appropriate reason for not meeting the BDD requirements, and</w:t>
      </w:r>
    </w:p>
    <w:p w14:paraId="784D3702" w14:textId="77777777" w:rsidR="000B0331" w:rsidRDefault="000B0331" w:rsidP="000B0331">
      <w:pPr>
        <w:numPr>
          <w:ilvl w:val="0"/>
          <w:numId w:val="14"/>
        </w:numPr>
        <w:spacing w:before="0"/>
        <w:textAlignment w:val="baseline"/>
      </w:pPr>
      <w:r w:rsidRPr="00A76F1B">
        <w:t>Change the EP to the proper non-BDD EP and claim label.</w:t>
      </w:r>
    </w:p>
    <w:p w14:paraId="454436B2" w14:textId="77777777" w:rsidR="000B0331" w:rsidRDefault="000B0331" w:rsidP="000B0331">
      <w:pPr>
        <w:numPr>
          <w:ilvl w:val="0"/>
          <w:numId w:val="14"/>
        </w:numPr>
        <w:spacing w:before="0"/>
        <w:textAlignment w:val="baseline"/>
      </w:pPr>
      <w:r w:rsidRPr="00A76F1B">
        <w:t xml:space="preserve"> </w:t>
      </w:r>
      <w:r>
        <w:t>Change the “Pre-Discharge Type” to “Quick Start”</w:t>
      </w:r>
    </w:p>
    <w:p w14:paraId="4B76A648" w14:textId="1099413E" w:rsidR="000D5975" w:rsidRPr="000D5975" w:rsidRDefault="001B4CE6" w:rsidP="000B0331">
      <w:pPr>
        <w:spacing w:before="0"/>
        <w:ind w:left="720"/>
        <w:textAlignment w:val="baseline"/>
      </w:pPr>
      <w:r w:rsidRPr="00537A79">
        <w:rPr>
          <w:szCs w:val="24"/>
        </w:rPr>
        <w:t>A</w:t>
      </w:r>
      <w:r w:rsidR="00836EE5" w:rsidRPr="00537A79">
        <w:rPr>
          <w:szCs w:val="24"/>
        </w:rPr>
        <w:t>dd</w:t>
      </w:r>
      <w:r>
        <w:rPr>
          <w:szCs w:val="24"/>
        </w:rPr>
        <w:t xml:space="preserve"> the</w:t>
      </w:r>
      <w:r w:rsidR="00836EE5" w:rsidRPr="00537A79">
        <w:rPr>
          <w:szCs w:val="24"/>
        </w:rPr>
        <w:t xml:space="preserve"> </w:t>
      </w:r>
      <w:r w:rsidR="00836EE5" w:rsidRPr="00537A79">
        <w:rPr>
          <w:i/>
          <w:iCs/>
          <w:szCs w:val="24"/>
        </w:rPr>
        <w:t>BDD-Excluded</w:t>
      </w:r>
      <w:r w:rsidR="00836EE5" w:rsidRPr="00537A79">
        <w:rPr>
          <w:szCs w:val="24"/>
        </w:rPr>
        <w:t xml:space="preserve"> special issue indicator under one contention requiring an examination. This is important to ensure the examination request is routed correctly in the Examination Management System (EMS)</w:t>
      </w:r>
      <w:r w:rsidRPr="00537A79">
        <w:rPr>
          <w:szCs w:val="24"/>
        </w:rPr>
        <w:t>.</w:t>
      </w:r>
    </w:p>
    <w:p w14:paraId="79F7FD56" w14:textId="77777777" w:rsidR="007A4543" w:rsidRDefault="007A4543" w:rsidP="000D5975">
      <w:pPr>
        <w:spacing w:before="0"/>
      </w:pPr>
    </w:p>
    <w:p w14:paraId="0FB18C01" w14:textId="40C820E4" w:rsidR="000D5975" w:rsidRDefault="000D5975" w:rsidP="000D5975">
      <w:pPr>
        <w:spacing w:before="0"/>
      </w:pPr>
      <w:r w:rsidRPr="000D5975">
        <w:t>This is the responsibility of whomever is processing the claim and identifies it as an excluded BDD claim.</w:t>
      </w:r>
      <w:r w:rsidR="007A4543">
        <w:t xml:space="preserve"> </w:t>
      </w:r>
      <w:r w:rsidR="007A4543" w:rsidRPr="000D5975">
        <w:t>However, if a claim processor notices that the BDD exclusion letter has not been provided to the claimant, it is their responsibility to provide notification</w:t>
      </w:r>
      <w:r w:rsidR="007A4543">
        <w:t xml:space="preserve">. </w:t>
      </w:r>
      <w:r w:rsidR="009C39FC">
        <w:t xml:space="preserve">If the SM is informed verbally in person of the reason why their claim is excluded from BDD and this verbal notification is documented in </w:t>
      </w:r>
      <w:r w:rsidR="007A4543">
        <w:t xml:space="preserve">the </w:t>
      </w:r>
      <w:r w:rsidR="009C39FC">
        <w:t>VBMS</w:t>
      </w:r>
      <w:r w:rsidR="007A4543">
        <w:t xml:space="preserve"> notes</w:t>
      </w:r>
      <w:r w:rsidR="009C39FC">
        <w:t xml:space="preserve">, then a BDD exclusion letter does not need to be sent.    </w:t>
      </w:r>
    </w:p>
    <w:p w14:paraId="6869207A" w14:textId="77777777" w:rsidR="000D5975" w:rsidRDefault="000D5975" w:rsidP="000D5975">
      <w:pPr>
        <w:spacing w:before="0"/>
      </w:pPr>
    </w:p>
    <w:p w14:paraId="1554F61A" w14:textId="638A8106" w:rsidR="000D5975" w:rsidRDefault="000D5975" w:rsidP="000D5975">
      <w:pPr>
        <w:spacing w:before="0"/>
        <w:rPr>
          <w:b/>
          <w:u w:val="single"/>
        </w:rPr>
      </w:pPr>
      <w:r w:rsidRPr="000D5975">
        <w:rPr>
          <w:b/>
          <w:u w:val="single"/>
        </w:rPr>
        <w:t xml:space="preserve">Responsibility </w:t>
      </w:r>
      <w:r w:rsidR="000265D7" w:rsidRPr="000D5975">
        <w:rPr>
          <w:b/>
          <w:u w:val="single"/>
        </w:rPr>
        <w:t>for Processing</w:t>
      </w:r>
      <w:r w:rsidRPr="000D5975">
        <w:rPr>
          <w:b/>
          <w:u w:val="single"/>
        </w:rPr>
        <w:t xml:space="preserve"> BDD Excluded Claims</w:t>
      </w:r>
    </w:p>
    <w:p w14:paraId="31B43D8F" w14:textId="77777777" w:rsidR="000D5975" w:rsidRDefault="000D5975" w:rsidP="000D5975">
      <w:pPr>
        <w:spacing w:before="0"/>
        <w:rPr>
          <w:b/>
          <w:u w:val="single"/>
        </w:rPr>
      </w:pPr>
    </w:p>
    <w:p w14:paraId="382F55AE" w14:textId="70B6BF84" w:rsidR="00CA0192" w:rsidRDefault="000D5975">
      <w:pPr>
        <w:overflowPunct/>
        <w:autoSpaceDE/>
        <w:autoSpaceDN/>
        <w:adjustRightInd/>
        <w:spacing w:before="0"/>
        <w:rPr>
          <w:rFonts w:ascii="Times New Roman Bold" w:hAnsi="Times New Roman Bold"/>
          <w:b/>
          <w:smallCaps/>
          <w:sz w:val="32"/>
          <w:szCs w:val="32"/>
        </w:rPr>
      </w:pPr>
      <w:r w:rsidRPr="000D5975">
        <w:t xml:space="preserve">The </w:t>
      </w:r>
      <w:r w:rsidR="00537A79">
        <w:t>Regional Office of Jurisdiction (</w:t>
      </w:r>
      <w:r w:rsidRPr="000D5975">
        <w:t>ROJ</w:t>
      </w:r>
      <w:r w:rsidR="00537A79">
        <w:t>)</w:t>
      </w:r>
      <w:r w:rsidRPr="000D5975">
        <w:t xml:space="preserve"> is responsible for processing BDD-excluded claims through the standard claims process, the FDC program, or any other applicable claims process unless otherwise stated.</w:t>
      </w:r>
      <w:r w:rsidR="001B4CE6">
        <w:t xml:space="preserve"> The ROJ is considered the RO where the claim is assigned/routed by National Work Queue (NWQ).</w:t>
      </w:r>
      <w:bookmarkStart w:id="8" w:name="_Toc493254632"/>
      <w:r w:rsidR="00CA0192">
        <w:br w:type="page"/>
      </w:r>
    </w:p>
    <w:p w14:paraId="59B8C91D" w14:textId="40B69999" w:rsidR="007A5600" w:rsidRDefault="000D5975" w:rsidP="000D5975">
      <w:pPr>
        <w:pStyle w:val="VBATopicHeading1"/>
      </w:pPr>
      <w:r w:rsidRPr="00212FCB">
        <w:lastRenderedPageBreak/>
        <w:t xml:space="preserve">Topic </w:t>
      </w:r>
      <w:r w:rsidR="007E76DB">
        <w:t>2</w:t>
      </w:r>
      <w:r w:rsidRPr="00212FCB">
        <w:t xml:space="preserve">: </w:t>
      </w:r>
      <w:r w:rsidRPr="000D5975">
        <w:t>Pre-Discharge BDD Development</w:t>
      </w:r>
      <w:bookmarkEnd w:id="8"/>
    </w:p>
    <w:p w14:paraId="59B8C91E" w14:textId="6824862E" w:rsidR="007A5600" w:rsidRDefault="009F612B">
      <w:r>
        <w:rPr>
          <w:b/>
          <w:u w:val="single"/>
        </w:rPr>
        <w:t>Importance of Development</w:t>
      </w:r>
    </w:p>
    <w:p w14:paraId="1F7860C1" w14:textId="77777777" w:rsidR="009F612B" w:rsidRDefault="009F612B" w:rsidP="009F612B">
      <w:pPr>
        <w:spacing w:before="0"/>
      </w:pPr>
    </w:p>
    <w:p w14:paraId="1AF20500" w14:textId="4AF8AEFF" w:rsidR="009F612B" w:rsidRDefault="009F612B" w:rsidP="009F612B">
      <w:pPr>
        <w:spacing w:before="0"/>
      </w:pPr>
      <w:r w:rsidRPr="009F612B">
        <w:t xml:space="preserve">To ensure a timely decision on the claim, any required development, (such as requests for records or a VA examination) should be initiated while the SM is still on active duty, when possible.  </w:t>
      </w:r>
    </w:p>
    <w:p w14:paraId="3F62A658" w14:textId="77777777" w:rsidR="009F612B" w:rsidRDefault="009F612B" w:rsidP="009F612B">
      <w:pPr>
        <w:spacing w:before="0"/>
      </w:pPr>
    </w:p>
    <w:p w14:paraId="46944C45" w14:textId="423EC5CA" w:rsidR="009F612B" w:rsidRDefault="009F612B" w:rsidP="009F612B">
      <w:pPr>
        <w:spacing w:before="0"/>
      </w:pPr>
      <w:r>
        <w:rPr>
          <w:b/>
          <w:u w:val="single"/>
        </w:rPr>
        <w:t>Initial Actions</w:t>
      </w:r>
    </w:p>
    <w:p w14:paraId="7D369E3C" w14:textId="77777777" w:rsidR="009F612B" w:rsidRDefault="009F612B" w:rsidP="009F612B">
      <w:pPr>
        <w:spacing w:before="0"/>
      </w:pPr>
    </w:p>
    <w:p w14:paraId="1FB733AD" w14:textId="77777777" w:rsidR="009F612B" w:rsidRPr="009F612B" w:rsidRDefault="009F612B" w:rsidP="009F612B">
      <w:pPr>
        <w:spacing w:before="0"/>
      </w:pPr>
      <w:r w:rsidRPr="009F612B">
        <w:t>Upon receipt of a BDD claim, the MSC or other BDD claim processor is responsible for following the initial action steps below:</w:t>
      </w:r>
    </w:p>
    <w:p w14:paraId="33616B6B" w14:textId="77777777" w:rsidR="009F612B" w:rsidRDefault="009F612B" w:rsidP="009F612B">
      <w:pPr>
        <w:spacing w:before="0"/>
      </w:pPr>
    </w:p>
    <w:tbl>
      <w:tblPr>
        <w:tblStyle w:val="TableGrid1"/>
        <w:tblW w:w="0" w:type="auto"/>
        <w:jc w:val="center"/>
        <w:tblLayout w:type="fixed"/>
        <w:tblLook w:val="04A0" w:firstRow="1" w:lastRow="0" w:firstColumn="1" w:lastColumn="0" w:noHBand="0" w:noVBand="1"/>
      </w:tblPr>
      <w:tblGrid>
        <w:gridCol w:w="855"/>
        <w:gridCol w:w="6681"/>
      </w:tblGrid>
      <w:tr w:rsidR="009F612B" w:rsidRPr="009F612B" w14:paraId="66F6B426" w14:textId="77777777" w:rsidTr="009F612B">
        <w:trPr>
          <w:trHeight w:val="359"/>
          <w:jc w:val="center"/>
        </w:trPr>
        <w:tc>
          <w:tcPr>
            <w:tcW w:w="855" w:type="dxa"/>
          </w:tcPr>
          <w:p w14:paraId="53E614F0" w14:textId="77777777" w:rsidR="009F612B" w:rsidRPr="009F612B" w:rsidRDefault="009F612B" w:rsidP="009F612B">
            <w:pPr>
              <w:spacing w:before="60" w:after="60"/>
              <w:jc w:val="center"/>
              <w:textAlignment w:val="baseline"/>
              <w:rPr>
                <w:b/>
                <w:szCs w:val="24"/>
              </w:rPr>
            </w:pPr>
            <w:r w:rsidRPr="009F612B">
              <w:rPr>
                <w:b/>
                <w:szCs w:val="24"/>
              </w:rPr>
              <w:t>Step</w:t>
            </w:r>
          </w:p>
        </w:tc>
        <w:tc>
          <w:tcPr>
            <w:tcW w:w="6681" w:type="dxa"/>
          </w:tcPr>
          <w:p w14:paraId="3CBE2DFA" w14:textId="77777777" w:rsidR="009F612B" w:rsidRPr="009F612B" w:rsidRDefault="009F612B" w:rsidP="009F612B">
            <w:pPr>
              <w:spacing w:before="60" w:after="60"/>
              <w:jc w:val="center"/>
              <w:textAlignment w:val="baseline"/>
              <w:rPr>
                <w:b/>
                <w:szCs w:val="24"/>
              </w:rPr>
            </w:pPr>
            <w:r w:rsidRPr="009F612B">
              <w:rPr>
                <w:b/>
                <w:szCs w:val="24"/>
              </w:rPr>
              <w:t>Action</w:t>
            </w:r>
          </w:p>
        </w:tc>
      </w:tr>
      <w:tr w:rsidR="009F612B" w:rsidRPr="009F612B" w14:paraId="1D91704A" w14:textId="77777777" w:rsidTr="009F612B">
        <w:trPr>
          <w:jc w:val="center"/>
        </w:trPr>
        <w:tc>
          <w:tcPr>
            <w:tcW w:w="855" w:type="dxa"/>
          </w:tcPr>
          <w:p w14:paraId="2169F7F7" w14:textId="77777777" w:rsidR="009F612B" w:rsidRPr="009F612B" w:rsidRDefault="009F612B" w:rsidP="009F612B">
            <w:pPr>
              <w:spacing w:before="60" w:after="60"/>
              <w:jc w:val="center"/>
              <w:textAlignment w:val="baseline"/>
              <w:rPr>
                <w:szCs w:val="24"/>
              </w:rPr>
            </w:pPr>
            <w:r w:rsidRPr="009F612B">
              <w:rPr>
                <w:szCs w:val="24"/>
              </w:rPr>
              <w:t>1</w:t>
            </w:r>
          </w:p>
        </w:tc>
        <w:tc>
          <w:tcPr>
            <w:tcW w:w="6681" w:type="dxa"/>
          </w:tcPr>
          <w:p w14:paraId="795A7041" w14:textId="77777777" w:rsidR="009F612B" w:rsidRPr="009F612B" w:rsidRDefault="009F612B" w:rsidP="009F612B">
            <w:pPr>
              <w:spacing w:before="60" w:after="60"/>
              <w:textAlignment w:val="baseline"/>
              <w:rPr>
                <w:szCs w:val="24"/>
              </w:rPr>
            </w:pPr>
            <w:r w:rsidRPr="009F612B">
              <w:rPr>
                <w:szCs w:val="24"/>
              </w:rPr>
              <w:t>Review the application to ensure it is complete.</w:t>
            </w:r>
          </w:p>
        </w:tc>
      </w:tr>
      <w:tr w:rsidR="009F612B" w:rsidRPr="009F612B" w14:paraId="43E8FF60" w14:textId="77777777" w:rsidTr="009F612B">
        <w:trPr>
          <w:jc w:val="center"/>
        </w:trPr>
        <w:tc>
          <w:tcPr>
            <w:tcW w:w="855" w:type="dxa"/>
          </w:tcPr>
          <w:p w14:paraId="6F8D9854" w14:textId="77777777" w:rsidR="009F612B" w:rsidRPr="009F612B" w:rsidRDefault="009F612B" w:rsidP="009F612B">
            <w:pPr>
              <w:spacing w:before="60" w:after="60"/>
              <w:jc w:val="center"/>
              <w:textAlignment w:val="baseline"/>
              <w:rPr>
                <w:szCs w:val="24"/>
              </w:rPr>
            </w:pPr>
            <w:r w:rsidRPr="009F612B">
              <w:rPr>
                <w:szCs w:val="24"/>
              </w:rPr>
              <w:t>2</w:t>
            </w:r>
          </w:p>
        </w:tc>
        <w:tc>
          <w:tcPr>
            <w:tcW w:w="6681" w:type="dxa"/>
          </w:tcPr>
          <w:p w14:paraId="2619B95E" w14:textId="6E769804" w:rsidR="009F612B" w:rsidRPr="009F612B" w:rsidRDefault="009F612B" w:rsidP="009F612B">
            <w:pPr>
              <w:spacing w:before="60" w:after="60"/>
              <w:textAlignment w:val="baseline"/>
              <w:rPr>
                <w:szCs w:val="24"/>
              </w:rPr>
            </w:pPr>
            <w:r w:rsidRPr="009F612B">
              <w:rPr>
                <w:szCs w:val="24"/>
              </w:rPr>
              <w:t xml:space="preserve">Ensure the correct diary EP 336 – BDD and appropriate claim label </w:t>
            </w:r>
            <w:r>
              <w:rPr>
                <w:szCs w:val="24"/>
              </w:rPr>
              <w:t xml:space="preserve">is tracking the claim and the </w:t>
            </w:r>
            <w:r w:rsidRPr="009F612B">
              <w:rPr>
                <w:szCs w:val="24"/>
              </w:rPr>
              <w:t xml:space="preserve">date of claim (DOC) </w:t>
            </w:r>
            <w:r>
              <w:rPr>
                <w:szCs w:val="24"/>
              </w:rPr>
              <w:t xml:space="preserve">is </w:t>
            </w:r>
            <w:r w:rsidRPr="009F612B">
              <w:rPr>
                <w:szCs w:val="24"/>
              </w:rPr>
              <w:t xml:space="preserve">set as the first day following the anticipated date of release form active duty (RAD), regardless of the date VA received the claim.  </w:t>
            </w:r>
          </w:p>
        </w:tc>
      </w:tr>
      <w:tr w:rsidR="009F612B" w:rsidRPr="009F612B" w14:paraId="2F8256C1" w14:textId="77777777" w:rsidTr="009F612B">
        <w:trPr>
          <w:trHeight w:val="737"/>
          <w:jc w:val="center"/>
        </w:trPr>
        <w:tc>
          <w:tcPr>
            <w:tcW w:w="855" w:type="dxa"/>
          </w:tcPr>
          <w:p w14:paraId="5C99D081" w14:textId="77777777" w:rsidR="009F612B" w:rsidRPr="009F612B" w:rsidRDefault="009F612B" w:rsidP="009F612B">
            <w:pPr>
              <w:spacing w:before="60" w:after="60"/>
              <w:jc w:val="center"/>
              <w:textAlignment w:val="baseline"/>
              <w:rPr>
                <w:szCs w:val="24"/>
              </w:rPr>
            </w:pPr>
            <w:r w:rsidRPr="009F612B">
              <w:rPr>
                <w:szCs w:val="24"/>
              </w:rPr>
              <w:t>3</w:t>
            </w:r>
          </w:p>
        </w:tc>
        <w:tc>
          <w:tcPr>
            <w:tcW w:w="6681" w:type="dxa"/>
          </w:tcPr>
          <w:p w14:paraId="13E0BB69" w14:textId="77777777" w:rsidR="009F612B" w:rsidRPr="009F612B" w:rsidRDefault="009F612B" w:rsidP="009F612B">
            <w:pPr>
              <w:spacing w:before="60" w:after="60"/>
              <w:textAlignment w:val="baseline"/>
              <w:rPr>
                <w:szCs w:val="24"/>
              </w:rPr>
            </w:pPr>
            <w:r w:rsidRPr="009F612B">
              <w:rPr>
                <w:szCs w:val="24"/>
              </w:rPr>
              <w:t>Ensure that VBMS includes the correct power of attorney (POA) and corporate flashes for the claim.</w:t>
            </w:r>
          </w:p>
        </w:tc>
      </w:tr>
      <w:tr w:rsidR="009F612B" w:rsidRPr="009F612B" w14:paraId="3465676B" w14:textId="77777777" w:rsidTr="009F612B">
        <w:trPr>
          <w:trHeight w:val="296"/>
          <w:jc w:val="center"/>
        </w:trPr>
        <w:tc>
          <w:tcPr>
            <w:tcW w:w="855" w:type="dxa"/>
          </w:tcPr>
          <w:p w14:paraId="3646F904" w14:textId="77777777" w:rsidR="009F612B" w:rsidRPr="009F612B" w:rsidRDefault="009F612B" w:rsidP="009F612B">
            <w:pPr>
              <w:spacing w:before="60" w:after="60"/>
              <w:jc w:val="center"/>
              <w:textAlignment w:val="baseline"/>
              <w:rPr>
                <w:szCs w:val="24"/>
              </w:rPr>
            </w:pPr>
            <w:r w:rsidRPr="009F612B">
              <w:rPr>
                <w:szCs w:val="24"/>
              </w:rPr>
              <w:t>3</w:t>
            </w:r>
          </w:p>
        </w:tc>
        <w:tc>
          <w:tcPr>
            <w:tcW w:w="6681" w:type="dxa"/>
          </w:tcPr>
          <w:p w14:paraId="5BCBCC31" w14:textId="77777777" w:rsidR="009F612B" w:rsidRPr="009F612B" w:rsidRDefault="009F612B" w:rsidP="009F612B">
            <w:pPr>
              <w:spacing w:before="60" w:after="60"/>
              <w:textAlignment w:val="baseline"/>
              <w:rPr>
                <w:szCs w:val="24"/>
              </w:rPr>
            </w:pPr>
            <w:r w:rsidRPr="009F612B">
              <w:rPr>
                <w:szCs w:val="24"/>
              </w:rPr>
              <w:t xml:space="preserve">Ensure a </w:t>
            </w:r>
            <w:r w:rsidRPr="009F612B">
              <w:rPr>
                <w:i/>
                <w:szCs w:val="24"/>
              </w:rPr>
              <w:t>VA Form 21-686c, Declaration of Status of Dependents</w:t>
            </w:r>
            <w:r w:rsidRPr="009F612B">
              <w:rPr>
                <w:szCs w:val="24"/>
              </w:rPr>
              <w:t>,</w:t>
            </w:r>
            <w:r w:rsidRPr="009F612B">
              <w:rPr>
                <w:i/>
                <w:szCs w:val="24"/>
              </w:rPr>
              <w:t xml:space="preserve"> </w:t>
            </w:r>
            <w:r w:rsidRPr="009F612B">
              <w:rPr>
                <w:szCs w:val="24"/>
              </w:rPr>
              <w:t>is of record if dependents are indicated on the application.</w:t>
            </w:r>
          </w:p>
        </w:tc>
      </w:tr>
      <w:tr w:rsidR="009F612B" w:rsidRPr="009F612B" w14:paraId="67B7347D" w14:textId="77777777" w:rsidTr="009F612B">
        <w:trPr>
          <w:jc w:val="center"/>
        </w:trPr>
        <w:tc>
          <w:tcPr>
            <w:tcW w:w="855" w:type="dxa"/>
          </w:tcPr>
          <w:p w14:paraId="313D31C3" w14:textId="77777777" w:rsidR="009F612B" w:rsidRPr="009F612B" w:rsidRDefault="009F612B" w:rsidP="009F612B">
            <w:pPr>
              <w:spacing w:before="60" w:after="120"/>
              <w:jc w:val="center"/>
              <w:textAlignment w:val="baseline"/>
              <w:rPr>
                <w:szCs w:val="24"/>
              </w:rPr>
            </w:pPr>
            <w:r w:rsidRPr="009F612B">
              <w:rPr>
                <w:szCs w:val="24"/>
              </w:rPr>
              <w:t>4</w:t>
            </w:r>
          </w:p>
        </w:tc>
        <w:tc>
          <w:tcPr>
            <w:tcW w:w="6681" w:type="dxa"/>
          </w:tcPr>
          <w:p w14:paraId="13AAE108" w14:textId="77777777" w:rsidR="009F612B" w:rsidRPr="009F612B" w:rsidRDefault="009F612B" w:rsidP="009F612B">
            <w:pPr>
              <w:overflowPunct/>
              <w:autoSpaceDE/>
              <w:autoSpaceDN/>
              <w:adjustRightInd/>
              <w:spacing w:before="60"/>
            </w:pPr>
            <w:r w:rsidRPr="009F612B">
              <w:t xml:space="preserve">Obtain the SM’s service treatment records (STRs) (including </w:t>
            </w:r>
            <w:r w:rsidRPr="009F612B">
              <w:rPr>
                <w:i/>
              </w:rPr>
              <w:t>DD Form 2807-1,</w:t>
            </w:r>
            <w:r w:rsidRPr="009F612B">
              <w:t xml:space="preserve"> </w:t>
            </w:r>
            <w:r w:rsidRPr="009F612B">
              <w:rPr>
                <w:i/>
              </w:rPr>
              <w:t>Report of Medical History</w:t>
            </w:r>
            <w:r w:rsidRPr="009F612B">
              <w:t>) for the current period of service.</w:t>
            </w:r>
          </w:p>
          <w:p w14:paraId="1D87A58F" w14:textId="77777777" w:rsidR="009F612B" w:rsidRPr="009F612B" w:rsidRDefault="009F612B" w:rsidP="009F612B">
            <w:pPr>
              <w:overflowPunct/>
              <w:autoSpaceDE/>
              <w:autoSpaceDN/>
              <w:adjustRightInd/>
              <w:spacing w:before="0"/>
            </w:pPr>
          </w:p>
          <w:p w14:paraId="77E71485" w14:textId="77777777" w:rsidR="009F612B" w:rsidRPr="009F612B" w:rsidRDefault="009F612B" w:rsidP="009F612B">
            <w:pPr>
              <w:overflowPunct/>
              <w:autoSpaceDE/>
              <w:autoSpaceDN/>
              <w:adjustRightInd/>
              <w:spacing w:before="0" w:after="120"/>
            </w:pPr>
            <w:r w:rsidRPr="009F612B">
              <w:t>The following are acceptable formats for the STRs:</w:t>
            </w:r>
          </w:p>
          <w:p w14:paraId="770B2DA5" w14:textId="77777777" w:rsidR="009F612B" w:rsidRPr="009F612B" w:rsidRDefault="009F612B" w:rsidP="005A795D">
            <w:pPr>
              <w:numPr>
                <w:ilvl w:val="0"/>
                <w:numId w:val="17"/>
              </w:numPr>
              <w:overflowPunct/>
              <w:autoSpaceDE/>
              <w:autoSpaceDN/>
              <w:adjustRightInd/>
              <w:spacing w:before="0"/>
              <w:ind w:left="342" w:hanging="270"/>
              <w:contextualSpacing/>
              <w:textAlignment w:val="baseline"/>
            </w:pPr>
            <w:r w:rsidRPr="009F612B">
              <w:t>photocopies</w:t>
            </w:r>
          </w:p>
          <w:p w14:paraId="02E31266" w14:textId="77777777" w:rsidR="009F612B" w:rsidRPr="009F612B" w:rsidRDefault="009F612B" w:rsidP="005A795D">
            <w:pPr>
              <w:numPr>
                <w:ilvl w:val="0"/>
                <w:numId w:val="17"/>
              </w:numPr>
              <w:overflowPunct/>
              <w:autoSpaceDE/>
              <w:autoSpaceDN/>
              <w:adjustRightInd/>
              <w:spacing w:before="0"/>
              <w:ind w:left="342" w:hanging="270"/>
              <w:contextualSpacing/>
              <w:textAlignment w:val="baseline"/>
            </w:pPr>
            <w:r w:rsidRPr="009F612B">
              <w:t>compact disk – read only memory (CD-ROM), and</w:t>
            </w:r>
          </w:p>
          <w:p w14:paraId="5C45857B" w14:textId="77777777" w:rsidR="009F612B" w:rsidRPr="009F612B" w:rsidRDefault="009F612B" w:rsidP="005A795D">
            <w:pPr>
              <w:numPr>
                <w:ilvl w:val="0"/>
                <w:numId w:val="17"/>
              </w:numPr>
              <w:overflowPunct/>
              <w:autoSpaceDE/>
              <w:autoSpaceDN/>
              <w:adjustRightInd/>
              <w:spacing w:before="0"/>
              <w:ind w:left="342" w:hanging="270"/>
              <w:textAlignment w:val="baseline"/>
            </w:pPr>
            <w:r w:rsidRPr="009F612B">
              <w:t>digital media files transferred by a secure method.</w:t>
            </w:r>
          </w:p>
          <w:p w14:paraId="721EA2E3" w14:textId="77777777" w:rsidR="009F612B" w:rsidRPr="009F612B" w:rsidRDefault="009F612B" w:rsidP="009F612B">
            <w:pPr>
              <w:spacing w:before="0"/>
              <w:textAlignment w:val="baseline"/>
            </w:pPr>
          </w:p>
          <w:p w14:paraId="1C5BE231" w14:textId="77777777" w:rsidR="009F612B" w:rsidRPr="009F612B" w:rsidRDefault="009F612B" w:rsidP="009F612B">
            <w:pPr>
              <w:overflowPunct/>
              <w:autoSpaceDE/>
              <w:autoSpaceDN/>
              <w:adjustRightInd/>
              <w:spacing w:before="0"/>
            </w:pPr>
            <w:r w:rsidRPr="009F612B">
              <w:rPr>
                <w:b/>
                <w:i/>
              </w:rPr>
              <w:t>Notes</w:t>
            </w:r>
            <w:r w:rsidRPr="009F612B">
              <w:t xml:space="preserve">:  </w:t>
            </w:r>
          </w:p>
          <w:p w14:paraId="0C0131B8" w14:textId="77777777" w:rsidR="009F612B" w:rsidRPr="009F612B" w:rsidRDefault="009F612B" w:rsidP="005A795D">
            <w:pPr>
              <w:numPr>
                <w:ilvl w:val="0"/>
                <w:numId w:val="16"/>
              </w:numPr>
              <w:overflowPunct/>
              <w:autoSpaceDE/>
              <w:autoSpaceDN/>
              <w:adjustRightInd/>
              <w:spacing w:before="0"/>
              <w:ind w:left="342" w:hanging="270"/>
              <w:contextualSpacing/>
              <w:textAlignment w:val="baseline"/>
            </w:pPr>
            <w:r w:rsidRPr="009F612B">
              <w:t>If the SM provides original STRs, make a copy of the records and return the originals to the SM the same day.</w:t>
            </w:r>
          </w:p>
          <w:p w14:paraId="24DD1100" w14:textId="77777777" w:rsidR="009F612B" w:rsidRPr="009F612B" w:rsidRDefault="009F612B" w:rsidP="005A795D">
            <w:pPr>
              <w:numPr>
                <w:ilvl w:val="0"/>
                <w:numId w:val="15"/>
              </w:numPr>
              <w:overflowPunct/>
              <w:autoSpaceDE/>
              <w:autoSpaceDN/>
              <w:adjustRightInd/>
              <w:spacing w:before="0"/>
              <w:ind w:left="342" w:hanging="270"/>
              <w:contextualSpacing/>
              <w:textAlignment w:val="baseline"/>
            </w:pPr>
            <w:r w:rsidRPr="009F612B">
              <w:t>If the original records cannot be returned to the SM, then return them to the Department of Defense (DoD) military treatment facility, or at one of the addresses below.</w:t>
            </w:r>
          </w:p>
          <w:p w14:paraId="4FE1E678" w14:textId="77777777" w:rsidR="009F612B" w:rsidRDefault="009F612B" w:rsidP="009F612B">
            <w:pPr>
              <w:overflowPunct/>
              <w:autoSpaceDE/>
              <w:autoSpaceDN/>
              <w:adjustRightInd/>
              <w:spacing w:before="0"/>
              <w:ind w:left="158"/>
              <w:contextualSpacing/>
            </w:pPr>
          </w:p>
          <w:p w14:paraId="04B983BF" w14:textId="77777777" w:rsidR="009F612B" w:rsidRDefault="009F612B" w:rsidP="009F612B">
            <w:pPr>
              <w:overflowPunct/>
              <w:autoSpaceDE/>
              <w:autoSpaceDN/>
              <w:adjustRightInd/>
              <w:spacing w:before="0"/>
              <w:ind w:left="158"/>
              <w:contextualSpacing/>
            </w:pPr>
          </w:p>
          <w:p w14:paraId="5BFFE969" w14:textId="77777777" w:rsidR="009F612B" w:rsidRDefault="009F612B" w:rsidP="009F612B">
            <w:pPr>
              <w:overflowPunct/>
              <w:autoSpaceDE/>
              <w:autoSpaceDN/>
              <w:adjustRightInd/>
              <w:spacing w:before="0"/>
              <w:ind w:left="158"/>
              <w:contextualSpacing/>
            </w:pPr>
          </w:p>
          <w:p w14:paraId="03AA55BD" w14:textId="77777777" w:rsidR="009F612B" w:rsidRDefault="009F612B" w:rsidP="009F612B">
            <w:pPr>
              <w:overflowPunct/>
              <w:autoSpaceDE/>
              <w:autoSpaceDN/>
              <w:adjustRightInd/>
              <w:spacing w:before="0"/>
              <w:ind w:left="158"/>
              <w:contextualSpacing/>
            </w:pPr>
          </w:p>
          <w:p w14:paraId="38A7D90D" w14:textId="77777777" w:rsidR="009F612B" w:rsidRPr="009F612B" w:rsidRDefault="009F612B" w:rsidP="009F612B">
            <w:pPr>
              <w:overflowPunct/>
              <w:autoSpaceDE/>
              <w:autoSpaceDN/>
              <w:adjustRightInd/>
              <w:spacing w:before="0"/>
              <w:ind w:left="158"/>
              <w:contextualSpacing/>
            </w:pPr>
          </w:p>
          <w:tbl>
            <w:tblPr>
              <w:tblStyle w:val="TableGrid1"/>
              <w:tblW w:w="5557" w:type="dxa"/>
              <w:tblLayout w:type="fixed"/>
              <w:tblLook w:val="04A0" w:firstRow="1" w:lastRow="0" w:firstColumn="1" w:lastColumn="0" w:noHBand="0" w:noVBand="1"/>
            </w:tblPr>
            <w:tblGrid>
              <w:gridCol w:w="1784"/>
              <w:gridCol w:w="3773"/>
            </w:tblGrid>
            <w:tr w:rsidR="009F612B" w:rsidRPr="009F612B" w14:paraId="215CFE35" w14:textId="77777777" w:rsidTr="00226B7A">
              <w:trPr>
                <w:trHeight w:val="310"/>
              </w:trPr>
              <w:tc>
                <w:tcPr>
                  <w:tcW w:w="1784" w:type="dxa"/>
                </w:tcPr>
                <w:p w14:paraId="28536FA6" w14:textId="77777777" w:rsidR="009F612B" w:rsidRPr="009F612B" w:rsidRDefault="009F612B" w:rsidP="009F612B">
                  <w:pPr>
                    <w:jc w:val="center"/>
                    <w:textAlignment w:val="baseline"/>
                    <w:rPr>
                      <w:b/>
                    </w:rPr>
                  </w:pPr>
                  <w:r w:rsidRPr="009F612B">
                    <w:rPr>
                      <w:b/>
                    </w:rPr>
                    <w:t>Branch of Service</w:t>
                  </w:r>
                </w:p>
              </w:tc>
              <w:tc>
                <w:tcPr>
                  <w:tcW w:w="3773" w:type="dxa"/>
                </w:tcPr>
                <w:p w14:paraId="23EEF5EB" w14:textId="77777777" w:rsidR="009F612B" w:rsidRPr="009F612B" w:rsidRDefault="009F612B" w:rsidP="009F612B">
                  <w:pPr>
                    <w:jc w:val="center"/>
                    <w:textAlignment w:val="baseline"/>
                    <w:rPr>
                      <w:b/>
                    </w:rPr>
                  </w:pPr>
                  <w:r w:rsidRPr="009F612B">
                    <w:rPr>
                      <w:b/>
                    </w:rPr>
                    <w:t>Address to Return STRs</w:t>
                  </w:r>
                </w:p>
              </w:tc>
            </w:tr>
            <w:tr w:rsidR="009F612B" w:rsidRPr="009F612B" w14:paraId="2DF1B0FB" w14:textId="77777777" w:rsidTr="00226B7A">
              <w:trPr>
                <w:trHeight w:val="908"/>
              </w:trPr>
              <w:tc>
                <w:tcPr>
                  <w:tcW w:w="1784" w:type="dxa"/>
                </w:tcPr>
                <w:p w14:paraId="0790F5D3" w14:textId="77777777" w:rsidR="009F612B" w:rsidRPr="009F612B" w:rsidRDefault="009F612B" w:rsidP="009F612B">
                  <w:pPr>
                    <w:textAlignment w:val="baseline"/>
                  </w:pPr>
                  <w:r w:rsidRPr="009F612B">
                    <w:t>Navy</w:t>
                  </w:r>
                </w:p>
              </w:tc>
              <w:tc>
                <w:tcPr>
                  <w:tcW w:w="3773" w:type="dxa"/>
                </w:tcPr>
                <w:p w14:paraId="5F334677" w14:textId="77777777" w:rsidR="009F612B" w:rsidRPr="009F612B" w:rsidRDefault="009F612B" w:rsidP="009F612B">
                  <w:pPr>
                    <w:spacing w:before="0"/>
                    <w:textAlignment w:val="baseline"/>
                  </w:pPr>
                  <w:r w:rsidRPr="009F612B">
                    <w:t>Bureau of Medicine and Surgery</w:t>
                  </w:r>
                </w:p>
                <w:p w14:paraId="4D232084" w14:textId="77777777" w:rsidR="009F612B" w:rsidRPr="009F612B" w:rsidRDefault="009F612B" w:rsidP="009F612B">
                  <w:pPr>
                    <w:spacing w:before="0"/>
                    <w:textAlignment w:val="baseline"/>
                  </w:pPr>
                  <w:r w:rsidRPr="009F612B">
                    <w:t>7700 Arlington Blvd, Suite 5126</w:t>
                  </w:r>
                </w:p>
                <w:p w14:paraId="57A34743" w14:textId="77777777" w:rsidR="009F612B" w:rsidRPr="009F612B" w:rsidRDefault="009F612B" w:rsidP="009F612B">
                  <w:pPr>
                    <w:spacing w:before="0"/>
                    <w:textAlignment w:val="baseline"/>
                  </w:pPr>
                  <w:r w:rsidRPr="009F612B">
                    <w:t>Falls Church, VA 22042-5126</w:t>
                  </w:r>
                </w:p>
              </w:tc>
            </w:tr>
            <w:tr w:rsidR="009F612B" w:rsidRPr="009F612B" w14:paraId="6B9B3058" w14:textId="77777777" w:rsidTr="00226B7A">
              <w:trPr>
                <w:trHeight w:val="310"/>
              </w:trPr>
              <w:tc>
                <w:tcPr>
                  <w:tcW w:w="1784" w:type="dxa"/>
                </w:tcPr>
                <w:p w14:paraId="2C1F4648" w14:textId="77777777" w:rsidR="009F612B" w:rsidRPr="009F612B" w:rsidRDefault="009F612B" w:rsidP="009F612B">
                  <w:pPr>
                    <w:textAlignment w:val="baseline"/>
                  </w:pPr>
                  <w:r w:rsidRPr="009F612B">
                    <w:t>Army</w:t>
                  </w:r>
                </w:p>
              </w:tc>
              <w:tc>
                <w:tcPr>
                  <w:tcW w:w="3773" w:type="dxa"/>
                </w:tcPr>
                <w:p w14:paraId="46D7FB5E" w14:textId="77777777" w:rsidR="009F612B" w:rsidRPr="009F612B" w:rsidRDefault="009F612B" w:rsidP="009F612B">
                  <w:pPr>
                    <w:spacing w:before="0"/>
                    <w:textAlignment w:val="baseline"/>
                  </w:pPr>
                  <w:r w:rsidRPr="009F612B">
                    <w:t>AMEDD Record Processing Center</w:t>
                  </w:r>
                </w:p>
                <w:p w14:paraId="66D31C5D" w14:textId="77777777" w:rsidR="009F612B" w:rsidRPr="009F612B" w:rsidRDefault="009F612B" w:rsidP="009F612B">
                  <w:pPr>
                    <w:spacing w:before="0"/>
                    <w:textAlignment w:val="baseline"/>
                  </w:pPr>
                  <w:r w:rsidRPr="009F612B">
                    <w:t>3370 Nacogdoches Road, Suite 116</w:t>
                  </w:r>
                </w:p>
                <w:p w14:paraId="4BF4061C" w14:textId="77777777" w:rsidR="009F612B" w:rsidRPr="009F612B" w:rsidRDefault="009F612B" w:rsidP="009F612B">
                  <w:pPr>
                    <w:spacing w:before="0"/>
                    <w:textAlignment w:val="baseline"/>
                  </w:pPr>
                  <w:r w:rsidRPr="009F612B">
                    <w:t>San Antonio, TX 78217</w:t>
                  </w:r>
                </w:p>
              </w:tc>
            </w:tr>
            <w:tr w:rsidR="009F612B" w:rsidRPr="009F612B" w14:paraId="3379770E" w14:textId="77777777" w:rsidTr="00226B7A">
              <w:trPr>
                <w:trHeight w:val="326"/>
              </w:trPr>
              <w:tc>
                <w:tcPr>
                  <w:tcW w:w="1784" w:type="dxa"/>
                </w:tcPr>
                <w:p w14:paraId="3B9A8772" w14:textId="77777777" w:rsidR="009F612B" w:rsidRPr="009F612B" w:rsidRDefault="009F612B" w:rsidP="009F612B">
                  <w:pPr>
                    <w:textAlignment w:val="baseline"/>
                  </w:pPr>
                  <w:r w:rsidRPr="009F612B">
                    <w:t>Air Force</w:t>
                  </w:r>
                </w:p>
              </w:tc>
              <w:tc>
                <w:tcPr>
                  <w:tcW w:w="3773" w:type="dxa"/>
                </w:tcPr>
                <w:p w14:paraId="324AF469" w14:textId="77777777" w:rsidR="009F612B" w:rsidRPr="009F612B" w:rsidRDefault="009F612B" w:rsidP="009F612B">
                  <w:pPr>
                    <w:spacing w:before="0"/>
                    <w:textAlignment w:val="baseline"/>
                  </w:pPr>
                  <w:r w:rsidRPr="009F612B">
                    <w:t>Air Force Record Processing Center</w:t>
                  </w:r>
                </w:p>
                <w:p w14:paraId="008F2B60" w14:textId="77777777" w:rsidR="009F612B" w:rsidRPr="009F612B" w:rsidRDefault="009F612B" w:rsidP="009F612B">
                  <w:pPr>
                    <w:spacing w:before="0"/>
                    <w:textAlignment w:val="baseline"/>
                  </w:pPr>
                  <w:r w:rsidRPr="009F612B">
                    <w:t>3370 Nacogdoches Road, Suite 116</w:t>
                  </w:r>
                </w:p>
                <w:p w14:paraId="0F7FC371" w14:textId="77777777" w:rsidR="009F612B" w:rsidRPr="009F612B" w:rsidRDefault="009F612B" w:rsidP="009F612B">
                  <w:pPr>
                    <w:spacing w:before="0"/>
                    <w:textAlignment w:val="baseline"/>
                  </w:pPr>
                  <w:r w:rsidRPr="009F612B">
                    <w:t>San Antonio, TX 78217</w:t>
                  </w:r>
                </w:p>
              </w:tc>
            </w:tr>
            <w:tr w:rsidR="009F612B" w:rsidRPr="009F612B" w14:paraId="15243E58" w14:textId="77777777" w:rsidTr="00226B7A">
              <w:trPr>
                <w:trHeight w:val="326"/>
              </w:trPr>
              <w:tc>
                <w:tcPr>
                  <w:tcW w:w="1784" w:type="dxa"/>
                </w:tcPr>
                <w:p w14:paraId="55D9317C" w14:textId="77777777" w:rsidR="009F612B" w:rsidRPr="009F612B" w:rsidRDefault="009F612B" w:rsidP="009F612B">
                  <w:pPr>
                    <w:textAlignment w:val="baseline"/>
                  </w:pPr>
                  <w:r w:rsidRPr="009F612B">
                    <w:t>Coast Guard</w:t>
                  </w:r>
                </w:p>
              </w:tc>
              <w:tc>
                <w:tcPr>
                  <w:tcW w:w="3773" w:type="dxa"/>
                </w:tcPr>
                <w:p w14:paraId="084C38A1" w14:textId="77777777" w:rsidR="009F612B" w:rsidRPr="009F612B" w:rsidRDefault="009F612B" w:rsidP="009F612B">
                  <w:pPr>
                    <w:spacing w:before="0"/>
                    <w:textAlignment w:val="baseline"/>
                  </w:pPr>
                  <w:r w:rsidRPr="009F612B">
                    <w:t>Commanding Officer</w:t>
                  </w:r>
                </w:p>
                <w:p w14:paraId="6F253ACC" w14:textId="77777777" w:rsidR="009F612B" w:rsidRPr="009F612B" w:rsidRDefault="009F612B" w:rsidP="009F612B">
                  <w:pPr>
                    <w:spacing w:before="0"/>
                    <w:textAlignment w:val="baseline"/>
                  </w:pPr>
                  <w:r w:rsidRPr="009F612B">
                    <w:t>HSWL Service Center</w:t>
                  </w:r>
                </w:p>
                <w:p w14:paraId="024D9ACD" w14:textId="77777777" w:rsidR="009F612B" w:rsidRPr="009F612B" w:rsidRDefault="009F612B" w:rsidP="009F612B">
                  <w:pPr>
                    <w:spacing w:before="0"/>
                    <w:textAlignment w:val="baseline"/>
                  </w:pPr>
                  <w:r w:rsidRPr="009F612B">
                    <w:t>ATTN:  Central Cell</w:t>
                  </w:r>
                </w:p>
                <w:p w14:paraId="76385328" w14:textId="77777777" w:rsidR="009F612B" w:rsidRPr="009F612B" w:rsidRDefault="009F612B" w:rsidP="009F612B">
                  <w:pPr>
                    <w:spacing w:before="0"/>
                    <w:textAlignment w:val="baseline"/>
                  </w:pPr>
                  <w:r w:rsidRPr="009F612B">
                    <w:t>300 E Main St, Suite 1000</w:t>
                  </w:r>
                </w:p>
                <w:p w14:paraId="69DB1792" w14:textId="77777777" w:rsidR="009F612B" w:rsidRPr="009F612B" w:rsidRDefault="009F612B" w:rsidP="009F612B">
                  <w:pPr>
                    <w:spacing w:before="0"/>
                    <w:textAlignment w:val="baseline"/>
                  </w:pPr>
                  <w:r w:rsidRPr="009F612B">
                    <w:t>Norfolk, VA 23510-9109</w:t>
                  </w:r>
                </w:p>
              </w:tc>
            </w:tr>
          </w:tbl>
          <w:p w14:paraId="2A786493" w14:textId="77777777" w:rsidR="009F612B" w:rsidRPr="009F612B" w:rsidRDefault="009F612B" w:rsidP="009F612B">
            <w:pPr>
              <w:spacing w:after="120"/>
              <w:textAlignment w:val="baseline"/>
              <w:rPr>
                <w:szCs w:val="24"/>
              </w:rPr>
            </w:pPr>
          </w:p>
        </w:tc>
      </w:tr>
    </w:tbl>
    <w:p w14:paraId="3C123181" w14:textId="77777777" w:rsidR="009F612B" w:rsidRPr="009F612B" w:rsidRDefault="009F612B" w:rsidP="009F612B">
      <w:pPr>
        <w:spacing w:before="0"/>
      </w:pPr>
    </w:p>
    <w:p w14:paraId="03204273" w14:textId="5D06F2CF" w:rsidR="009F612B" w:rsidRDefault="009F612B" w:rsidP="009F612B">
      <w:pPr>
        <w:spacing w:before="0"/>
      </w:pPr>
      <w:r>
        <w:rPr>
          <w:b/>
          <w:u w:val="single"/>
        </w:rPr>
        <w:t>Development Actions</w:t>
      </w:r>
    </w:p>
    <w:p w14:paraId="35F6EDA0" w14:textId="77777777" w:rsidR="009F612B" w:rsidRDefault="009F612B" w:rsidP="009F612B">
      <w:pPr>
        <w:spacing w:before="0"/>
      </w:pPr>
    </w:p>
    <w:p w14:paraId="4BEDD1CA" w14:textId="5EF625EE" w:rsidR="009F612B" w:rsidRPr="009F612B" w:rsidRDefault="009F612B" w:rsidP="00B60F03">
      <w:pPr>
        <w:spacing w:before="0" w:after="120"/>
        <w:textAlignment w:val="baseline"/>
      </w:pPr>
      <w:r w:rsidRPr="009F612B">
        <w:t>After completing the initial steps, the MSC or other BDD claims processor must undertake any necessary development actions, such as</w:t>
      </w:r>
    </w:p>
    <w:p w14:paraId="7D961EA7" w14:textId="626893CE" w:rsidR="009F612B" w:rsidRPr="009F612B" w:rsidRDefault="009F612B" w:rsidP="005A795D">
      <w:pPr>
        <w:numPr>
          <w:ilvl w:val="0"/>
          <w:numId w:val="18"/>
        </w:numPr>
        <w:spacing w:before="0"/>
        <w:ind w:left="410"/>
        <w:textAlignment w:val="baseline"/>
      </w:pPr>
      <w:r w:rsidRPr="009F612B">
        <w:t xml:space="preserve">If any prior periods of service exist, </w:t>
      </w:r>
      <w:r w:rsidR="001B4CE6">
        <w:t>these</w:t>
      </w:r>
      <w:r w:rsidRPr="009F612B">
        <w:t xml:space="preserve"> periods of service need to be verif</w:t>
      </w:r>
      <w:r w:rsidR="00B60F03">
        <w:t>ied</w:t>
      </w:r>
      <w:r w:rsidRPr="009F612B">
        <w:t xml:space="preserve"> and </w:t>
      </w:r>
      <w:r w:rsidR="00912CA3">
        <w:t>request the</w:t>
      </w:r>
      <w:r w:rsidR="00912CA3" w:rsidRPr="009F612B">
        <w:t xml:space="preserve"> </w:t>
      </w:r>
      <w:r w:rsidRPr="009F612B">
        <w:t xml:space="preserve">STRs for the earlier periods </w:t>
      </w:r>
      <w:r w:rsidR="00912CA3">
        <w:t xml:space="preserve">if not already </w:t>
      </w:r>
      <w:r w:rsidRPr="009F612B">
        <w:t>of record.</w:t>
      </w:r>
      <w:r w:rsidR="00912CA3">
        <w:t xml:space="preserve"> </w:t>
      </w:r>
      <w:r w:rsidRPr="009F612B">
        <w:t xml:space="preserve">Further details on how to procure this evidence are provided in </w:t>
      </w:r>
      <w:hyperlink r:id="rId17" w:history="1">
        <w:r w:rsidRPr="009F612B">
          <w:rPr>
            <w:color w:val="0000FF"/>
            <w:u w:val="single"/>
          </w:rPr>
          <w:t>M21-1, Part III, Subpart iii, 2.A and B</w:t>
        </w:r>
      </w:hyperlink>
      <w:r w:rsidRPr="009F612B">
        <w:t>.</w:t>
      </w:r>
    </w:p>
    <w:p w14:paraId="15FCF993" w14:textId="1A7DB3AF" w:rsidR="009F612B" w:rsidRDefault="009F612B" w:rsidP="005A795D">
      <w:pPr>
        <w:numPr>
          <w:ilvl w:val="0"/>
          <w:numId w:val="18"/>
        </w:numPr>
        <w:spacing w:before="0"/>
        <w:ind w:left="410"/>
        <w:textAlignment w:val="baseline"/>
      </w:pPr>
      <w:r w:rsidRPr="009F612B">
        <w:t xml:space="preserve">If private treatment records are indicated, </w:t>
      </w:r>
      <w:r w:rsidR="00912CA3">
        <w:t>f</w:t>
      </w:r>
      <w:r w:rsidR="00912CA3" w:rsidRPr="009F612B">
        <w:t xml:space="preserve">ollow </w:t>
      </w:r>
      <w:r w:rsidRPr="009F612B">
        <w:t xml:space="preserve">the guidance provided in </w:t>
      </w:r>
      <w:hyperlink r:id="rId18" w:history="1">
        <w:r w:rsidR="000F32D1" w:rsidRPr="000F32D1">
          <w:rPr>
            <w:rStyle w:val="Hyperlink"/>
          </w:rPr>
          <w:t>M21-1 Part III, Subpart iii, 1.C.3, Requesting Evidence from Private Healthcare Providers</w:t>
        </w:r>
      </w:hyperlink>
    </w:p>
    <w:p w14:paraId="5B569818" w14:textId="60FB2D16" w:rsidR="002577A1" w:rsidRPr="002577A1" w:rsidRDefault="009F612B" w:rsidP="004B0061">
      <w:pPr>
        <w:numPr>
          <w:ilvl w:val="0"/>
          <w:numId w:val="18"/>
        </w:numPr>
        <w:spacing w:before="0"/>
        <w:ind w:left="410"/>
        <w:textAlignment w:val="baseline"/>
      </w:pPr>
      <w:r w:rsidRPr="009F612B">
        <w:t xml:space="preserve">For categories of conditions that require specialized development and details on how to develop for supporting evidence, refer to </w:t>
      </w:r>
      <w:hyperlink r:id="rId19" w:history="1">
        <w:r w:rsidRPr="009F612B">
          <w:rPr>
            <w:color w:val="0000FF"/>
            <w:u w:val="single"/>
          </w:rPr>
          <w:t>M21-1, Part IV, Subpart ii, Chapter 1, Development</w:t>
        </w:r>
      </w:hyperlink>
      <w:r w:rsidRPr="009F612B">
        <w:t xml:space="preserve">. </w:t>
      </w:r>
      <w:r w:rsidR="002577A1" w:rsidRPr="002577A1">
        <w:t xml:space="preserve">For BDD claims without STRs, refer to </w:t>
      </w:r>
      <w:hyperlink r:id="rId20" w:anchor="1j" w:history="1">
        <w:r w:rsidR="002577A1" w:rsidRPr="00912CA3">
          <w:rPr>
            <w:rStyle w:val="Hyperlink"/>
          </w:rPr>
          <w:t>M21-1. Part III</w:t>
        </w:r>
        <w:r w:rsidR="002F6B48" w:rsidRPr="00912CA3">
          <w:rPr>
            <w:rStyle w:val="Hyperlink"/>
          </w:rPr>
          <w:t>,</w:t>
        </w:r>
        <w:r w:rsidR="002577A1" w:rsidRPr="00912CA3">
          <w:rPr>
            <w:rStyle w:val="Hyperlink"/>
          </w:rPr>
          <w:t xml:space="preserve"> Subpart i, 2.B.1.j</w:t>
        </w:r>
      </w:hyperlink>
      <w:r w:rsidR="002577A1" w:rsidRPr="002577A1">
        <w:t xml:space="preserve">. </w:t>
      </w:r>
    </w:p>
    <w:p w14:paraId="6FD83413" w14:textId="77777777" w:rsidR="002577A1" w:rsidRDefault="002577A1" w:rsidP="004B0061">
      <w:pPr>
        <w:spacing w:before="0"/>
        <w:textAlignment w:val="baseline"/>
      </w:pPr>
    </w:p>
    <w:p w14:paraId="2891E1AF" w14:textId="77777777" w:rsidR="00DC45C9" w:rsidRDefault="009F612B" w:rsidP="00DC45C9">
      <w:pPr>
        <w:spacing w:before="0"/>
      </w:pPr>
      <w:r w:rsidRPr="009F612B">
        <w:t xml:space="preserve"> </w:t>
      </w:r>
    </w:p>
    <w:p w14:paraId="284CE223" w14:textId="1EFD8A5F" w:rsidR="00DC45C9" w:rsidRPr="00DC45C9" w:rsidRDefault="00DC45C9" w:rsidP="00DC45C9">
      <w:pPr>
        <w:spacing w:before="0"/>
      </w:pPr>
      <w:r w:rsidRPr="00DC45C9">
        <w:rPr>
          <w:b/>
          <w:bCs/>
          <w:i/>
          <w:iCs/>
        </w:rPr>
        <w:t>Important:</w:t>
      </w:r>
      <w:r w:rsidRPr="00DC45C9">
        <w:t xml:space="preserve">   The SMs current period of service cannot be verified until the day following discharge from active duty.</w:t>
      </w:r>
      <w:r w:rsidR="00912CA3">
        <w:t xml:space="preserve"> </w:t>
      </w:r>
      <w:r w:rsidRPr="00DC45C9">
        <w:t xml:space="preserve">As such, in-service rating decision action on the claim should </w:t>
      </w:r>
      <w:r w:rsidRPr="00DC45C9">
        <w:rPr>
          <w:b/>
          <w:bCs/>
          <w:u w:val="single"/>
        </w:rPr>
        <w:t>not</w:t>
      </w:r>
      <w:r w:rsidRPr="00DC45C9">
        <w:t xml:space="preserve"> be delayed for verifying the current period of service.</w:t>
      </w:r>
    </w:p>
    <w:p w14:paraId="55FAB89E" w14:textId="28BC6509" w:rsidR="009F612B" w:rsidRPr="009F612B" w:rsidRDefault="009F612B" w:rsidP="00DC45C9">
      <w:pPr>
        <w:spacing w:before="0"/>
        <w:textAlignment w:val="baseline"/>
      </w:pPr>
      <w:r w:rsidRPr="009F612B">
        <w:t xml:space="preserve">  </w:t>
      </w:r>
    </w:p>
    <w:p w14:paraId="59B8C920" w14:textId="3BB9C89B" w:rsidR="007A5600" w:rsidRDefault="007A5600" w:rsidP="00B60F03">
      <w:pPr>
        <w:spacing w:before="0"/>
      </w:pPr>
    </w:p>
    <w:p w14:paraId="366E2CCF" w14:textId="0132E63B" w:rsidR="00B60F03" w:rsidRDefault="00B60F03" w:rsidP="00B60F03">
      <w:pPr>
        <w:spacing w:before="0"/>
      </w:pPr>
      <w:r>
        <w:rPr>
          <w:b/>
          <w:u w:val="single"/>
        </w:rPr>
        <w:t>Examinations</w:t>
      </w:r>
    </w:p>
    <w:p w14:paraId="7DCECA46" w14:textId="77777777" w:rsidR="00B60F03" w:rsidRDefault="00B60F03" w:rsidP="00B60F03">
      <w:pPr>
        <w:spacing w:before="0"/>
      </w:pPr>
    </w:p>
    <w:p w14:paraId="47E001A7" w14:textId="77777777" w:rsidR="00B60F03" w:rsidRDefault="00B60F03" w:rsidP="00B60F03">
      <w:pPr>
        <w:spacing w:before="0"/>
      </w:pPr>
      <w:r w:rsidRPr="00B60F03">
        <w:t xml:space="preserve">Once all evidence to support the claim and/or development is complete, the MSC or other BDD claims processor must determine if an exam is warranted.   </w:t>
      </w:r>
    </w:p>
    <w:p w14:paraId="483C8B49" w14:textId="77777777" w:rsidR="00B60F03" w:rsidRPr="00B60F03" w:rsidRDefault="00B60F03" w:rsidP="00B60F03">
      <w:pPr>
        <w:spacing w:before="0"/>
      </w:pPr>
    </w:p>
    <w:p w14:paraId="77AC3B1B" w14:textId="77777777" w:rsidR="00B60F03" w:rsidRPr="00B60F03" w:rsidRDefault="00B60F03" w:rsidP="00B60F03">
      <w:pPr>
        <w:spacing w:before="0"/>
      </w:pPr>
      <w:r w:rsidRPr="00B60F03">
        <w:t xml:space="preserve">If an exam is warranted, determine whether a contract examination or VHA examination is required by utilizing the </w:t>
      </w:r>
      <w:hyperlink r:id="rId21" w:history="1">
        <w:r w:rsidRPr="00B60F03">
          <w:rPr>
            <w:rStyle w:val="Hyperlink"/>
          </w:rPr>
          <w:t>Examination Request Routing Assistant (ERRA)</w:t>
        </w:r>
      </w:hyperlink>
      <w:r w:rsidRPr="00B60F03">
        <w:t xml:space="preserve"> as noted below.  </w:t>
      </w:r>
    </w:p>
    <w:p w14:paraId="25647A0A" w14:textId="77777777" w:rsidR="00B60F03" w:rsidRPr="00B60F03" w:rsidRDefault="00B60F03" w:rsidP="00B60F03">
      <w:pPr>
        <w:spacing w:before="0"/>
      </w:pPr>
    </w:p>
    <w:p w14:paraId="185C31AF" w14:textId="1D54C694" w:rsidR="00B60F03" w:rsidRDefault="00B60F03" w:rsidP="00A5126E">
      <w:pPr>
        <w:spacing w:before="0"/>
      </w:pPr>
      <w:r w:rsidRPr="00B60F03">
        <w:lastRenderedPageBreak/>
        <w:t>Use the ERRA tool unless at the BDD intake site there is an existing agreement specifying the provider(s) responsible for local BDD examinations.</w:t>
      </w:r>
    </w:p>
    <w:p w14:paraId="5852D2B0" w14:textId="77777777" w:rsidR="00A5126E" w:rsidRDefault="00A5126E" w:rsidP="00A5126E">
      <w:pPr>
        <w:spacing w:before="0"/>
      </w:pPr>
    </w:p>
    <w:p w14:paraId="6DD6E805" w14:textId="614C6D7E" w:rsidR="00B60F03" w:rsidRPr="00B60F03" w:rsidRDefault="00B60F03" w:rsidP="00B60F03">
      <w:pPr>
        <w:spacing w:before="0"/>
      </w:pPr>
      <w:r w:rsidRPr="00B60F03">
        <w:t xml:space="preserve">Within the ERRA tool, select </w:t>
      </w:r>
      <w:r w:rsidRPr="00B60F03">
        <w:rPr>
          <w:i/>
        </w:rPr>
        <w:t>Yes</w:t>
      </w:r>
      <w:r w:rsidRPr="00B60F03">
        <w:t xml:space="preserve"> following the text </w:t>
      </w:r>
      <w:r w:rsidR="00F66C0E">
        <w:rPr>
          <w:i/>
        </w:rPr>
        <w:t>BDD</w:t>
      </w:r>
      <w:r w:rsidRPr="00B60F03">
        <w:rPr>
          <w:i/>
        </w:rPr>
        <w:t>/IDES Claim?</w:t>
      </w:r>
      <w:r w:rsidRPr="00B60F03">
        <w:t xml:space="preserve"> as shown below:</w:t>
      </w:r>
    </w:p>
    <w:p w14:paraId="6F961BA2" w14:textId="77777777" w:rsidR="00B60F03" w:rsidRDefault="00B60F03" w:rsidP="00B60F03">
      <w:pPr>
        <w:spacing w:before="0"/>
      </w:pPr>
    </w:p>
    <w:p w14:paraId="6516B304" w14:textId="4C1152BD" w:rsidR="00B60F03" w:rsidRDefault="00AA2479" w:rsidP="00B60F03">
      <w:pPr>
        <w:spacing w:before="0"/>
        <w:jc w:val="center"/>
      </w:pPr>
      <w:r>
        <w:rPr>
          <w:noProof/>
        </w:rPr>
        <w:drawing>
          <wp:inline distT="0" distB="0" distL="0" distR="0" wp14:anchorId="2672127F" wp14:editId="24B70CFC">
            <wp:extent cx="59340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1943100"/>
                    </a:xfrm>
                    <a:prstGeom prst="rect">
                      <a:avLst/>
                    </a:prstGeom>
                    <a:noFill/>
                    <a:ln>
                      <a:noFill/>
                    </a:ln>
                  </pic:spPr>
                </pic:pic>
              </a:graphicData>
            </a:graphic>
          </wp:inline>
        </w:drawing>
      </w:r>
    </w:p>
    <w:p w14:paraId="78515D2D" w14:textId="77777777" w:rsidR="00B60F03" w:rsidRDefault="00B60F03" w:rsidP="00B60F03">
      <w:pPr>
        <w:spacing w:before="0"/>
        <w:jc w:val="center"/>
      </w:pPr>
    </w:p>
    <w:p w14:paraId="4A885978" w14:textId="77777777" w:rsidR="00B60F03" w:rsidRPr="00B60F03" w:rsidRDefault="00B60F03" w:rsidP="00B60F03">
      <w:pPr>
        <w:textAlignment w:val="baseline"/>
      </w:pPr>
      <w:r w:rsidRPr="00B60F03">
        <w:rPr>
          <w:b/>
          <w:i/>
        </w:rPr>
        <w:t>Important</w:t>
      </w:r>
      <w:r w:rsidRPr="00B60F03">
        <w:t xml:space="preserve">:  </w:t>
      </w:r>
    </w:p>
    <w:p w14:paraId="6BDD409C" w14:textId="6FB856A7" w:rsidR="00B60F03" w:rsidRPr="00B60F03" w:rsidRDefault="00B60F03" w:rsidP="005A795D">
      <w:pPr>
        <w:numPr>
          <w:ilvl w:val="0"/>
          <w:numId w:val="20"/>
        </w:numPr>
        <w:overflowPunct/>
        <w:autoSpaceDE/>
        <w:autoSpaceDN/>
        <w:adjustRightInd/>
        <w:spacing w:before="0"/>
        <w:ind w:left="450" w:hanging="270"/>
        <w:contextualSpacing/>
        <w:textAlignment w:val="baseline"/>
      </w:pPr>
      <w:r w:rsidRPr="00B60F03">
        <w:t>A SHA examination should be requested for all BDD claimants still on active duty at the time of the examination request, along with any necessary specialist examinations.</w:t>
      </w:r>
    </w:p>
    <w:p w14:paraId="1EB2E96C" w14:textId="71C71646" w:rsidR="00A7575D" w:rsidRDefault="00B60F03" w:rsidP="005A795D">
      <w:pPr>
        <w:numPr>
          <w:ilvl w:val="0"/>
          <w:numId w:val="20"/>
        </w:numPr>
        <w:overflowPunct/>
        <w:autoSpaceDE/>
        <w:autoSpaceDN/>
        <w:adjustRightInd/>
        <w:spacing w:before="0"/>
        <w:ind w:left="450" w:hanging="270"/>
        <w:contextualSpacing/>
        <w:textAlignment w:val="baseline"/>
      </w:pPr>
      <w:r w:rsidRPr="00B60F03">
        <w:t xml:space="preserve">Be sure to review box the </w:t>
      </w:r>
      <w:r w:rsidRPr="00B60F03">
        <w:rPr>
          <w:i/>
        </w:rPr>
        <w:t>VA Form 21-526EZ</w:t>
      </w:r>
      <w:r w:rsidRPr="00B60F03">
        <w:t xml:space="preserve"> for effective dates of any forwarding addresses provided by the SM. This will ensure your request is routed to the SM’s current location. This is most critical if the exam request is a re-input of an original request that was rejected via </w:t>
      </w:r>
      <w:r w:rsidR="00680DBD">
        <w:t>VBMS EMS</w:t>
      </w:r>
      <w:r w:rsidRPr="00B60F03">
        <w:t xml:space="preserve"> or CAPRI.</w:t>
      </w:r>
    </w:p>
    <w:p w14:paraId="283BF332" w14:textId="4A041570" w:rsidR="00A7575D" w:rsidRPr="00CF32D6" w:rsidRDefault="00A7575D" w:rsidP="005A795D">
      <w:pPr>
        <w:numPr>
          <w:ilvl w:val="0"/>
          <w:numId w:val="20"/>
        </w:numPr>
        <w:overflowPunct/>
        <w:autoSpaceDE/>
        <w:autoSpaceDN/>
        <w:adjustRightInd/>
        <w:spacing w:before="0"/>
        <w:ind w:left="450" w:hanging="270"/>
        <w:contextualSpacing/>
        <w:textAlignment w:val="baseline"/>
      </w:pPr>
      <w:r w:rsidRPr="00EB4732">
        <w:t xml:space="preserve">When the examination request has been submitted, upload a copy of the examination request </w:t>
      </w:r>
      <w:r w:rsidR="009E3121">
        <w:t xml:space="preserve">and ERRA results </w:t>
      </w:r>
      <w:r w:rsidRPr="00EB4732">
        <w:t>into the eFolder.</w:t>
      </w:r>
    </w:p>
    <w:p w14:paraId="240A40AA" w14:textId="77777777" w:rsidR="00B60F03" w:rsidRPr="00B60F03" w:rsidRDefault="00B60F03" w:rsidP="00A7575D">
      <w:pPr>
        <w:overflowPunct/>
        <w:autoSpaceDE/>
        <w:autoSpaceDN/>
        <w:adjustRightInd/>
        <w:spacing w:before="0"/>
        <w:contextualSpacing/>
        <w:textAlignment w:val="baseline"/>
      </w:pPr>
    </w:p>
    <w:p w14:paraId="385F83CA" w14:textId="77777777" w:rsidR="00B60F03" w:rsidRPr="00B60F03" w:rsidRDefault="00B60F03" w:rsidP="00B60F03">
      <w:pPr>
        <w:spacing w:before="0"/>
        <w:textAlignment w:val="baseline"/>
      </w:pPr>
      <w:r w:rsidRPr="00B60F03">
        <w:rPr>
          <w:b/>
          <w:i/>
        </w:rPr>
        <w:t>References</w:t>
      </w:r>
      <w:r w:rsidRPr="00B60F03">
        <w:t xml:space="preserve">: For more information on </w:t>
      </w:r>
    </w:p>
    <w:p w14:paraId="3BCD39B7" w14:textId="77777777" w:rsidR="002F6B48" w:rsidRDefault="00B60F03" w:rsidP="002F6B48">
      <w:pPr>
        <w:numPr>
          <w:ilvl w:val="0"/>
          <w:numId w:val="19"/>
        </w:numPr>
        <w:overflowPunct/>
        <w:autoSpaceDE/>
        <w:autoSpaceDN/>
        <w:adjustRightInd/>
        <w:spacing w:before="0"/>
        <w:ind w:left="450" w:hanging="270"/>
        <w:contextualSpacing/>
        <w:textAlignment w:val="baseline"/>
      </w:pPr>
      <w:r w:rsidRPr="00B60F03">
        <w:t>mandatory use of ERRA and the exception, see M21-1, Part III, Subpart iv, 3.A.1.d</w:t>
      </w:r>
    </w:p>
    <w:p w14:paraId="747F5F4D" w14:textId="7EC08C24" w:rsidR="002F6B48" w:rsidRPr="00B60F03" w:rsidRDefault="002F6B48" w:rsidP="002F6B48">
      <w:pPr>
        <w:numPr>
          <w:ilvl w:val="0"/>
          <w:numId w:val="19"/>
        </w:numPr>
        <w:overflowPunct/>
        <w:autoSpaceDE/>
        <w:autoSpaceDN/>
        <w:adjustRightInd/>
        <w:spacing w:before="0"/>
        <w:ind w:left="450" w:hanging="270"/>
        <w:contextualSpacing/>
        <w:textAlignment w:val="baseline"/>
      </w:pPr>
      <w:r w:rsidRPr="002F6B48">
        <w:t>examinations that cannot be requested through contract examiners see M21-1, Part III, Subpart iv, 3.A.1.j, and</w:t>
      </w:r>
    </w:p>
    <w:p w14:paraId="5B0370B0" w14:textId="4D25D311" w:rsidR="00B60F03" w:rsidRDefault="00B60F03" w:rsidP="005A795D">
      <w:pPr>
        <w:numPr>
          <w:ilvl w:val="0"/>
          <w:numId w:val="19"/>
        </w:numPr>
        <w:overflowPunct/>
        <w:autoSpaceDE/>
        <w:autoSpaceDN/>
        <w:adjustRightInd/>
        <w:spacing w:before="0"/>
        <w:ind w:left="450" w:hanging="270"/>
        <w:contextualSpacing/>
        <w:textAlignment w:val="baseline"/>
      </w:pPr>
      <w:r w:rsidRPr="00B60F03">
        <w:t>examinations that must be performed by a specialist see M21-1, Part III, Subpart iv, 3.A.1.h.</w:t>
      </w:r>
    </w:p>
    <w:p w14:paraId="1329FEEF" w14:textId="77777777" w:rsidR="00B60F03" w:rsidRDefault="00B60F03" w:rsidP="00B60F03">
      <w:pPr>
        <w:overflowPunct/>
        <w:autoSpaceDE/>
        <w:autoSpaceDN/>
        <w:adjustRightInd/>
        <w:spacing w:before="0"/>
        <w:contextualSpacing/>
        <w:textAlignment w:val="baseline"/>
      </w:pPr>
    </w:p>
    <w:p w14:paraId="21E1E45E" w14:textId="5AF9B6C0" w:rsidR="00B60F03" w:rsidRDefault="005A791D" w:rsidP="00B60F03">
      <w:pPr>
        <w:overflowPunct/>
        <w:autoSpaceDE/>
        <w:autoSpaceDN/>
        <w:adjustRightInd/>
        <w:spacing w:before="0"/>
        <w:contextualSpacing/>
        <w:textAlignment w:val="baseline"/>
        <w:rPr>
          <w:b/>
          <w:u w:val="single"/>
        </w:rPr>
      </w:pPr>
      <w:r>
        <w:rPr>
          <w:b/>
          <w:u w:val="single"/>
        </w:rPr>
        <w:t>Contract Examination</w:t>
      </w:r>
    </w:p>
    <w:p w14:paraId="3E298C57" w14:textId="77777777" w:rsidR="005A791D" w:rsidRDefault="005A791D" w:rsidP="00B60F03">
      <w:pPr>
        <w:overflowPunct/>
        <w:autoSpaceDE/>
        <w:autoSpaceDN/>
        <w:adjustRightInd/>
        <w:spacing w:before="0"/>
        <w:contextualSpacing/>
        <w:textAlignment w:val="baseline"/>
        <w:rPr>
          <w:b/>
          <w:u w:val="single"/>
        </w:rPr>
      </w:pPr>
    </w:p>
    <w:p w14:paraId="42B0EFCB" w14:textId="0247E711" w:rsidR="00A7575D" w:rsidRPr="00A7575D" w:rsidRDefault="00A7575D" w:rsidP="00CA0192">
      <w:pPr>
        <w:spacing w:before="0"/>
        <w:textAlignment w:val="baseline"/>
      </w:pPr>
      <w:r w:rsidRPr="00A7575D">
        <w:t xml:space="preserve">Enter requests for contract examinations using </w:t>
      </w:r>
      <w:r w:rsidR="00680DBD">
        <w:t>VBMS Exam Management System (EMS)</w:t>
      </w:r>
      <w:r w:rsidRPr="00A7575D">
        <w:t>.</w:t>
      </w:r>
    </w:p>
    <w:p w14:paraId="18EC125E" w14:textId="77777777" w:rsidR="00A7575D" w:rsidRPr="00A7575D" w:rsidRDefault="00A7575D" w:rsidP="00A7575D">
      <w:pPr>
        <w:spacing w:before="0"/>
        <w:textAlignment w:val="baseline"/>
      </w:pPr>
    </w:p>
    <w:p w14:paraId="33896EE6" w14:textId="77777777" w:rsidR="00A7575D" w:rsidRPr="00A7575D" w:rsidRDefault="00A7575D" w:rsidP="00A7575D">
      <w:pPr>
        <w:spacing w:before="0"/>
        <w:textAlignment w:val="baseline"/>
      </w:pPr>
      <w:r w:rsidRPr="00A7575D">
        <w:rPr>
          <w:b/>
          <w:i/>
        </w:rPr>
        <w:t>Important</w:t>
      </w:r>
      <w:r w:rsidRPr="00A7575D">
        <w:t xml:space="preserve">:  </w:t>
      </w:r>
    </w:p>
    <w:p w14:paraId="3A7043B9" w14:textId="77777777" w:rsidR="00A7575D" w:rsidRPr="00A7575D" w:rsidRDefault="00A7575D" w:rsidP="005A795D">
      <w:pPr>
        <w:numPr>
          <w:ilvl w:val="0"/>
          <w:numId w:val="21"/>
        </w:numPr>
        <w:overflowPunct/>
        <w:autoSpaceDE/>
        <w:autoSpaceDN/>
        <w:adjustRightInd/>
        <w:spacing w:before="0"/>
        <w:ind w:left="360" w:hanging="270"/>
        <w:contextualSpacing/>
        <w:textAlignment w:val="baseline"/>
        <w:rPr>
          <w:rFonts w:eastAsia="Batang"/>
        </w:rPr>
      </w:pPr>
      <w:r w:rsidRPr="00A7575D">
        <w:t>Station selection should be the first</w:t>
      </w:r>
      <w:r w:rsidRPr="00A7575D">
        <w:rPr>
          <w:rFonts w:eastAsia="Batang"/>
        </w:rPr>
        <w:t xml:space="preserve"> entry made, and if you do not select the correct station number, you must delete the request and start over.  </w:t>
      </w:r>
    </w:p>
    <w:p w14:paraId="7FE2E5B2" w14:textId="7EAEC493" w:rsidR="00A7575D" w:rsidRPr="00A7575D" w:rsidRDefault="00A7575D" w:rsidP="005A795D">
      <w:pPr>
        <w:numPr>
          <w:ilvl w:val="0"/>
          <w:numId w:val="21"/>
        </w:numPr>
        <w:overflowPunct/>
        <w:autoSpaceDE/>
        <w:autoSpaceDN/>
        <w:adjustRightInd/>
        <w:spacing w:before="0"/>
        <w:ind w:left="360" w:hanging="270"/>
        <w:contextualSpacing/>
        <w:textAlignment w:val="baseline"/>
      </w:pPr>
      <w:r w:rsidRPr="00A7575D">
        <w:rPr>
          <w:rFonts w:eastAsia="Batang"/>
        </w:rPr>
        <w:t xml:space="preserve">The station number in </w:t>
      </w:r>
      <w:r w:rsidR="00680DBD">
        <w:rPr>
          <w:rFonts w:eastAsia="Batang"/>
        </w:rPr>
        <w:t>EMS</w:t>
      </w:r>
      <w:r w:rsidRPr="00A7575D">
        <w:rPr>
          <w:rFonts w:eastAsia="Batang"/>
        </w:rPr>
        <w:t xml:space="preserve"> must correspond with the SM’s geographic jurisdiction.  For example, use 318 from the station drop-down menu where the individual lives in North Carolina and the ERRA tool indicates QTC contract exam jurisdiction.</w:t>
      </w:r>
    </w:p>
    <w:p w14:paraId="3E92E788" w14:textId="77777777" w:rsidR="00A7575D" w:rsidRPr="00A7575D" w:rsidRDefault="00A7575D" w:rsidP="005A795D">
      <w:pPr>
        <w:numPr>
          <w:ilvl w:val="0"/>
          <w:numId w:val="21"/>
        </w:numPr>
        <w:overflowPunct/>
        <w:autoSpaceDE/>
        <w:autoSpaceDN/>
        <w:adjustRightInd/>
        <w:spacing w:before="0"/>
        <w:ind w:left="360" w:hanging="270"/>
        <w:contextualSpacing/>
        <w:textAlignment w:val="baseline"/>
      </w:pPr>
      <w:r w:rsidRPr="00A7575D">
        <w:t>The intake site location selected should be the intake site of the claims processor processing the claim.</w:t>
      </w:r>
    </w:p>
    <w:p w14:paraId="24C92EA4" w14:textId="27445527" w:rsidR="00A7575D" w:rsidRPr="00A7575D" w:rsidRDefault="00A7575D" w:rsidP="005A795D">
      <w:pPr>
        <w:numPr>
          <w:ilvl w:val="0"/>
          <w:numId w:val="21"/>
        </w:numPr>
        <w:overflowPunct/>
        <w:autoSpaceDE/>
        <w:autoSpaceDN/>
        <w:adjustRightInd/>
        <w:spacing w:before="0"/>
        <w:ind w:left="360" w:hanging="270"/>
        <w:contextualSpacing/>
        <w:textAlignment w:val="baseline"/>
      </w:pPr>
      <w:r w:rsidRPr="00A7575D">
        <w:lastRenderedPageBreak/>
        <w:t>A request for an examination including the SHA DBQ and any other necessary specialist examinations</w:t>
      </w:r>
      <w:r w:rsidRPr="00A7575D">
        <w:rPr>
          <w:b/>
          <w:i/>
        </w:rPr>
        <w:t xml:space="preserve"> must be entered within five calendar days</w:t>
      </w:r>
      <w:r w:rsidRPr="00A7575D">
        <w:t xml:space="preserve"> of claim documents being uploaded into VBMS.  </w:t>
      </w:r>
    </w:p>
    <w:p w14:paraId="5EB51A7C" w14:textId="3D1A2E47" w:rsidR="00CA0192" w:rsidRDefault="00CA0192">
      <w:pPr>
        <w:overflowPunct/>
        <w:autoSpaceDE/>
        <w:autoSpaceDN/>
        <w:adjustRightInd/>
        <w:spacing w:before="0"/>
        <w:rPr>
          <w:b/>
          <w:i/>
        </w:rPr>
      </w:pPr>
    </w:p>
    <w:p w14:paraId="71011CEE" w14:textId="77777777" w:rsidR="00680DBD" w:rsidRPr="00CF32D6" w:rsidRDefault="00680DBD" w:rsidP="00680DBD">
      <w:pPr>
        <w:pStyle w:val="NormalWeb"/>
        <w:spacing w:before="0"/>
      </w:pPr>
    </w:p>
    <w:p w14:paraId="52BFD2FE" w14:textId="77777777" w:rsidR="00680DBD" w:rsidRPr="00CF32D6" w:rsidRDefault="00680DBD" w:rsidP="00680DBD">
      <w:pPr>
        <w:tabs>
          <w:tab w:val="left" w:pos="9360"/>
        </w:tabs>
        <w:spacing w:before="0"/>
      </w:pPr>
      <w:r w:rsidRPr="00CF32D6">
        <w:rPr>
          <w:b/>
          <w:i/>
        </w:rPr>
        <w:t>References</w:t>
      </w:r>
      <w:r w:rsidRPr="00CF32D6">
        <w:t>:  For more information on</w:t>
      </w:r>
      <w:r>
        <w:t xml:space="preserve"> VBMS Exam Management System</w:t>
      </w:r>
      <w:r w:rsidRPr="00CF32D6">
        <w:t xml:space="preserve">, see </w:t>
      </w:r>
    </w:p>
    <w:p w14:paraId="240E2FEB" w14:textId="77777777" w:rsidR="00680DBD" w:rsidRDefault="00680DBD" w:rsidP="00680DBD">
      <w:pPr>
        <w:pStyle w:val="ListParagraph"/>
        <w:spacing w:before="0"/>
      </w:pPr>
    </w:p>
    <w:p w14:paraId="4F511573" w14:textId="77777777" w:rsidR="00680DBD" w:rsidRPr="007C3D89" w:rsidRDefault="00680DBD" w:rsidP="00680DBD">
      <w:pPr>
        <w:pStyle w:val="ListParagraph"/>
        <w:numPr>
          <w:ilvl w:val="0"/>
          <w:numId w:val="21"/>
        </w:numPr>
        <w:spacing w:before="0"/>
        <w:contextualSpacing w:val="0"/>
        <w:textAlignment w:val="baseline"/>
      </w:pPr>
      <w:r w:rsidRPr="007C3D89">
        <w:t>TMS Courses</w:t>
      </w:r>
    </w:p>
    <w:p w14:paraId="74B0B6C3" w14:textId="77777777" w:rsidR="00680DBD" w:rsidRPr="007C3D89" w:rsidRDefault="00680DBD" w:rsidP="00105613">
      <w:pPr>
        <w:pStyle w:val="ListParagraph"/>
        <w:numPr>
          <w:ilvl w:val="1"/>
          <w:numId w:val="21"/>
        </w:numPr>
        <w:spacing w:before="0"/>
        <w:contextualSpacing w:val="0"/>
      </w:pPr>
      <w:r w:rsidRPr="007C3D89">
        <w:t>VA 4415934 Introduction to Exam Management in VBMS</w:t>
      </w:r>
    </w:p>
    <w:p w14:paraId="3A605CD0" w14:textId="77777777" w:rsidR="00680DBD" w:rsidRPr="007C3D89" w:rsidRDefault="00680DBD" w:rsidP="00105613">
      <w:pPr>
        <w:pStyle w:val="ListParagraph"/>
        <w:numPr>
          <w:ilvl w:val="1"/>
          <w:numId w:val="21"/>
        </w:numPr>
        <w:spacing w:before="0"/>
        <w:contextualSpacing w:val="0"/>
      </w:pPr>
      <w:r w:rsidRPr="007C3D89">
        <w:t>VA 4415942 Creating Exam Scheduling Request in VBMS</w:t>
      </w:r>
    </w:p>
    <w:p w14:paraId="1DD568B6" w14:textId="77777777" w:rsidR="00680DBD" w:rsidRPr="007C3D89" w:rsidRDefault="00680DBD" w:rsidP="00105613">
      <w:pPr>
        <w:pStyle w:val="ListParagraph"/>
        <w:numPr>
          <w:ilvl w:val="1"/>
          <w:numId w:val="21"/>
        </w:numPr>
        <w:spacing w:before="0"/>
        <w:contextualSpacing w:val="0"/>
      </w:pPr>
      <w:r w:rsidRPr="007C3D89">
        <w:t>VA 4415941 Exam Scheduling Request Submission Status and Exam Activity</w:t>
      </w:r>
    </w:p>
    <w:p w14:paraId="1F1EDD18" w14:textId="77777777" w:rsidR="00680DBD" w:rsidRPr="007C3D89" w:rsidRDefault="00680DBD" w:rsidP="00105613">
      <w:pPr>
        <w:pStyle w:val="ListParagraph"/>
        <w:numPr>
          <w:ilvl w:val="1"/>
          <w:numId w:val="21"/>
        </w:numPr>
        <w:spacing w:before="0"/>
        <w:contextualSpacing w:val="0"/>
      </w:pPr>
      <w:r w:rsidRPr="007C3D89">
        <w:t>VA 4415947 Request for Clarification/Modification Request/Rework Request in Exam Management</w:t>
      </w:r>
    </w:p>
    <w:p w14:paraId="7E14A66D" w14:textId="77777777" w:rsidR="00680DBD" w:rsidRPr="007C3D89" w:rsidRDefault="00680DBD" w:rsidP="00105613">
      <w:pPr>
        <w:pStyle w:val="ListParagraph"/>
        <w:numPr>
          <w:ilvl w:val="1"/>
          <w:numId w:val="21"/>
        </w:numPr>
        <w:spacing w:before="0"/>
        <w:contextualSpacing w:val="0"/>
      </w:pPr>
      <w:r w:rsidRPr="007C3D89">
        <w:t>VA 4415952 Exam Scheduling Request in VBMS for Individual Unemployability Claims</w:t>
      </w:r>
    </w:p>
    <w:p w14:paraId="79419316" w14:textId="77777777" w:rsidR="00680DBD" w:rsidRPr="007C3D89" w:rsidRDefault="00FC6D7E" w:rsidP="00680DBD">
      <w:pPr>
        <w:pStyle w:val="ListParagraph"/>
        <w:numPr>
          <w:ilvl w:val="0"/>
          <w:numId w:val="21"/>
        </w:numPr>
        <w:spacing w:before="0"/>
        <w:contextualSpacing w:val="0"/>
        <w:textAlignment w:val="baseline"/>
      </w:pPr>
      <w:hyperlink r:id="rId23" w:history="1">
        <w:r w:rsidR="00680DBD" w:rsidRPr="007C3D89">
          <w:rPr>
            <w:rStyle w:val="Hyperlink"/>
          </w:rPr>
          <w:t>VBMS Core User Guide</w:t>
        </w:r>
      </w:hyperlink>
      <w:r w:rsidR="00680DBD" w:rsidRPr="007C3D89">
        <w:t xml:space="preserve"> (Ch18)</w:t>
      </w:r>
    </w:p>
    <w:p w14:paraId="63B4BDFB" w14:textId="705DA471" w:rsidR="00680DBD" w:rsidRPr="007C3D89" w:rsidRDefault="00FC6D7E" w:rsidP="00680DBD">
      <w:pPr>
        <w:pStyle w:val="ListParagraph"/>
        <w:numPr>
          <w:ilvl w:val="0"/>
          <w:numId w:val="21"/>
        </w:numPr>
        <w:spacing w:before="0"/>
        <w:contextualSpacing w:val="0"/>
        <w:textAlignment w:val="baseline"/>
      </w:pPr>
      <w:hyperlink r:id="rId24" w:history="1">
        <w:r w:rsidR="00680DBD" w:rsidRPr="007C3D89">
          <w:rPr>
            <w:rStyle w:val="Hyperlink"/>
          </w:rPr>
          <w:t xml:space="preserve">Reviewing </w:t>
        </w:r>
        <w:r w:rsidR="000265D7" w:rsidRPr="007C3D89">
          <w:rPr>
            <w:rStyle w:val="Hyperlink"/>
          </w:rPr>
          <w:t>the</w:t>
        </w:r>
        <w:r w:rsidR="00680DBD" w:rsidRPr="007C3D89">
          <w:rPr>
            <w:rStyle w:val="Hyperlink"/>
          </w:rPr>
          <w:t xml:space="preserve"> Contentions List Screen in VBMS</w:t>
        </w:r>
      </w:hyperlink>
      <w:r w:rsidR="00680DBD" w:rsidRPr="007C3D89">
        <w:t xml:space="preserve"> Job Aid</w:t>
      </w:r>
    </w:p>
    <w:p w14:paraId="27E9444A" w14:textId="77777777" w:rsidR="00680DBD" w:rsidRPr="007C3D89" w:rsidRDefault="00FC6D7E" w:rsidP="00680DBD">
      <w:pPr>
        <w:pStyle w:val="ListParagraph"/>
        <w:numPr>
          <w:ilvl w:val="0"/>
          <w:numId w:val="21"/>
        </w:numPr>
        <w:spacing w:before="0"/>
        <w:contextualSpacing w:val="0"/>
        <w:textAlignment w:val="baseline"/>
      </w:pPr>
      <w:hyperlink r:id="rId25" w:history="1">
        <w:r w:rsidR="00680DBD" w:rsidRPr="007C3D89">
          <w:rPr>
            <w:rStyle w:val="Hyperlink"/>
          </w:rPr>
          <w:t>Mandatory Contract Exam Staff Homepage</w:t>
        </w:r>
      </w:hyperlink>
    </w:p>
    <w:p w14:paraId="3AED9942" w14:textId="45A68CA9" w:rsidR="00680DBD" w:rsidRPr="00CF32D6" w:rsidRDefault="00FC6D7E" w:rsidP="00680DBD">
      <w:pPr>
        <w:pStyle w:val="ListParagraph"/>
        <w:numPr>
          <w:ilvl w:val="0"/>
          <w:numId w:val="21"/>
        </w:numPr>
        <w:overflowPunct/>
        <w:autoSpaceDE/>
        <w:autoSpaceDN/>
        <w:adjustRightInd/>
        <w:spacing w:before="0"/>
      </w:pPr>
      <w:hyperlink r:id="rId26" w:history="1">
        <w:r w:rsidR="00680DBD" w:rsidRPr="00842CC8">
          <w:rPr>
            <w:rStyle w:val="Hyperlink"/>
          </w:rPr>
          <w:t>Regional Office Exam Liaisons</w:t>
        </w:r>
      </w:hyperlink>
      <w:r w:rsidR="00680DBD" w:rsidRPr="00CF32D6">
        <w:t xml:space="preserve">, </w:t>
      </w:r>
    </w:p>
    <w:p w14:paraId="4D299AB1" w14:textId="3ECBC1A4" w:rsidR="007E76DB" w:rsidRDefault="007E76DB" w:rsidP="007E76DB">
      <w:pPr>
        <w:overflowPunct/>
        <w:autoSpaceDE/>
        <w:autoSpaceDN/>
        <w:adjustRightInd/>
        <w:spacing w:before="0"/>
        <w:contextualSpacing/>
        <w:textAlignment w:val="baseline"/>
      </w:pPr>
    </w:p>
    <w:p w14:paraId="30621BA8" w14:textId="044FD98B" w:rsidR="007E76DB" w:rsidRDefault="007E76DB" w:rsidP="007E76DB">
      <w:pPr>
        <w:overflowPunct/>
        <w:autoSpaceDE/>
        <w:autoSpaceDN/>
        <w:adjustRightInd/>
        <w:spacing w:before="0"/>
        <w:contextualSpacing/>
        <w:textAlignment w:val="baseline"/>
      </w:pPr>
      <w:r>
        <w:rPr>
          <w:b/>
          <w:u w:val="single"/>
        </w:rPr>
        <w:t>VHA Examination</w:t>
      </w:r>
    </w:p>
    <w:p w14:paraId="7D8577BF" w14:textId="77777777" w:rsidR="007E76DB" w:rsidRDefault="007E76DB" w:rsidP="007E76DB">
      <w:pPr>
        <w:overflowPunct/>
        <w:autoSpaceDE/>
        <w:autoSpaceDN/>
        <w:adjustRightInd/>
        <w:spacing w:before="0"/>
        <w:contextualSpacing/>
        <w:textAlignment w:val="baseline"/>
      </w:pPr>
    </w:p>
    <w:p w14:paraId="27999028" w14:textId="77777777" w:rsidR="007E76DB" w:rsidRPr="007E76DB" w:rsidRDefault="007E76DB" w:rsidP="007E76DB">
      <w:pPr>
        <w:overflowPunct/>
        <w:autoSpaceDE/>
        <w:autoSpaceDN/>
        <w:adjustRightInd/>
        <w:spacing w:before="0"/>
        <w:contextualSpacing/>
        <w:textAlignment w:val="baseline"/>
      </w:pPr>
      <w:r w:rsidRPr="007E76DB">
        <w:t>Enter requests for VHA examinations using CAPRI.</w:t>
      </w:r>
    </w:p>
    <w:p w14:paraId="493C0A79" w14:textId="77777777" w:rsidR="007E76DB" w:rsidRPr="007E76DB" w:rsidRDefault="007E76DB" w:rsidP="007E76DB">
      <w:pPr>
        <w:overflowPunct/>
        <w:autoSpaceDE/>
        <w:autoSpaceDN/>
        <w:adjustRightInd/>
        <w:spacing w:before="0"/>
        <w:contextualSpacing/>
        <w:textAlignment w:val="baseline"/>
      </w:pPr>
    </w:p>
    <w:p w14:paraId="1F6AA9C9" w14:textId="77777777" w:rsidR="007E76DB" w:rsidRPr="007E76DB" w:rsidRDefault="007E76DB" w:rsidP="007E76DB">
      <w:pPr>
        <w:overflowPunct/>
        <w:autoSpaceDE/>
        <w:autoSpaceDN/>
        <w:adjustRightInd/>
        <w:spacing w:before="0"/>
        <w:contextualSpacing/>
        <w:textAlignment w:val="baseline"/>
      </w:pPr>
      <w:r w:rsidRPr="007E76DB">
        <w:rPr>
          <w:b/>
          <w:i/>
        </w:rPr>
        <w:t>Important</w:t>
      </w:r>
      <w:r w:rsidRPr="007E76DB">
        <w:t>:</w:t>
      </w:r>
    </w:p>
    <w:p w14:paraId="5A005816" w14:textId="7BBEB688" w:rsidR="007E76DB" w:rsidRPr="007E76DB" w:rsidRDefault="007E76DB" w:rsidP="005A795D">
      <w:pPr>
        <w:numPr>
          <w:ilvl w:val="0"/>
          <w:numId w:val="21"/>
        </w:numPr>
        <w:overflowPunct/>
        <w:autoSpaceDE/>
        <w:autoSpaceDN/>
        <w:adjustRightInd/>
        <w:spacing w:before="0"/>
        <w:contextualSpacing/>
        <w:textAlignment w:val="baseline"/>
      </w:pPr>
      <w:r w:rsidRPr="007E76DB">
        <w:t>A request for an examination including the SHA DBQ and any other necessary specialist examinations</w:t>
      </w:r>
      <w:r w:rsidRPr="007E76DB">
        <w:rPr>
          <w:b/>
          <w:i/>
        </w:rPr>
        <w:t xml:space="preserve"> must be entered within five calendar days</w:t>
      </w:r>
      <w:r w:rsidRPr="007E76DB">
        <w:t xml:space="preserve"> of claim documents being uploaded into VBMS.  </w:t>
      </w:r>
    </w:p>
    <w:p w14:paraId="5A403C8D" w14:textId="77777777" w:rsidR="007E76DB" w:rsidRPr="007E76DB" w:rsidRDefault="007E76DB" w:rsidP="005A795D">
      <w:pPr>
        <w:numPr>
          <w:ilvl w:val="0"/>
          <w:numId w:val="21"/>
        </w:numPr>
        <w:overflowPunct/>
        <w:autoSpaceDE/>
        <w:autoSpaceDN/>
        <w:adjustRightInd/>
        <w:spacing w:before="0"/>
        <w:contextualSpacing/>
        <w:textAlignment w:val="baseline"/>
      </w:pPr>
      <w:r w:rsidRPr="007E76DB">
        <w:t xml:space="preserve">select the </w:t>
      </w:r>
      <w:r w:rsidRPr="007E76DB">
        <w:rPr>
          <w:i/>
        </w:rPr>
        <w:t>BDD – DOD SHA</w:t>
      </w:r>
      <w:r w:rsidRPr="007E76DB">
        <w:t xml:space="preserve"> claim type in CAPRI.</w:t>
      </w:r>
    </w:p>
    <w:p w14:paraId="6D5FD106" w14:textId="77777777" w:rsidR="007E76DB" w:rsidRPr="007E76DB" w:rsidRDefault="007E76DB" w:rsidP="007E76DB">
      <w:pPr>
        <w:overflowPunct/>
        <w:autoSpaceDE/>
        <w:autoSpaceDN/>
        <w:adjustRightInd/>
        <w:spacing w:before="0"/>
        <w:contextualSpacing/>
        <w:textAlignment w:val="baseline"/>
      </w:pPr>
    </w:p>
    <w:p w14:paraId="0FE2D14A" w14:textId="77777777" w:rsidR="007E76DB" w:rsidRPr="007E76DB" w:rsidRDefault="007E76DB" w:rsidP="007E76DB">
      <w:pPr>
        <w:overflowPunct/>
        <w:autoSpaceDE/>
        <w:autoSpaceDN/>
        <w:adjustRightInd/>
        <w:spacing w:before="0"/>
        <w:contextualSpacing/>
        <w:textAlignment w:val="baseline"/>
      </w:pPr>
      <w:r w:rsidRPr="007E76DB">
        <w:rPr>
          <w:b/>
          <w:i/>
        </w:rPr>
        <w:t>References</w:t>
      </w:r>
      <w:r w:rsidRPr="007E76DB">
        <w:t>:  For more information on</w:t>
      </w:r>
    </w:p>
    <w:p w14:paraId="0B83ABF9" w14:textId="77777777" w:rsidR="007E76DB" w:rsidRPr="007E76DB" w:rsidRDefault="007E76DB" w:rsidP="005A795D">
      <w:pPr>
        <w:numPr>
          <w:ilvl w:val="0"/>
          <w:numId w:val="21"/>
        </w:numPr>
        <w:overflowPunct/>
        <w:autoSpaceDE/>
        <w:autoSpaceDN/>
        <w:adjustRightInd/>
        <w:spacing w:before="0"/>
        <w:contextualSpacing/>
        <w:textAlignment w:val="baseline"/>
      </w:pPr>
      <w:r w:rsidRPr="007E76DB">
        <w:t>completing an CAPRI examination request, see M21-1, Part III, Subpart iv, 3.A.9.b</w:t>
      </w:r>
    </w:p>
    <w:p w14:paraId="556929C0" w14:textId="77777777" w:rsidR="007E76DB" w:rsidRPr="007E76DB" w:rsidRDefault="007E76DB" w:rsidP="005A795D">
      <w:pPr>
        <w:numPr>
          <w:ilvl w:val="0"/>
          <w:numId w:val="21"/>
        </w:numPr>
        <w:overflowPunct/>
        <w:autoSpaceDE/>
        <w:autoSpaceDN/>
        <w:adjustRightInd/>
        <w:spacing w:before="0"/>
        <w:contextualSpacing/>
        <w:textAlignment w:val="baseline"/>
      </w:pPr>
      <w:r w:rsidRPr="007E76DB">
        <w:t>steps to inputting examination requests, see M21-1, Part III, Subpart iv, 3.A.9.a</w:t>
      </w:r>
    </w:p>
    <w:p w14:paraId="3E7390BA" w14:textId="77777777" w:rsidR="007E76DB" w:rsidRPr="007E76DB" w:rsidRDefault="007E76DB" w:rsidP="005A795D">
      <w:pPr>
        <w:numPr>
          <w:ilvl w:val="0"/>
          <w:numId w:val="21"/>
        </w:numPr>
        <w:overflowPunct/>
        <w:autoSpaceDE/>
        <w:autoSpaceDN/>
        <w:adjustRightInd/>
        <w:spacing w:before="0"/>
        <w:contextualSpacing/>
        <w:textAlignment w:val="baseline"/>
      </w:pPr>
      <w:r w:rsidRPr="007E76DB">
        <w:t>instructions on uploading the examination request, see M21-1, Part III, Subpart iv, 3.A.9.a (step 10)</w:t>
      </w:r>
    </w:p>
    <w:p w14:paraId="72841193" w14:textId="77777777" w:rsidR="007E76DB" w:rsidRPr="007E76DB" w:rsidRDefault="007E76DB" w:rsidP="005A795D">
      <w:pPr>
        <w:numPr>
          <w:ilvl w:val="0"/>
          <w:numId w:val="21"/>
        </w:numPr>
        <w:overflowPunct/>
        <w:autoSpaceDE/>
        <w:autoSpaceDN/>
        <w:adjustRightInd/>
        <w:spacing w:before="0"/>
        <w:contextualSpacing/>
        <w:textAlignment w:val="baseline"/>
      </w:pPr>
      <w:r w:rsidRPr="007E76DB">
        <w:t>the Exam Request Builder tool, see M21-1, Part III, Subpart iv, 3.A.2.e</w:t>
      </w:r>
    </w:p>
    <w:p w14:paraId="781B13F7" w14:textId="50CD9485" w:rsidR="007E76DB" w:rsidRDefault="007E76DB" w:rsidP="005A795D">
      <w:pPr>
        <w:numPr>
          <w:ilvl w:val="0"/>
          <w:numId w:val="21"/>
        </w:numPr>
        <w:overflowPunct/>
        <w:autoSpaceDE/>
        <w:autoSpaceDN/>
        <w:adjustRightInd/>
        <w:spacing w:before="0"/>
        <w:contextualSpacing/>
        <w:textAlignment w:val="baseline"/>
      </w:pPr>
      <w:r w:rsidRPr="007E76DB">
        <w:t>examinations (including language to be added to examination requests) in claims based on Southwest Asia Service, see M21-</w:t>
      </w:r>
      <w:r w:rsidR="000265D7" w:rsidRPr="007E76DB">
        <w:t>1, Part</w:t>
      </w:r>
      <w:r w:rsidRPr="007E76DB">
        <w:t xml:space="preserve"> IV, Subpart ii, 1.E.2, and</w:t>
      </w:r>
    </w:p>
    <w:p w14:paraId="1F3BF274" w14:textId="78CB070F" w:rsidR="00CA0192" w:rsidRPr="00680DBD" w:rsidRDefault="007E76DB" w:rsidP="00226B7A">
      <w:pPr>
        <w:numPr>
          <w:ilvl w:val="0"/>
          <w:numId w:val="21"/>
        </w:numPr>
        <w:overflowPunct/>
        <w:autoSpaceDE/>
        <w:autoSpaceDN/>
        <w:adjustRightInd/>
        <w:spacing w:before="0"/>
        <w:contextualSpacing/>
        <w:textAlignment w:val="baseline"/>
        <w:rPr>
          <w:b/>
          <w:u w:val="single"/>
        </w:rPr>
      </w:pPr>
      <w:r w:rsidRPr="007E76DB">
        <w:t xml:space="preserve">follow-up requirements for CAPRI examinations, see M21-1, Part III, Subpart i, </w:t>
      </w:r>
      <w:r w:rsidR="000265D7" w:rsidRPr="007E76DB">
        <w:t>2. B.2. d.</w:t>
      </w:r>
      <w:r w:rsidR="00CA0192" w:rsidRPr="00680DBD">
        <w:rPr>
          <w:b/>
          <w:u w:val="single"/>
        </w:rPr>
        <w:br w:type="page"/>
      </w:r>
    </w:p>
    <w:p w14:paraId="43F8F6AC" w14:textId="45983933" w:rsidR="007E76DB" w:rsidRDefault="007E76DB" w:rsidP="007E76DB">
      <w:pPr>
        <w:overflowPunct/>
        <w:autoSpaceDE/>
        <w:autoSpaceDN/>
        <w:adjustRightInd/>
        <w:spacing w:before="0"/>
        <w:contextualSpacing/>
        <w:textAlignment w:val="baseline"/>
      </w:pPr>
      <w:r>
        <w:rPr>
          <w:b/>
          <w:u w:val="single"/>
        </w:rPr>
        <w:lastRenderedPageBreak/>
        <w:t>Follow-up Requirements for C</w:t>
      </w:r>
      <w:r w:rsidR="00F07877">
        <w:rPr>
          <w:b/>
          <w:u w:val="single"/>
        </w:rPr>
        <w:t>ontract</w:t>
      </w:r>
      <w:r>
        <w:rPr>
          <w:b/>
          <w:u w:val="single"/>
        </w:rPr>
        <w:t xml:space="preserve"> and CAPRI Examinations</w:t>
      </w:r>
    </w:p>
    <w:p w14:paraId="670769B5" w14:textId="77777777" w:rsidR="007E76DB" w:rsidRDefault="007E76DB" w:rsidP="007E76DB">
      <w:pPr>
        <w:overflowPunct/>
        <w:autoSpaceDE/>
        <w:autoSpaceDN/>
        <w:adjustRightInd/>
        <w:spacing w:before="0"/>
        <w:contextualSpacing/>
        <w:textAlignment w:val="baseline"/>
      </w:pPr>
    </w:p>
    <w:p w14:paraId="120EB754" w14:textId="7DAE5D0F" w:rsidR="007E76DB" w:rsidRPr="007E76DB" w:rsidRDefault="007E76DB" w:rsidP="007E76DB">
      <w:pPr>
        <w:overflowPunct/>
        <w:autoSpaceDE/>
        <w:autoSpaceDN/>
        <w:adjustRightInd/>
        <w:spacing w:before="0"/>
        <w:contextualSpacing/>
        <w:textAlignment w:val="baseline"/>
      </w:pPr>
      <w:r w:rsidRPr="007E76DB">
        <w:t>In order to ensure timely processing of BDD claims, claims processors must ensure that requested examinations are not rejected/cancelled.</w:t>
      </w:r>
      <w:r w:rsidR="00A33559">
        <w:t xml:space="preserve"> </w:t>
      </w:r>
      <w:r w:rsidRPr="007E76DB">
        <w:t>If the examination is rejected or cancelled, the claims processor must review the rejection/cancellation reason and</w:t>
      </w:r>
      <w:r w:rsidR="00A33559">
        <w:t>:</w:t>
      </w:r>
    </w:p>
    <w:p w14:paraId="599BC1D8" w14:textId="77777777" w:rsidR="007E76DB" w:rsidRPr="007E76DB" w:rsidRDefault="007E76DB" w:rsidP="007E76DB">
      <w:pPr>
        <w:overflowPunct/>
        <w:autoSpaceDE/>
        <w:autoSpaceDN/>
        <w:adjustRightInd/>
        <w:spacing w:before="0"/>
        <w:contextualSpacing/>
        <w:textAlignment w:val="baseline"/>
        <w:rPr>
          <w:sz w:val="12"/>
          <w:szCs w:val="12"/>
        </w:rPr>
      </w:pPr>
    </w:p>
    <w:p w14:paraId="47685B60" w14:textId="77777777" w:rsidR="007E76DB" w:rsidRPr="007E76DB" w:rsidRDefault="007E76DB" w:rsidP="005A795D">
      <w:pPr>
        <w:numPr>
          <w:ilvl w:val="0"/>
          <w:numId w:val="23"/>
        </w:numPr>
        <w:overflowPunct/>
        <w:autoSpaceDE/>
        <w:autoSpaceDN/>
        <w:adjustRightInd/>
        <w:spacing w:before="0"/>
        <w:contextualSpacing/>
        <w:textAlignment w:val="baseline"/>
      </w:pPr>
      <w:r w:rsidRPr="007E76DB">
        <w:t>Request the claim from NWQ</w:t>
      </w:r>
    </w:p>
    <w:p w14:paraId="09865EE6" w14:textId="2EBD31F5" w:rsidR="007E76DB" w:rsidRPr="007E76DB" w:rsidRDefault="007E76DB" w:rsidP="005A795D">
      <w:pPr>
        <w:numPr>
          <w:ilvl w:val="0"/>
          <w:numId w:val="23"/>
        </w:numPr>
        <w:overflowPunct/>
        <w:autoSpaceDE/>
        <w:autoSpaceDN/>
        <w:adjustRightInd/>
        <w:spacing w:before="0"/>
        <w:contextualSpacing/>
        <w:textAlignment w:val="baseline"/>
      </w:pPr>
      <w:r w:rsidRPr="007E76DB">
        <w:t>Review the ERRA tool to determine where the examina</w:t>
      </w:r>
      <w:r w:rsidR="00680DBD">
        <w:t>tion should be re-requested (Contractor</w:t>
      </w:r>
      <w:r w:rsidR="00E136E5">
        <w:t xml:space="preserve"> (EMS)</w:t>
      </w:r>
      <w:r w:rsidRPr="007E76DB">
        <w:t xml:space="preserve"> or </w:t>
      </w:r>
      <w:r w:rsidR="00E136E5">
        <w:t>VHA (</w:t>
      </w:r>
      <w:r w:rsidRPr="007E76DB">
        <w:t>CAPRI</w:t>
      </w:r>
      <w:r w:rsidR="00E136E5">
        <w:t>)</w:t>
      </w:r>
      <w:r w:rsidRPr="007E76DB">
        <w:t>), and</w:t>
      </w:r>
    </w:p>
    <w:p w14:paraId="02F35C0D" w14:textId="77777777" w:rsidR="007E76DB" w:rsidRPr="007E76DB" w:rsidRDefault="007E76DB" w:rsidP="005A795D">
      <w:pPr>
        <w:numPr>
          <w:ilvl w:val="0"/>
          <w:numId w:val="23"/>
        </w:numPr>
        <w:overflowPunct/>
        <w:autoSpaceDE/>
        <w:autoSpaceDN/>
        <w:adjustRightInd/>
        <w:spacing w:before="0"/>
        <w:contextualSpacing/>
        <w:textAlignment w:val="baseline"/>
      </w:pPr>
      <w:r w:rsidRPr="007E76DB">
        <w:t>Take the steps necessary to re-input the examination request, if necessary.</w:t>
      </w:r>
    </w:p>
    <w:p w14:paraId="226F23B1" w14:textId="77777777" w:rsidR="007E76DB" w:rsidRPr="007E76DB" w:rsidRDefault="007E76DB" w:rsidP="007E76DB">
      <w:pPr>
        <w:overflowPunct/>
        <w:autoSpaceDE/>
        <w:autoSpaceDN/>
        <w:adjustRightInd/>
        <w:spacing w:before="0"/>
        <w:contextualSpacing/>
        <w:textAlignment w:val="baseline"/>
      </w:pPr>
    </w:p>
    <w:tbl>
      <w:tblPr>
        <w:tblW w:w="70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12"/>
        <w:gridCol w:w="4050"/>
      </w:tblGrid>
      <w:tr w:rsidR="007E76DB" w:rsidRPr="007E76DB" w14:paraId="70C0AFBC" w14:textId="77777777" w:rsidTr="007E76DB">
        <w:trPr>
          <w:jc w:val="center"/>
        </w:trPr>
        <w:tc>
          <w:tcPr>
            <w:tcW w:w="3012" w:type="dxa"/>
            <w:tcBorders>
              <w:bottom w:val="single" w:sz="4" w:space="0" w:color="auto"/>
            </w:tcBorders>
            <w:shd w:val="clear" w:color="auto" w:fill="auto"/>
          </w:tcPr>
          <w:p w14:paraId="1C070535" w14:textId="77777777" w:rsidR="007E76DB" w:rsidRPr="007E76DB" w:rsidRDefault="007E76DB" w:rsidP="007E76DB">
            <w:pPr>
              <w:overflowPunct/>
              <w:autoSpaceDE/>
              <w:autoSpaceDN/>
              <w:adjustRightInd/>
              <w:spacing w:before="0"/>
              <w:contextualSpacing/>
              <w:textAlignment w:val="baseline"/>
              <w:rPr>
                <w:b/>
              </w:rPr>
            </w:pPr>
            <w:bookmarkStart w:id="9" w:name="_Hlk17376017"/>
            <w:r w:rsidRPr="007E76DB">
              <w:rPr>
                <w:b/>
              </w:rPr>
              <w:t>If the examination cancellation is due to ...</w:t>
            </w:r>
          </w:p>
        </w:tc>
        <w:tc>
          <w:tcPr>
            <w:tcW w:w="4050" w:type="dxa"/>
            <w:shd w:val="clear" w:color="auto" w:fill="auto"/>
          </w:tcPr>
          <w:p w14:paraId="545F8D68" w14:textId="77777777" w:rsidR="007E76DB" w:rsidRPr="007E76DB" w:rsidRDefault="007E76DB" w:rsidP="007E76DB">
            <w:pPr>
              <w:overflowPunct/>
              <w:autoSpaceDE/>
              <w:autoSpaceDN/>
              <w:adjustRightInd/>
              <w:spacing w:before="0"/>
              <w:contextualSpacing/>
              <w:textAlignment w:val="baseline"/>
              <w:rPr>
                <w:b/>
              </w:rPr>
            </w:pPr>
            <w:r w:rsidRPr="007E76DB">
              <w:rPr>
                <w:b/>
              </w:rPr>
              <w:t>Then ...</w:t>
            </w:r>
          </w:p>
        </w:tc>
      </w:tr>
      <w:tr w:rsidR="007E76DB" w:rsidRPr="007E76DB" w14:paraId="17DDF885" w14:textId="77777777" w:rsidTr="007E76DB">
        <w:trPr>
          <w:jc w:val="center"/>
        </w:trPr>
        <w:tc>
          <w:tcPr>
            <w:tcW w:w="3012" w:type="dxa"/>
            <w:tcBorders>
              <w:top w:val="single" w:sz="4" w:space="0" w:color="auto"/>
              <w:left w:val="single" w:sz="4" w:space="0" w:color="auto"/>
              <w:bottom w:val="nil"/>
              <w:right w:val="single" w:sz="4" w:space="0" w:color="auto"/>
            </w:tcBorders>
            <w:shd w:val="clear" w:color="auto" w:fill="auto"/>
          </w:tcPr>
          <w:p w14:paraId="2B22C126" w14:textId="5A23B717" w:rsidR="007E76DB" w:rsidRPr="007E76DB" w:rsidRDefault="007E76DB" w:rsidP="007E76DB">
            <w:pPr>
              <w:overflowPunct/>
              <w:autoSpaceDE/>
              <w:autoSpaceDN/>
              <w:adjustRightInd/>
              <w:spacing w:before="0"/>
              <w:contextualSpacing/>
              <w:textAlignment w:val="baseline"/>
            </w:pPr>
            <w:r w:rsidRPr="007E76DB">
              <w:t>the SM’s failure to adhere to BDD requirements</w:t>
            </w:r>
            <w:r w:rsidR="00EF3E56">
              <w:t xml:space="preserve"> (i.e. failure to report to exams</w:t>
            </w:r>
            <w:r w:rsidR="00135B3E">
              <w:t xml:space="preserve"> without good cause</w:t>
            </w:r>
            <w:r w:rsidR="00EF3E56">
              <w:t>)</w:t>
            </w:r>
          </w:p>
        </w:tc>
        <w:tc>
          <w:tcPr>
            <w:tcW w:w="4050" w:type="dxa"/>
            <w:shd w:val="clear" w:color="auto" w:fill="auto"/>
          </w:tcPr>
          <w:p w14:paraId="6F58A066" w14:textId="5E6D8201" w:rsidR="007E76DB" w:rsidRPr="007E76DB" w:rsidRDefault="007E76DB" w:rsidP="005A795D">
            <w:pPr>
              <w:numPr>
                <w:ilvl w:val="0"/>
                <w:numId w:val="24"/>
              </w:numPr>
              <w:overflowPunct/>
              <w:autoSpaceDE/>
              <w:autoSpaceDN/>
              <w:adjustRightInd/>
              <w:spacing w:before="0"/>
              <w:contextualSpacing/>
              <w:textAlignment w:val="baseline"/>
            </w:pPr>
            <w:r w:rsidRPr="007E76DB">
              <w:t>change the pending EP to a non BDD rating EP,</w:t>
            </w:r>
          </w:p>
          <w:p w14:paraId="360E61D7" w14:textId="77777777" w:rsidR="007E76DB" w:rsidRPr="007E76DB" w:rsidRDefault="007E76DB" w:rsidP="005A795D">
            <w:pPr>
              <w:numPr>
                <w:ilvl w:val="0"/>
                <w:numId w:val="24"/>
              </w:numPr>
              <w:overflowPunct/>
              <w:autoSpaceDE/>
              <w:autoSpaceDN/>
              <w:adjustRightInd/>
              <w:spacing w:before="0"/>
              <w:contextualSpacing/>
              <w:textAlignment w:val="baseline"/>
            </w:pPr>
            <w:r w:rsidRPr="007E76DB">
              <w:t>enter a note in VBMS indicating why the SM was removed from the BDD Program, and</w:t>
            </w:r>
          </w:p>
          <w:p w14:paraId="60CC4773" w14:textId="77777777" w:rsidR="007E76DB" w:rsidRPr="007E76DB" w:rsidRDefault="007E76DB" w:rsidP="005A795D">
            <w:pPr>
              <w:numPr>
                <w:ilvl w:val="0"/>
                <w:numId w:val="24"/>
              </w:numPr>
              <w:overflowPunct/>
              <w:autoSpaceDE/>
              <w:autoSpaceDN/>
              <w:adjustRightInd/>
              <w:spacing w:before="0"/>
              <w:contextualSpacing/>
              <w:textAlignment w:val="baseline"/>
            </w:pPr>
            <w:r w:rsidRPr="007E76DB">
              <w:t>continue processing the claim as a BDD excluded claim</w:t>
            </w:r>
          </w:p>
        </w:tc>
      </w:tr>
      <w:tr w:rsidR="007E76DB" w:rsidRPr="007E76DB" w14:paraId="5704A079" w14:textId="77777777" w:rsidTr="007E76DB">
        <w:trPr>
          <w:trHeight w:val="345"/>
          <w:jc w:val="center"/>
        </w:trPr>
        <w:tc>
          <w:tcPr>
            <w:tcW w:w="3012" w:type="dxa"/>
            <w:tcBorders>
              <w:top w:val="single" w:sz="4" w:space="0" w:color="auto"/>
              <w:left w:val="single" w:sz="4" w:space="0" w:color="auto"/>
              <w:bottom w:val="single" w:sz="4" w:space="0" w:color="auto"/>
              <w:right w:val="single" w:sz="4" w:space="0" w:color="auto"/>
            </w:tcBorders>
            <w:shd w:val="clear" w:color="auto" w:fill="auto"/>
          </w:tcPr>
          <w:p w14:paraId="3993D5D1" w14:textId="77777777" w:rsidR="007E76DB" w:rsidRPr="007E76DB" w:rsidRDefault="007E76DB" w:rsidP="007E76DB">
            <w:pPr>
              <w:overflowPunct/>
              <w:autoSpaceDE/>
              <w:autoSpaceDN/>
              <w:adjustRightInd/>
              <w:spacing w:before="0"/>
              <w:contextualSpacing/>
              <w:textAlignment w:val="baseline"/>
            </w:pPr>
            <w:r w:rsidRPr="007E76DB">
              <w:t>a reason outside of the control of the SM</w:t>
            </w:r>
          </w:p>
        </w:tc>
        <w:tc>
          <w:tcPr>
            <w:tcW w:w="4050" w:type="dxa"/>
            <w:shd w:val="clear" w:color="auto" w:fill="auto"/>
          </w:tcPr>
          <w:p w14:paraId="777E820C" w14:textId="77777777" w:rsidR="007E76DB" w:rsidRPr="007E76DB" w:rsidRDefault="007E76DB" w:rsidP="005A795D">
            <w:pPr>
              <w:numPr>
                <w:ilvl w:val="0"/>
                <w:numId w:val="25"/>
              </w:numPr>
              <w:overflowPunct/>
              <w:autoSpaceDE/>
              <w:autoSpaceDN/>
              <w:adjustRightInd/>
              <w:spacing w:before="0"/>
              <w:contextualSpacing/>
              <w:textAlignment w:val="baseline"/>
            </w:pPr>
            <w:r w:rsidRPr="007E76DB">
              <w:t>take the necessary steps submit a new examination request, and</w:t>
            </w:r>
          </w:p>
          <w:p w14:paraId="4B4FFF5E" w14:textId="77777777" w:rsidR="007E76DB" w:rsidRPr="007E76DB" w:rsidRDefault="007E76DB" w:rsidP="005A795D">
            <w:pPr>
              <w:numPr>
                <w:ilvl w:val="0"/>
                <w:numId w:val="25"/>
              </w:numPr>
              <w:overflowPunct/>
              <w:autoSpaceDE/>
              <w:autoSpaceDN/>
              <w:adjustRightInd/>
              <w:spacing w:before="0"/>
              <w:contextualSpacing/>
              <w:textAlignment w:val="baseline"/>
            </w:pPr>
            <w:r w:rsidRPr="007E76DB">
              <w:t>continue processing the claim as a BDD claim</w:t>
            </w:r>
          </w:p>
        </w:tc>
      </w:tr>
      <w:bookmarkEnd w:id="9"/>
    </w:tbl>
    <w:p w14:paraId="6AF0D1BC" w14:textId="77777777" w:rsidR="007E76DB" w:rsidRDefault="007E76DB" w:rsidP="007E76DB">
      <w:pPr>
        <w:overflowPunct/>
        <w:autoSpaceDE/>
        <w:autoSpaceDN/>
        <w:adjustRightInd/>
        <w:spacing w:before="0"/>
        <w:contextualSpacing/>
        <w:textAlignment w:val="baseline"/>
      </w:pPr>
    </w:p>
    <w:p w14:paraId="15364860" w14:textId="77777777" w:rsidR="007E76DB" w:rsidRPr="007E76DB" w:rsidRDefault="007E76DB" w:rsidP="007E76DB">
      <w:pPr>
        <w:overflowPunct/>
        <w:autoSpaceDE/>
        <w:autoSpaceDN/>
        <w:adjustRightInd/>
        <w:spacing w:before="0"/>
        <w:contextualSpacing/>
        <w:textAlignment w:val="baseline"/>
        <w:rPr>
          <w:b/>
          <w:i/>
        </w:rPr>
      </w:pPr>
      <w:r w:rsidRPr="007E76DB">
        <w:rPr>
          <w:b/>
          <w:i/>
        </w:rPr>
        <w:t>Notes:</w:t>
      </w:r>
    </w:p>
    <w:p w14:paraId="25EF8D2A" w14:textId="77777777" w:rsidR="007E5000" w:rsidRDefault="007E76DB" w:rsidP="00226B7A">
      <w:pPr>
        <w:numPr>
          <w:ilvl w:val="0"/>
          <w:numId w:val="26"/>
        </w:numPr>
        <w:overflowPunct/>
        <w:autoSpaceDE/>
        <w:autoSpaceDN/>
        <w:adjustRightInd/>
        <w:spacing w:before="0"/>
        <w:contextualSpacing/>
        <w:textAlignment w:val="baseline"/>
      </w:pPr>
      <w:r w:rsidRPr="007E76DB">
        <w:t>Make every reasonable effort to contact the SM via telephone and/or email to verify why an examination was cancelled or rejected.</w:t>
      </w:r>
    </w:p>
    <w:p w14:paraId="5BAF6A19" w14:textId="68EB964F" w:rsidR="007E76DB" w:rsidRDefault="007E76DB" w:rsidP="00226B7A">
      <w:pPr>
        <w:numPr>
          <w:ilvl w:val="0"/>
          <w:numId w:val="26"/>
        </w:numPr>
        <w:overflowPunct/>
        <w:autoSpaceDE/>
        <w:autoSpaceDN/>
        <w:adjustRightInd/>
        <w:spacing w:before="0"/>
        <w:contextualSpacing/>
        <w:textAlignment w:val="baseline"/>
      </w:pPr>
      <w:r>
        <w:br w:type="page"/>
      </w:r>
    </w:p>
    <w:p w14:paraId="72232F1F" w14:textId="6E2A2D04" w:rsidR="007E76DB" w:rsidRDefault="007E76DB" w:rsidP="007E76DB">
      <w:pPr>
        <w:pStyle w:val="VBATopicHeading1"/>
      </w:pPr>
      <w:bookmarkStart w:id="10" w:name="_Toc493254633"/>
      <w:r w:rsidRPr="00212FCB">
        <w:lastRenderedPageBreak/>
        <w:t xml:space="preserve">Topic </w:t>
      </w:r>
      <w:r w:rsidR="00415CAD">
        <w:t>3</w:t>
      </w:r>
      <w:r w:rsidRPr="00212FCB">
        <w:t xml:space="preserve">: </w:t>
      </w:r>
      <w:r w:rsidR="00415CAD">
        <w:t xml:space="preserve">Completion of </w:t>
      </w:r>
      <w:r w:rsidRPr="000D5975">
        <w:t xml:space="preserve">Pre-Discharge BDD </w:t>
      </w:r>
      <w:r w:rsidR="00415CAD">
        <w:t>Claims</w:t>
      </w:r>
      <w:bookmarkEnd w:id="10"/>
    </w:p>
    <w:p w14:paraId="5206E91F" w14:textId="4B88B00C" w:rsidR="00415CAD" w:rsidRPr="005A795D" w:rsidRDefault="005A795D" w:rsidP="005A795D">
      <w:pPr>
        <w:rPr>
          <w:b/>
          <w:u w:val="single"/>
        </w:rPr>
      </w:pPr>
      <w:r w:rsidRPr="005A795D">
        <w:rPr>
          <w:b/>
          <w:u w:val="single"/>
        </w:rPr>
        <w:t>Action(s) to take once development is complete</w:t>
      </w:r>
    </w:p>
    <w:p w14:paraId="088CC4BB" w14:textId="77777777" w:rsidR="00415CAD" w:rsidRDefault="00415CAD" w:rsidP="005A795D">
      <w:pPr>
        <w:spacing w:before="0"/>
      </w:pPr>
    </w:p>
    <w:p w14:paraId="278928CA" w14:textId="77777777" w:rsidR="00680DBD" w:rsidRPr="00680DBD" w:rsidRDefault="00680DBD" w:rsidP="00680DBD">
      <w:pPr>
        <w:overflowPunct/>
        <w:autoSpaceDE/>
        <w:autoSpaceDN/>
        <w:adjustRightInd/>
        <w:rPr>
          <w:szCs w:val="24"/>
        </w:rPr>
      </w:pPr>
      <w:r w:rsidRPr="00680DBD">
        <w:rPr>
          <w:szCs w:val="24"/>
        </w:rPr>
        <w:t>Once all development actions are complete, the MSC or other BDD claims processor must</w:t>
      </w:r>
    </w:p>
    <w:p w14:paraId="53EE88A6" w14:textId="77777777" w:rsidR="00680DBD" w:rsidRPr="00680DBD" w:rsidRDefault="00680DBD" w:rsidP="00680DBD">
      <w:pPr>
        <w:overflowPunct/>
        <w:autoSpaceDE/>
        <w:autoSpaceDN/>
        <w:adjustRightInd/>
        <w:spacing w:before="0"/>
        <w:rPr>
          <w:szCs w:val="24"/>
        </w:rPr>
      </w:pPr>
    </w:p>
    <w:p w14:paraId="00FD3C26" w14:textId="77777777" w:rsidR="00680DBD" w:rsidRPr="00680DBD" w:rsidRDefault="00680DBD" w:rsidP="00680DBD">
      <w:pPr>
        <w:numPr>
          <w:ilvl w:val="0"/>
          <w:numId w:val="29"/>
        </w:numPr>
        <w:overflowPunct/>
        <w:autoSpaceDE/>
        <w:autoSpaceDN/>
        <w:adjustRightInd/>
        <w:spacing w:before="0"/>
        <w:ind w:left="158" w:hanging="187"/>
        <w:contextualSpacing/>
        <w:textAlignment w:val="baseline"/>
        <w:rPr>
          <w:szCs w:val="24"/>
        </w:rPr>
      </w:pPr>
      <w:r w:rsidRPr="00680DBD">
        <w:rPr>
          <w:szCs w:val="24"/>
        </w:rPr>
        <w:t>ensure all pending tracked items have the proper suspense dates</w:t>
      </w:r>
    </w:p>
    <w:p w14:paraId="0DF92A3E" w14:textId="77777777" w:rsidR="00680DBD" w:rsidRPr="00680DBD" w:rsidRDefault="00680DBD" w:rsidP="00680DBD">
      <w:pPr>
        <w:numPr>
          <w:ilvl w:val="0"/>
          <w:numId w:val="29"/>
        </w:numPr>
        <w:overflowPunct/>
        <w:autoSpaceDE/>
        <w:autoSpaceDN/>
        <w:adjustRightInd/>
        <w:spacing w:before="0"/>
        <w:ind w:left="158" w:hanging="187"/>
        <w:contextualSpacing/>
        <w:textAlignment w:val="baseline"/>
        <w:rPr>
          <w:szCs w:val="24"/>
        </w:rPr>
      </w:pPr>
      <w:r w:rsidRPr="00680DBD">
        <w:rPr>
          <w:szCs w:val="24"/>
        </w:rPr>
        <w:t>update tracked items according to M21-1, Part III, Subpart iii, 1.D.3.c</w:t>
      </w:r>
    </w:p>
    <w:p w14:paraId="08C2EC0D" w14:textId="77777777" w:rsidR="00680DBD" w:rsidRPr="00680DBD" w:rsidRDefault="00680DBD" w:rsidP="00680DBD">
      <w:pPr>
        <w:numPr>
          <w:ilvl w:val="0"/>
          <w:numId w:val="29"/>
        </w:numPr>
        <w:overflowPunct/>
        <w:autoSpaceDE/>
        <w:autoSpaceDN/>
        <w:adjustRightInd/>
        <w:spacing w:before="0"/>
        <w:ind w:left="158" w:hanging="187"/>
        <w:contextualSpacing/>
        <w:textAlignment w:val="baseline"/>
        <w:rPr>
          <w:szCs w:val="24"/>
        </w:rPr>
      </w:pPr>
      <w:r w:rsidRPr="00680DBD">
        <w:rPr>
          <w:szCs w:val="24"/>
        </w:rPr>
        <w:t>change the pending EP 336 to the proper rating EP, as noted in M21-1, Part III, Subpart i, 2.A.2.d., and</w:t>
      </w:r>
    </w:p>
    <w:p w14:paraId="38E66A84" w14:textId="77777777" w:rsidR="00680DBD" w:rsidRPr="00680DBD" w:rsidRDefault="00680DBD" w:rsidP="00680DBD">
      <w:pPr>
        <w:numPr>
          <w:ilvl w:val="0"/>
          <w:numId w:val="29"/>
        </w:numPr>
        <w:overflowPunct/>
        <w:autoSpaceDE/>
        <w:autoSpaceDN/>
        <w:adjustRightInd/>
        <w:spacing w:before="0"/>
        <w:ind w:left="158" w:hanging="187"/>
        <w:contextualSpacing/>
        <w:textAlignment w:val="baseline"/>
        <w:rPr>
          <w:szCs w:val="24"/>
        </w:rPr>
      </w:pPr>
      <w:r w:rsidRPr="00680DBD">
        <w:rPr>
          <w:szCs w:val="24"/>
        </w:rPr>
        <w:t>ensure the claim is in open status unless the claim has already been determined to be RFD. (see M21-1 III.i.2.B.2.c for additional information).</w:t>
      </w:r>
    </w:p>
    <w:p w14:paraId="7A9121D7" w14:textId="77777777" w:rsidR="00680DBD" w:rsidRPr="00680DBD" w:rsidRDefault="00680DBD" w:rsidP="00680DBD">
      <w:pPr>
        <w:overflowPunct/>
        <w:autoSpaceDE/>
        <w:autoSpaceDN/>
        <w:adjustRightInd/>
        <w:spacing w:before="0"/>
        <w:rPr>
          <w:szCs w:val="24"/>
        </w:rPr>
      </w:pPr>
    </w:p>
    <w:p w14:paraId="2CCC37C8" w14:textId="77777777" w:rsidR="00680DBD" w:rsidRPr="00680DBD" w:rsidRDefault="00680DBD" w:rsidP="00680DBD">
      <w:pPr>
        <w:overflowPunct/>
        <w:autoSpaceDE/>
        <w:autoSpaceDN/>
        <w:adjustRightInd/>
        <w:spacing w:before="0"/>
        <w:rPr>
          <w:szCs w:val="24"/>
        </w:rPr>
      </w:pPr>
      <w:r w:rsidRPr="00680DBD">
        <w:rPr>
          <w:b/>
          <w:i/>
          <w:szCs w:val="24"/>
        </w:rPr>
        <w:t>Notes</w:t>
      </w:r>
      <w:r w:rsidRPr="00680DBD">
        <w:rPr>
          <w:szCs w:val="24"/>
        </w:rPr>
        <w:t xml:space="preserve">:  </w:t>
      </w:r>
    </w:p>
    <w:p w14:paraId="3184C51B" w14:textId="0CBE7A56" w:rsidR="00680DBD" w:rsidRPr="00680DBD" w:rsidRDefault="00680DBD" w:rsidP="00680DBD">
      <w:pPr>
        <w:numPr>
          <w:ilvl w:val="0"/>
          <w:numId w:val="32"/>
        </w:numPr>
        <w:overflowPunct/>
        <w:autoSpaceDE/>
        <w:autoSpaceDN/>
        <w:adjustRightInd/>
        <w:spacing w:before="0"/>
        <w:ind w:left="158" w:hanging="187"/>
        <w:contextualSpacing/>
        <w:textAlignment w:val="baseline"/>
        <w:rPr>
          <w:szCs w:val="24"/>
        </w:rPr>
      </w:pPr>
      <w:r w:rsidRPr="00680DBD">
        <w:rPr>
          <w:szCs w:val="24"/>
        </w:rPr>
        <w:t xml:space="preserve">Following expiration of the </w:t>
      </w:r>
      <w:r w:rsidR="000265D7" w:rsidRPr="00680DBD">
        <w:rPr>
          <w:szCs w:val="24"/>
        </w:rPr>
        <w:t>30-day</w:t>
      </w:r>
      <w:r w:rsidRPr="00680DBD">
        <w:rPr>
          <w:szCs w:val="24"/>
        </w:rPr>
        <w:t xml:space="preserve"> suspense for examinations, NWQ must route the claim within 48 hours for additional action.</w:t>
      </w:r>
    </w:p>
    <w:p w14:paraId="4D8A614B" w14:textId="77777777" w:rsidR="00680DBD" w:rsidRPr="00680DBD" w:rsidRDefault="00680DBD" w:rsidP="00680DBD">
      <w:pPr>
        <w:numPr>
          <w:ilvl w:val="0"/>
          <w:numId w:val="27"/>
        </w:numPr>
        <w:overflowPunct/>
        <w:autoSpaceDE/>
        <w:autoSpaceDN/>
        <w:adjustRightInd/>
        <w:spacing w:before="0"/>
        <w:ind w:left="158" w:hanging="187"/>
        <w:contextualSpacing/>
        <w:textAlignment w:val="baseline"/>
        <w:rPr>
          <w:szCs w:val="24"/>
        </w:rPr>
      </w:pPr>
      <w:r w:rsidRPr="00680DBD">
        <w:rPr>
          <w:szCs w:val="24"/>
        </w:rPr>
        <w:t>Once the above actions have been completed, the National Work Queue (NWQ) will route the claim to the proper location for further processing during its overnight cycle.</w:t>
      </w:r>
    </w:p>
    <w:p w14:paraId="50C354D5" w14:textId="216F0005" w:rsidR="00680DBD" w:rsidRPr="00680DBD" w:rsidRDefault="00680DBD" w:rsidP="00680DBD">
      <w:pPr>
        <w:numPr>
          <w:ilvl w:val="0"/>
          <w:numId w:val="27"/>
        </w:numPr>
        <w:overflowPunct/>
        <w:autoSpaceDE/>
        <w:autoSpaceDN/>
        <w:adjustRightInd/>
        <w:spacing w:before="0"/>
        <w:ind w:left="158" w:hanging="187"/>
        <w:contextualSpacing/>
        <w:textAlignment w:val="baseline"/>
        <w:rPr>
          <w:szCs w:val="24"/>
        </w:rPr>
      </w:pPr>
      <w:r w:rsidRPr="00680DBD">
        <w:rPr>
          <w:szCs w:val="24"/>
        </w:rPr>
        <w:t>It is not necessary to wait for evidence to be uploaded into the VBMS eFolder prior to performing the above actions if</w:t>
      </w:r>
      <w:r w:rsidR="00E136E5">
        <w:rPr>
          <w:szCs w:val="24"/>
        </w:rPr>
        <w:t>:</w:t>
      </w:r>
    </w:p>
    <w:p w14:paraId="709A605E" w14:textId="77777777" w:rsidR="00680DBD" w:rsidRPr="00680DBD" w:rsidRDefault="00680DBD" w:rsidP="00680DBD">
      <w:pPr>
        <w:numPr>
          <w:ilvl w:val="0"/>
          <w:numId w:val="30"/>
        </w:numPr>
        <w:overflowPunct/>
        <w:autoSpaceDE/>
        <w:autoSpaceDN/>
        <w:adjustRightInd/>
        <w:spacing w:before="0"/>
        <w:ind w:left="346" w:hanging="187"/>
        <w:contextualSpacing/>
        <w:textAlignment w:val="baseline"/>
        <w:rPr>
          <w:szCs w:val="24"/>
        </w:rPr>
      </w:pPr>
      <w:r w:rsidRPr="00680DBD">
        <w:rPr>
          <w:szCs w:val="24"/>
        </w:rPr>
        <w:t>examinations do not require an eFolder review, and</w:t>
      </w:r>
    </w:p>
    <w:p w14:paraId="60DAEEE6" w14:textId="196B9693" w:rsidR="005A795D" w:rsidRDefault="00680DBD" w:rsidP="00680DBD">
      <w:pPr>
        <w:numPr>
          <w:ilvl w:val="0"/>
          <w:numId w:val="30"/>
        </w:numPr>
        <w:overflowPunct/>
        <w:autoSpaceDE/>
        <w:autoSpaceDN/>
        <w:adjustRightInd/>
        <w:spacing w:before="0"/>
        <w:ind w:left="540" w:hanging="187"/>
        <w:contextualSpacing/>
        <w:textAlignment w:val="baseline"/>
        <w:rPr>
          <w:szCs w:val="24"/>
        </w:rPr>
      </w:pPr>
      <w:r w:rsidRPr="00680DBD">
        <w:rPr>
          <w:szCs w:val="24"/>
        </w:rPr>
        <w:t xml:space="preserve">all development actions have been </w:t>
      </w:r>
      <w:r w:rsidR="000265D7" w:rsidRPr="00680DBD">
        <w:rPr>
          <w:szCs w:val="24"/>
        </w:rPr>
        <w:t>completed.</w:t>
      </w:r>
    </w:p>
    <w:p w14:paraId="3DF2D4D9" w14:textId="77777777" w:rsidR="005A795D" w:rsidRDefault="005A795D" w:rsidP="005A795D">
      <w:pPr>
        <w:overflowPunct/>
        <w:autoSpaceDE/>
        <w:autoSpaceDN/>
        <w:adjustRightInd/>
        <w:spacing w:before="0"/>
        <w:contextualSpacing/>
        <w:textAlignment w:val="baseline"/>
        <w:rPr>
          <w:szCs w:val="24"/>
        </w:rPr>
      </w:pPr>
    </w:p>
    <w:p w14:paraId="376B002F" w14:textId="1C32159C" w:rsidR="005A795D" w:rsidRDefault="005A795D" w:rsidP="005A795D">
      <w:pPr>
        <w:overflowPunct/>
        <w:autoSpaceDE/>
        <w:autoSpaceDN/>
        <w:adjustRightInd/>
        <w:spacing w:before="0"/>
        <w:contextualSpacing/>
        <w:textAlignment w:val="baseline"/>
        <w:rPr>
          <w:szCs w:val="24"/>
        </w:rPr>
      </w:pPr>
      <w:r>
        <w:rPr>
          <w:b/>
          <w:szCs w:val="24"/>
          <w:u w:val="single"/>
        </w:rPr>
        <w:t>BDD Claim Label and EP</w:t>
      </w:r>
    </w:p>
    <w:p w14:paraId="778AA03C" w14:textId="77777777" w:rsidR="005A795D" w:rsidRDefault="005A795D" w:rsidP="005A795D">
      <w:pPr>
        <w:overflowPunct/>
        <w:autoSpaceDE/>
        <w:autoSpaceDN/>
        <w:adjustRightInd/>
        <w:spacing w:before="0"/>
        <w:contextualSpacing/>
        <w:textAlignment w:val="baseline"/>
        <w:rPr>
          <w:szCs w:val="24"/>
        </w:rPr>
      </w:pPr>
    </w:p>
    <w:p w14:paraId="6AB804A4" w14:textId="77777777" w:rsidR="005A795D" w:rsidRPr="005A795D" w:rsidRDefault="005A795D" w:rsidP="005A795D">
      <w:pPr>
        <w:overflowPunct/>
        <w:autoSpaceDE/>
        <w:autoSpaceDN/>
        <w:adjustRightInd/>
        <w:spacing w:before="0"/>
        <w:contextualSpacing/>
        <w:textAlignment w:val="baseline"/>
        <w:rPr>
          <w:szCs w:val="24"/>
        </w:rPr>
      </w:pPr>
      <w:r w:rsidRPr="005A795D">
        <w:rPr>
          <w:szCs w:val="24"/>
        </w:rPr>
        <w:t>Once all development actions are completed, the diary 336 EP for a BDD claim will be changed to the proper EP and claim label as shown in the table below:</w:t>
      </w:r>
    </w:p>
    <w:p w14:paraId="2A6A27DB" w14:textId="77777777" w:rsidR="005A795D" w:rsidRDefault="005A795D" w:rsidP="005A795D">
      <w:pPr>
        <w:overflowPunct/>
        <w:autoSpaceDE/>
        <w:autoSpaceDN/>
        <w:adjustRightInd/>
        <w:spacing w:before="0"/>
        <w:contextualSpacing/>
        <w:textAlignment w:val="baseline"/>
        <w:rPr>
          <w:szCs w:val="24"/>
        </w:rPr>
      </w:pPr>
    </w:p>
    <w:tbl>
      <w:tblPr>
        <w:tblW w:w="6970" w:type="dxa"/>
        <w:jc w:val="center"/>
        <w:tblLayout w:type="fixed"/>
        <w:tblCellMar>
          <w:left w:w="0" w:type="dxa"/>
          <w:right w:w="0" w:type="dxa"/>
        </w:tblCellMar>
        <w:tblLook w:val="0420" w:firstRow="1" w:lastRow="0" w:firstColumn="0" w:lastColumn="0" w:noHBand="0" w:noVBand="1"/>
      </w:tblPr>
      <w:tblGrid>
        <w:gridCol w:w="2920"/>
        <w:gridCol w:w="4050"/>
      </w:tblGrid>
      <w:tr w:rsidR="005A795D" w:rsidRPr="005A795D" w14:paraId="1E9E19F3" w14:textId="77777777" w:rsidTr="005A795D">
        <w:trPr>
          <w:trHeight w:val="22"/>
          <w:jc w:val="center"/>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BFC1B0" w14:textId="77777777" w:rsidR="005A795D" w:rsidRPr="005A795D" w:rsidRDefault="005A795D" w:rsidP="005A795D">
            <w:pPr>
              <w:overflowPunct/>
              <w:autoSpaceDE/>
              <w:autoSpaceDN/>
              <w:adjustRightInd/>
              <w:spacing w:before="0"/>
              <w:contextualSpacing/>
              <w:textAlignment w:val="baseline"/>
              <w:rPr>
                <w:szCs w:val="24"/>
              </w:rPr>
            </w:pPr>
            <w:r w:rsidRPr="005A795D">
              <w:rPr>
                <w:b/>
                <w:bCs/>
                <w:szCs w:val="24"/>
              </w:rPr>
              <w:t>Claim Type</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765B6B" w14:textId="77777777" w:rsidR="005A795D" w:rsidRPr="005A795D" w:rsidRDefault="005A795D" w:rsidP="005A795D">
            <w:pPr>
              <w:overflowPunct/>
              <w:autoSpaceDE/>
              <w:autoSpaceDN/>
              <w:adjustRightInd/>
              <w:spacing w:before="0"/>
              <w:contextualSpacing/>
              <w:textAlignment w:val="baseline"/>
              <w:rPr>
                <w:szCs w:val="24"/>
              </w:rPr>
            </w:pPr>
            <w:r w:rsidRPr="005A795D">
              <w:rPr>
                <w:b/>
                <w:bCs/>
                <w:szCs w:val="24"/>
              </w:rPr>
              <w:t>BDD EP – Claim Label</w:t>
            </w:r>
          </w:p>
        </w:tc>
      </w:tr>
      <w:tr w:rsidR="005A795D" w:rsidRPr="005A795D" w14:paraId="34AAA36F" w14:textId="77777777" w:rsidTr="005A795D">
        <w:trPr>
          <w:trHeight w:val="22"/>
          <w:jc w:val="center"/>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563F58" w14:textId="77777777" w:rsidR="005A795D" w:rsidRPr="005A795D" w:rsidRDefault="005A795D" w:rsidP="005A795D">
            <w:pPr>
              <w:overflowPunct/>
              <w:autoSpaceDE/>
              <w:autoSpaceDN/>
              <w:adjustRightInd/>
              <w:spacing w:before="0"/>
              <w:contextualSpacing/>
              <w:textAlignment w:val="baseline"/>
              <w:rPr>
                <w:szCs w:val="24"/>
              </w:rPr>
            </w:pPr>
            <w:r w:rsidRPr="005A795D">
              <w:rPr>
                <w:szCs w:val="24"/>
              </w:rPr>
              <w:t xml:space="preserve">Original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C8D20F" w14:textId="77777777" w:rsidR="005A795D" w:rsidRPr="005A795D" w:rsidRDefault="005A795D" w:rsidP="005A795D">
            <w:pPr>
              <w:numPr>
                <w:ilvl w:val="0"/>
                <w:numId w:val="33"/>
              </w:numPr>
              <w:overflowPunct/>
              <w:autoSpaceDE/>
              <w:autoSpaceDN/>
              <w:adjustRightInd/>
              <w:spacing w:before="0"/>
              <w:contextualSpacing/>
              <w:textAlignment w:val="baseline"/>
              <w:rPr>
                <w:szCs w:val="24"/>
              </w:rPr>
            </w:pPr>
            <w:r w:rsidRPr="005A795D">
              <w:rPr>
                <w:szCs w:val="24"/>
              </w:rPr>
              <w:t>110 – BDD-Initial, or</w:t>
            </w:r>
          </w:p>
          <w:p w14:paraId="002F610B" w14:textId="77777777" w:rsidR="005A795D" w:rsidRPr="005A795D" w:rsidRDefault="005A795D" w:rsidP="005A795D">
            <w:pPr>
              <w:numPr>
                <w:ilvl w:val="0"/>
                <w:numId w:val="33"/>
              </w:numPr>
              <w:overflowPunct/>
              <w:autoSpaceDE/>
              <w:autoSpaceDN/>
              <w:adjustRightInd/>
              <w:spacing w:before="0"/>
              <w:contextualSpacing/>
              <w:textAlignment w:val="baseline"/>
              <w:rPr>
                <w:szCs w:val="24"/>
              </w:rPr>
            </w:pPr>
            <w:r w:rsidRPr="005A795D">
              <w:rPr>
                <w:szCs w:val="24"/>
              </w:rPr>
              <w:t>010 – BDD-Initial 8+ issues</w:t>
            </w:r>
          </w:p>
        </w:tc>
      </w:tr>
      <w:tr w:rsidR="005A795D" w:rsidRPr="005A795D" w14:paraId="4B5F7CC5" w14:textId="77777777" w:rsidTr="005A795D">
        <w:trPr>
          <w:trHeight w:val="22"/>
          <w:jc w:val="center"/>
        </w:trPr>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8A459" w14:textId="4EEA824C" w:rsidR="005A795D" w:rsidRPr="00BE1A18" w:rsidRDefault="005A795D">
            <w:pPr>
              <w:numPr>
                <w:ilvl w:val="0"/>
                <w:numId w:val="33"/>
              </w:numPr>
              <w:overflowPunct/>
              <w:autoSpaceDE/>
              <w:autoSpaceDN/>
              <w:adjustRightInd/>
              <w:spacing w:before="0"/>
              <w:contextualSpacing/>
              <w:textAlignment w:val="baseline"/>
              <w:rPr>
                <w:szCs w:val="24"/>
              </w:rPr>
            </w:pPr>
            <w:r w:rsidRPr="005A795D">
              <w:rPr>
                <w:szCs w:val="24"/>
              </w:rPr>
              <w:t>New SC</w:t>
            </w:r>
            <w:r w:rsidR="00BE1A18">
              <w:rPr>
                <w:szCs w:val="24"/>
              </w:rPr>
              <w:t xml:space="preserve"> </w:t>
            </w:r>
            <w:r w:rsidRPr="00BE1A18">
              <w:rPr>
                <w:szCs w:val="24"/>
              </w:rPr>
              <w:t>or</w:t>
            </w:r>
          </w:p>
          <w:p w14:paraId="1185CE37" w14:textId="77777777" w:rsidR="005A795D" w:rsidRPr="005A795D" w:rsidRDefault="005A795D" w:rsidP="005A795D">
            <w:pPr>
              <w:numPr>
                <w:ilvl w:val="0"/>
                <w:numId w:val="33"/>
              </w:numPr>
              <w:overflowPunct/>
              <w:autoSpaceDE/>
              <w:autoSpaceDN/>
              <w:adjustRightInd/>
              <w:spacing w:before="0"/>
              <w:contextualSpacing/>
              <w:textAlignment w:val="baseline"/>
              <w:rPr>
                <w:szCs w:val="24"/>
              </w:rPr>
            </w:pPr>
            <w:r w:rsidRPr="005A795D">
              <w:rPr>
                <w:szCs w:val="24"/>
              </w:rPr>
              <w:t>Increased evaluation</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4CC53" w14:textId="77777777" w:rsidR="005A795D" w:rsidRPr="005A795D" w:rsidRDefault="005A795D" w:rsidP="005A795D">
            <w:pPr>
              <w:overflowPunct/>
              <w:autoSpaceDE/>
              <w:autoSpaceDN/>
              <w:adjustRightInd/>
              <w:spacing w:before="0"/>
              <w:contextualSpacing/>
              <w:textAlignment w:val="baseline"/>
              <w:rPr>
                <w:szCs w:val="24"/>
              </w:rPr>
            </w:pPr>
            <w:r w:rsidRPr="005A795D">
              <w:rPr>
                <w:szCs w:val="24"/>
              </w:rPr>
              <w:t>020 – BDD-Supplemental</w:t>
            </w:r>
          </w:p>
        </w:tc>
      </w:tr>
    </w:tbl>
    <w:p w14:paraId="2CEA1724" w14:textId="77777777" w:rsidR="005A795D" w:rsidRDefault="005A795D" w:rsidP="005A795D">
      <w:pPr>
        <w:overflowPunct/>
        <w:autoSpaceDE/>
        <w:autoSpaceDN/>
        <w:adjustRightInd/>
        <w:spacing w:before="0"/>
        <w:contextualSpacing/>
        <w:textAlignment w:val="baseline"/>
        <w:rPr>
          <w:szCs w:val="24"/>
        </w:rPr>
      </w:pPr>
    </w:p>
    <w:p w14:paraId="788A76D6" w14:textId="3250C96B" w:rsidR="005A795D" w:rsidRDefault="005A795D" w:rsidP="005A795D">
      <w:pPr>
        <w:overflowPunct/>
        <w:autoSpaceDE/>
        <w:autoSpaceDN/>
        <w:adjustRightInd/>
        <w:spacing w:before="0"/>
        <w:contextualSpacing/>
        <w:textAlignment w:val="baseline"/>
        <w:rPr>
          <w:szCs w:val="24"/>
        </w:rPr>
      </w:pPr>
      <w:r w:rsidRPr="005A795D">
        <w:rPr>
          <w:b/>
          <w:szCs w:val="24"/>
        </w:rPr>
        <w:t xml:space="preserve">NOTE:  </w:t>
      </w:r>
      <w:r>
        <w:rPr>
          <w:szCs w:val="24"/>
        </w:rPr>
        <w:t>T</w:t>
      </w:r>
      <w:r w:rsidRPr="005A795D">
        <w:rPr>
          <w:szCs w:val="24"/>
        </w:rPr>
        <w:t xml:space="preserve">hird digit modifiers for Pre-Discharge claims are terminated.  </w:t>
      </w:r>
    </w:p>
    <w:p w14:paraId="604BDABF" w14:textId="2052EDC3" w:rsidR="00B44CCF" w:rsidRDefault="00B44CCF" w:rsidP="005A795D">
      <w:pPr>
        <w:overflowPunct/>
        <w:autoSpaceDE/>
        <w:autoSpaceDN/>
        <w:adjustRightInd/>
        <w:spacing w:before="0"/>
        <w:contextualSpacing/>
        <w:textAlignment w:val="baseline"/>
        <w:rPr>
          <w:szCs w:val="24"/>
        </w:rPr>
      </w:pPr>
    </w:p>
    <w:p w14:paraId="28780372" w14:textId="7CDF3763" w:rsidR="00B44CCF" w:rsidRPr="008C0056" w:rsidRDefault="00B44CCF" w:rsidP="005A795D">
      <w:pPr>
        <w:overflowPunct/>
        <w:autoSpaceDE/>
        <w:autoSpaceDN/>
        <w:adjustRightInd/>
        <w:spacing w:before="0"/>
        <w:contextualSpacing/>
        <w:textAlignment w:val="baseline"/>
        <w:rPr>
          <w:b/>
          <w:szCs w:val="24"/>
          <w:u w:val="single"/>
        </w:rPr>
      </w:pPr>
      <w:r w:rsidRPr="008C0056">
        <w:rPr>
          <w:b/>
          <w:szCs w:val="24"/>
          <w:u w:val="single"/>
        </w:rPr>
        <w:t>National Work Queue</w:t>
      </w:r>
    </w:p>
    <w:p w14:paraId="1A5CC8B4" w14:textId="77777777" w:rsidR="00B44CCF" w:rsidRPr="008C0056" w:rsidRDefault="00B44CCF" w:rsidP="005A795D">
      <w:pPr>
        <w:overflowPunct/>
        <w:autoSpaceDE/>
        <w:autoSpaceDN/>
        <w:adjustRightInd/>
        <w:spacing w:before="0"/>
        <w:contextualSpacing/>
        <w:textAlignment w:val="baseline"/>
        <w:rPr>
          <w:b/>
          <w:szCs w:val="24"/>
        </w:rPr>
      </w:pPr>
    </w:p>
    <w:p w14:paraId="4C8E3A3E" w14:textId="77777777" w:rsidR="00B44CCF" w:rsidRPr="00B44CCF" w:rsidRDefault="00B44CCF" w:rsidP="00B44CCF">
      <w:pPr>
        <w:overflowPunct/>
        <w:autoSpaceDE/>
        <w:autoSpaceDN/>
        <w:adjustRightInd/>
        <w:spacing w:before="0"/>
        <w:contextualSpacing/>
        <w:textAlignment w:val="baseline"/>
        <w:rPr>
          <w:szCs w:val="24"/>
        </w:rPr>
      </w:pPr>
      <w:r w:rsidRPr="00B44CCF">
        <w:rPr>
          <w:szCs w:val="24"/>
        </w:rPr>
        <w:t xml:space="preserve">Following the actions taken at the BDD intake site, the National Work Queue (NWQ) will route the BDD claim to regional offices nationally for review for ready for decision (RFD) status as soon as all examinations have been completed or all tracked items have expired. </w:t>
      </w:r>
    </w:p>
    <w:p w14:paraId="075D3A30" w14:textId="2534FC5E" w:rsidR="00B44CCF" w:rsidRPr="00B44CCF" w:rsidRDefault="00B44CCF" w:rsidP="00B44CCF">
      <w:pPr>
        <w:overflowPunct/>
        <w:autoSpaceDE/>
        <w:autoSpaceDN/>
        <w:adjustRightInd/>
        <w:spacing w:before="0"/>
        <w:contextualSpacing/>
        <w:textAlignment w:val="baseline"/>
        <w:rPr>
          <w:szCs w:val="24"/>
        </w:rPr>
      </w:pPr>
      <w:r w:rsidRPr="00B44CCF">
        <w:rPr>
          <w:szCs w:val="24"/>
        </w:rPr>
        <w:lastRenderedPageBreak/>
        <w:t xml:space="preserve">NOTE:  This will occur while the SM is still on active duty, therefore </w:t>
      </w:r>
      <w:r w:rsidRPr="00B44CCF">
        <w:rPr>
          <w:szCs w:val="24"/>
          <w:u w:val="single"/>
        </w:rPr>
        <w:t>deferral for service verification should not occur</w:t>
      </w:r>
      <w:r w:rsidRPr="00B44CCF">
        <w:rPr>
          <w:szCs w:val="24"/>
        </w:rPr>
        <w:t>.</w:t>
      </w:r>
      <w:bookmarkStart w:id="11" w:name="_GoBack"/>
      <w:bookmarkEnd w:id="11"/>
      <w:r w:rsidRPr="00B44CCF">
        <w:rPr>
          <w:szCs w:val="24"/>
        </w:rPr>
        <w:t xml:space="preserve"> Service verification for BDD claims does not occur until </w:t>
      </w:r>
      <w:r w:rsidRPr="00B44CCF">
        <w:rPr>
          <w:b/>
          <w:bCs/>
          <w:szCs w:val="24"/>
        </w:rPr>
        <w:t>after</w:t>
      </w:r>
      <w:r w:rsidRPr="00B44CCF">
        <w:rPr>
          <w:szCs w:val="24"/>
        </w:rPr>
        <w:t xml:space="preserve"> the completion of the in-service rating decision and the </w:t>
      </w:r>
      <w:r w:rsidRPr="00B44CCF">
        <w:rPr>
          <w:b/>
          <w:bCs/>
          <w:szCs w:val="24"/>
          <w:u w:val="single"/>
        </w:rPr>
        <w:t>SM’s discharge from active duty</w:t>
      </w:r>
      <w:r w:rsidRPr="00B44CCF">
        <w:rPr>
          <w:szCs w:val="24"/>
        </w:rPr>
        <w:t>.</w:t>
      </w:r>
    </w:p>
    <w:p w14:paraId="64B349B0" w14:textId="77777777" w:rsidR="00B44CCF" w:rsidRPr="005A795D" w:rsidRDefault="00B44CCF" w:rsidP="005A795D">
      <w:pPr>
        <w:overflowPunct/>
        <w:autoSpaceDE/>
        <w:autoSpaceDN/>
        <w:adjustRightInd/>
        <w:spacing w:before="0"/>
        <w:contextualSpacing/>
        <w:textAlignment w:val="baseline"/>
        <w:rPr>
          <w:szCs w:val="24"/>
        </w:rPr>
      </w:pPr>
    </w:p>
    <w:p w14:paraId="6BBC038F" w14:textId="567CA0CC" w:rsidR="007E76DB" w:rsidRPr="00A7575D" w:rsidRDefault="007E76DB" w:rsidP="00CA0192">
      <w:pPr>
        <w:overflowPunct/>
        <w:autoSpaceDE/>
        <w:autoSpaceDN/>
        <w:adjustRightInd/>
        <w:spacing w:before="0"/>
      </w:pPr>
      <w:r>
        <w:t xml:space="preserve"> </w:t>
      </w:r>
    </w:p>
    <w:sectPr w:rsidR="007E76DB" w:rsidRPr="00A7575D">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56555" w14:textId="77777777" w:rsidR="00FC6D7E" w:rsidRDefault="00FC6D7E">
      <w:pPr>
        <w:spacing w:before="0"/>
      </w:pPr>
      <w:r>
        <w:separator/>
      </w:r>
    </w:p>
  </w:endnote>
  <w:endnote w:type="continuationSeparator" w:id="0">
    <w:p w14:paraId="76555F46" w14:textId="77777777" w:rsidR="00FC6D7E" w:rsidRDefault="00FC6D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4B2" w14:textId="77777777" w:rsidR="004B0061" w:rsidRDefault="004B0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C925" w14:textId="4D1F8B0A" w:rsidR="00105613" w:rsidRDefault="004B0061">
    <w:pPr>
      <w:pStyle w:val="VBAFooter"/>
    </w:pPr>
    <w:r>
      <w:t>September</w:t>
    </w:r>
    <w:r w:rsidR="00105613" w:rsidRPr="00ED4DAD">
      <w:t xml:space="preserve"> 201</w:t>
    </w:r>
    <w:r w:rsidR="00105613">
      <w:t>9</w:t>
    </w:r>
    <w:r w:rsidR="00105613">
      <w:tab/>
    </w:r>
    <w:r w:rsidR="00105613">
      <w:tab/>
      <w:t xml:space="preserve">Page </w:t>
    </w:r>
    <w:r w:rsidR="00105613">
      <w:fldChar w:fldCharType="begin"/>
    </w:r>
    <w:r w:rsidR="00105613">
      <w:instrText xml:space="preserve"> PAGE   \* MERGEFORMAT </w:instrText>
    </w:r>
    <w:r w:rsidR="00105613">
      <w:fldChar w:fldCharType="separate"/>
    </w:r>
    <w:r w:rsidR="00105613">
      <w:rPr>
        <w:noProof/>
      </w:rPr>
      <w:t>13</w:t>
    </w:r>
    <w:r w:rsidR="00105613">
      <w:fldChar w:fldCharType="end"/>
    </w:r>
  </w:p>
  <w:p w14:paraId="59B8C926" w14:textId="77777777" w:rsidR="00105613" w:rsidRDefault="00105613">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FFDE" w14:textId="77777777" w:rsidR="004B0061" w:rsidRDefault="004B0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1139C" w14:textId="77777777" w:rsidR="00FC6D7E" w:rsidRDefault="00FC6D7E">
      <w:pPr>
        <w:spacing w:before="0"/>
      </w:pPr>
      <w:r>
        <w:separator/>
      </w:r>
    </w:p>
  </w:footnote>
  <w:footnote w:type="continuationSeparator" w:id="0">
    <w:p w14:paraId="774DFE3A" w14:textId="77777777" w:rsidR="00FC6D7E" w:rsidRDefault="00FC6D7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F5C1C" w14:textId="77777777" w:rsidR="004B0061" w:rsidRDefault="004B0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CA06" w14:textId="77777777" w:rsidR="004B0061" w:rsidRDefault="004B0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CA87" w14:textId="77777777" w:rsidR="004B0061" w:rsidRDefault="004B0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865"/>
    <w:multiLevelType w:val="hybridMultilevel"/>
    <w:tmpl w:val="596A9B96"/>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 w15:restartNumberingAfterBreak="0">
    <w:nsid w:val="041C5ECF"/>
    <w:multiLevelType w:val="hybridMultilevel"/>
    <w:tmpl w:val="51AA4B8C"/>
    <w:lvl w:ilvl="0" w:tplc="A8E83B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11EE9"/>
    <w:multiLevelType w:val="hybridMultilevel"/>
    <w:tmpl w:val="EDB02838"/>
    <w:lvl w:ilvl="0" w:tplc="6A802D4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A5562"/>
    <w:multiLevelType w:val="hybridMultilevel"/>
    <w:tmpl w:val="AC56E762"/>
    <w:lvl w:ilvl="0" w:tplc="5D8C26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56222"/>
    <w:multiLevelType w:val="hybridMultilevel"/>
    <w:tmpl w:val="E15C0CA2"/>
    <w:lvl w:ilvl="0" w:tplc="142067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6F2"/>
    <w:multiLevelType w:val="hybridMultilevel"/>
    <w:tmpl w:val="E68E5F2A"/>
    <w:lvl w:ilvl="0" w:tplc="DDE436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06F57"/>
    <w:multiLevelType w:val="hybridMultilevel"/>
    <w:tmpl w:val="6BCA9C22"/>
    <w:lvl w:ilvl="0" w:tplc="224401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1BBA"/>
    <w:multiLevelType w:val="hybridMultilevel"/>
    <w:tmpl w:val="A740E310"/>
    <w:lvl w:ilvl="0" w:tplc="B73021C2">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8" w15:restartNumberingAfterBreak="0">
    <w:nsid w:val="1718185B"/>
    <w:multiLevelType w:val="hybridMultilevel"/>
    <w:tmpl w:val="037E3838"/>
    <w:lvl w:ilvl="0" w:tplc="1218A46A">
      <w:start w:val="1"/>
      <w:numFmt w:val="bullet"/>
      <w:lvlText w:val="•"/>
      <w:lvlJc w:val="left"/>
      <w:pPr>
        <w:tabs>
          <w:tab w:val="num" w:pos="720"/>
        </w:tabs>
        <w:ind w:left="720" w:hanging="360"/>
      </w:pPr>
      <w:rPr>
        <w:rFonts w:ascii="Arial" w:hAnsi="Arial" w:hint="default"/>
      </w:rPr>
    </w:lvl>
    <w:lvl w:ilvl="1" w:tplc="1F4E7A24" w:tentative="1">
      <w:start w:val="1"/>
      <w:numFmt w:val="bullet"/>
      <w:lvlText w:val="•"/>
      <w:lvlJc w:val="left"/>
      <w:pPr>
        <w:tabs>
          <w:tab w:val="num" w:pos="1440"/>
        </w:tabs>
        <w:ind w:left="1440" w:hanging="360"/>
      </w:pPr>
      <w:rPr>
        <w:rFonts w:ascii="Arial" w:hAnsi="Arial" w:hint="default"/>
      </w:rPr>
    </w:lvl>
    <w:lvl w:ilvl="2" w:tplc="2D3E3116" w:tentative="1">
      <w:start w:val="1"/>
      <w:numFmt w:val="bullet"/>
      <w:lvlText w:val="•"/>
      <w:lvlJc w:val="left"/>
      <w:pPr>
        <w:tabs>
          <w:tab w:val="num" w:pos="2160"/>
        </w:tabs>
        <w:ind w:left="2160" w:hanging="360"/>
      </w:pPr>
      <w:rPr>
        <w:rFonts w:ascii="Arial" w:hAnsi="Arial" w:hint="default"/>
      </w:rPr>
    </w:lvl>
    <w:lvl w:ilvl="3" w:tplc="7DCA47D0" w:tentative="1">
      <w:start w:val="1"/>
      <w:numFmt w:val="bullet"/>
      <w:lvlText w:val="•"/>
      <w:lvlJc w:val="left"/>
      <w:pPr>
        <w:tabs>
          <w:tab w:val="num" w:pos="2880"/>
        </w:tabs>
        <w:ind w:left="2880" w:hanging="360"/>
      </w:pPr>
      <w:rPr>
        <w:rFonts w:ascii="Arial" w:hAnsi="Arial" w:hint="default"/>
      </w:rPr>
    </w:lvl>
    <w:lvl w:ilvl="4" w:tplc="77CC32A4" w:tentative="1">
      <w:start w:val="1"/>
      <w:numFmt w:val="bullet"/>
      <w:lvlText w:val="•"/>
      <w:lvlJc w:val="left"/>
      <w:pPr>
        <w:tabs>
          <w:tab w:val="num" w:pos="3600"/>
        </w:tabs>
        <w:ind w:left="3600" w:hanging="360"/>
      </w:pPr>
      <w:rPr>
        <w:rFonts w:ascii="Arial" w:hAnsi="Arial" w:hint="default"/>
      </w:rPr>
    </w:lvl>
    <w:lvl w:ilvl="5" w:tplc="08B2E756" w:tentative="1">
      <w:start w:val="1"/>
      <w:numFmt w:val="bullet"/>
      <w:lvlText w:val="•"/>
      <w:lvlJc w:val="left"/>
      <w:pPr>
        <w:tabs>
          <w:tab w:val="num" w:pos="4320"/>
        </w:tabs>
        <w:ind w:left="4320" w:hanging="360"/>
      </w:pPr>
      <w:rPr>
        <w:rFonts w:ascii="Arial" w:hAnsi="Arial" w:hint="default"/>
      </w:rPr>
    </w:lvl>
    <w:lvl w:ilvl="6" w:tplc="711A5E5A" w:tentative="1">
      <w:start w:val="1"/>
      <w:numFmt w:val="bullet"/>
      <w:lvlText w:val="•"/>
      <w:lvlJc w:val="left"/>
      <w:pPr>
        <w:tabs>
          <w:tab w:val="num" w:pos="5040"/>
        </w:tabs>
        <w:ind w:left="5040" w:hanging="360"/>
      </w:pPr>
      <w:rPr>
        <w:rFonts w:ascii="Arial" w:hAnsi="Arial" w:hint="default"/>
      </w:rPr>
    </w:lvl>
    <w:lvl w:ilvl="7" w:tplc="216C794C" w:tentative="1">
      <w:start w:val="1"/>
      <w:numFmt w:val="bullet"/>
      <w:lvlText w:val="•"/>
      <w:lvlJc w:val="left"/>
      <w:pPr>
        <w:tabs>
          <w:tab w:val="num" w:pos="5760"/>
        </w:tabs>
        <w:ind w:left="5760" w:hanging="360"/>
      </w:pPr>
      <w:rPr>
        <w:rFonts w:ascii="Arial" w:hAnsi="Arial" w:hint="default"/>
      </w:rPr>
    </w:lvl>
    <w:lvl w:ilvl="8" w:tplc="E48A03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F47D22"/>
    <w:multiLevelType w:val="hybridMultilevel"/>
    <w:tmpl w:val="B0D8C812"/>
    <w:lvl w:ilvl="0" w:tplc="E88C0A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12B2F"/>
    <w:multiLevelType w:val="hybridMultilevel"/>
    <w:tmpl w:val="C57E051C"/>
    <w:lvl w:ilvl="0" w:tplc="DDE43680">
      <w:start w:val="1"/>
      <w:numFmt w:val="bullet"/>
      <w:lvlRestart w:val="0"/>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25CE77DD"/>
    <w:multiLevelType w:val="hybridMultilevel"/>
    <w:tmpl w:val="396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12FE7"/>
    <w:multiLevelType w:val="hybridMultilevel"/>
    <w:tmpl w:val="5270248C"/>
    <w:lvl w:ilvl="0" w:tplc="9CC6FD0A">
      <w:start w:val="1"/>
      <w:numFmt w:val="bullet"/>
      <w:lvlRestart w:val="0"/>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2F5629F2"/>
    <w:multiLevelType w:val="hybridMultilevel"/>
    <w:tmpl w:val="BB02C4DA"/>
    <w:lvl w:ilvl="0" w:tplc="CAE2DD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695"/>
    <w:multiLevelType w:val="hybridMultilevel"/>
    <w:tmpl w:val="11AC7634"/>
    <w:lvl w:ilvl="0" w:tplc="57A82D2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93FAB"/>
    <w:multiLevelType w:val="hybridMultilevel"/>
    <w:tmpl w:val="3F5E6D4E"/>
    <w:lvl w:ilvl="0" w:tplc="E8FE040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40619"/>
    <w:multiLevelType w:val="hybridMultilevel"/>
    <w:tmpl w:val="5D60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804EA"/>
    <w:multiLevelType w:val="hybridMultilevel"/>
    <w:tmpl w:val="516C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26D24"/>
    <w:multiLevelType w:val="hybridMultilevel"/>
    <w:tmpl w:val="BF56BE54"/>
    <w:lvl w:ilvl="0" w:tplc="B73021C2">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3D715A16"/>
    <w:multiLevelType w:val="hybridMultilevel"/>
    <w:tmpl w:val="B2C83B4C"/>
    <w:lvl w:ilvl="0" w:tplc="CABAD2B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167FB"/>
    <w:multiLevelType w:val="hybridMultilevel"/>
    <w:tmpl w:val="CAC4722C"/>
    <w:lvl w:ilvl="0" w:tplc="9E80243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E158B"/>
    <w:multiLevelType w:val="hybridMultilevel"/>
    <w:tmpl w:val="3124B484"/>
    <w:lvl w:ilvl="0" w:tplc="6A802D4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4408"/>
    <w:multiLevelType w:val="hybridMultilevel"/>
    <w:tmpl w:val="5796A0DA"/>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4" w15:restartNumberingAfterBreak="0">
    <w:nsid w:val="47F552F0"/>
    <w:multiLevelType w:val="hybridMultilevel"/>
    <w:tmpl w:val="2BEED6BA"/>
    <w:lvl w:ilvl="0" w:tplc="04090001">
      <w:start w:val="1"/>
      <w:numFmt w:val="bullet"/>
      <w:lvlText w:val=""/>
      <w:lvlJc w:val="left"/>
      <w:pPr>
        <w:tabs>
          <w:tab w:val="num" w:pos="720"/>
        </w:tabs>
        <w:ind w:left="720" w:hanging="360"/>
      </w:pPr>
      <w:rPr>
        <w:rFonts w:ascii="Symbol" w:hAnsi="Symbol" w:hint="default"/>
      </w:rPr>
    </w:lvl>
    <w:lvl w:ilvl="1" w:tplc="0C5CAB66" w:tentative="1">
      <w:start w:val="1"/>
      <w:numFmt w:val="bullet"/>
      <w:lvlText w:val="•"/>
      <w:lvlJc w:val="left"/>
      <w:pPr>
        <w:tabs>
          <w:tab w:val="num" w:pos="1440"/>
        </w:tabs>
        <w:ind w:left="1440" w:hanging="360"/>
      </w:pPr>
      <w:rPr>
        <w:rFonts w:ascii="Arial" w:hAnsi="Arial" w:hint="default"/>
      </w:rPr>
    </w:lvl>
    <w:lvl w:ilvl="2" w:tplc="E78CAC9E" w:tentative="1">
      <w:start w:val="1"/>
      <w:numFmt w:val="bullet"/>
      <w:lvlText w:val="•"/>
      <w:lvlJc w:val="left"/>
      <w:pPr>
        <w:tabs>
          <w:tab w:val="num" w:pos="2160"/>
        </w:tabs>
        <w:ind w:left="2160" w:hanging="360"/>
      </w:pPr>
      <w:rPr>
        <w:rFonts w:ascii="Arial" w:hAnsi="Arial" w:hint="default"/>
      </w:rPr>
    </w:lvl>
    <w:lvl w:ilvl="3" w:tplc="D150A838" w:tentative="1">
      <w:start w:val="1"/>
      <w:numFmt w:val="bullet"/>
      <w:lvlText w:val="•"/>
      <w:lvlJc w:val="left"/>
      <w:pPr>
        <w:tabs>
          <w:tab w:val="num" w:pos="2880"/>
        </w:tabs>
        <w:ind w:left="2880" w:hanging="360"/>
      </w:pPr>
      <w:rPr>
        <w:rFonts w:ascii="Arial" w:hAnsi="Arial" w:hint="default"/>
      </w:rPr>
    </w:lvl>
    <w:lvl w:ilvl="4" w:tplc="EF588994" w:tentative="1">
      <w:start w:val="1"/>
      <w:numFmt w:val="bullet"/>
      <w:lvlText w:val="•"/>
      <w:lvlJc w:val="left"/>
      <w:pPr>
        <w:tabs>
          <w:tab w:val="num" w:pos="3600"/>
        </w:tabs>
        <w:ind w:left="3600" w:hanging="360"/>
      </w:pPr>
      <w:rPr>
        <w:rFonts w:ascii="Arial" w:hAnsi="Arial" w:hint="default"/>
      </w:rPr>
    </w:lvl>
    <w:lvl w:ilvl="5" w:tplc="8EE2FB9C" w:tentative="1">
      <w:start w:val="1"/>
      <w:numFmt w:val="bullet"/>
      <w:lvlText w:val="•"/>
      <w:lvlJc w:val="left"/>
      <w:pPr>
        <w:tabs>
          <w:tab w:val="num" w:pos="4320"/>
        </w:tabs>
        <w:ind w:left="4320" w:hanging="360"/>
      </w:pPr>
      <w:rPr>
        <w:rFonts w:ascii="Arial" w:hAnsi="Arial" w:hint="default"/>
      </w:rPr>
    </w:lvl>
    <w:lvl w:ilvl="6" w:tplc="1150A688" w:tentative="1">
      <w:start w:val="1"/>
      <w:numFmt w:val="bullet"/>
      <w:lvlText w:val="•"/>
      <w:lvlJc w:val="left"/>
      <w:pPr>
        <w:tabs>
          <w:tab w:val="num" w:pos="5040"/>
        </w:tabs>
        <w:ind w:left="5040" w:hanging="360"/>
      </w:pPr>
      <w:rPr>
        <w:rFonts w:ascii="Arial" w:hAnsi="Arial" w:hint="default"/>
      </w:rPr>
    </w:lvl>
    <w:lvl w:ilvl="7" w:tplc="4F7CB300" w:tentative="1">
      <w:start w:val="1"/>
      <w:numFmt w:val="bullet"/>
      <w:lvlText w:val="•"/>
      <w:lvlJc w:val="left"/>
      <w:pPr>
        <w:tabs>
          <w:tab w:val="num" w:pos="5760"/>
        </w:tabs>
        <w:ind w:left="5760" w:hanging="360"/>
      </w:pPr>
      <w:rPr>
        <w:rFonts w:ascii="Arial" w:hAnsi="Arial" w:hint="default"/>
      </w:rPr>
    </w:lvl>
    <w:lvl w:ilvl="8" w:tplc="AA38AC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A47AD3"/>
    <w:multiLevelType w:val="hybridMultilevel"/>
    <w:tmpl w:val="7890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F4A2E"/>
    <w:multiLevelType w:val="hybridMultilevel"/>
    <w:tmpl w:val="F99C5AAC"/>
    <w:lvl w:ilvl="0" w:tplc="7D3C03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05918"/>
    <w:multiLevelType w:val="hybridMultilevel"/>
    <w:tmpl w:val="7898FB86"/>
    <w:lvl w:ilvl="0" w:tplc="7D3C03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A05DC"/>
    <w:multiLevelType w:val="hybridMultilevel"/>
    <w:tmpl w:val="EEFAB1BA"/>
    <w:lvl w:ilvl="0" w:tplc="FFD656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12D12"/>
    <w:multiLevelType w:val="hybridMultilevel"/>
    <w:tmpl w:val="8794BC5C"/>
    <w:lvl w:ilvl="0" w:tplc="9C6C72CC">
      <w:start w:val="1"/>
      <w:numFmt w:val="bullet"/>
      <w:lvlText w:val="•"/>
      <w:lvlJc w:val="left"/>
      <w:pPr>
        <w:tabs>
          <w:tab w:val="num" w:pos="720"/>
        </w:tabs>
        <w:ind w:left="720" w:hanging="360"/>
      </w:pPr>
      <w:rPr>
        <w:rFonts w:ascii="Arial" w:hAnsi="Arial" w:hint="default"/>
      </w:rPr>
    </w:lvl>
    <w:lvl w:ilvl="1" w:tplc="57B87EFC" w:tentative="1">
      <w:start w:val="1"/>
      <w:numFmt w:val="bullet"/>
      <w:lvlText w:val="•"/>
      <w:lvlJc w:val="left"/>
      <w:pPr>
        <w:tabs>
          <w:tab w:val="num" w:pos="1440"/>
        </w:tabs>
        <w:ind w:left="1440" w:hanging="360"/>
      </w:pPr>
      <w:rPr>
        <w:rFonts w:ascii="Arial" w:hAnsi="Arial" w:hint="default"/>
      </w:rPr>
    </w:lvl>
    <w:lvl w:ilvl="2" w:tplc="0C72C1A0" w:tentative="1">
      <w:start w:val="1"/>
      <w:numFmt w:val="bullet"/>
      <w:lvlText w:val="•"/>
      <w:lvlJc w:val="left"/>
      <w:pPr>
        <w:tabs>
          <w:tab w:val="num" w:pos="2160"/>
        </w:tabs>
        <w:ind w:left="2160" w:hanging="360"/>
      </w:pPr>
      <w:rPr>
        <w:rFonts w:ascii="Arial" w:hAnsi="Arial" w:hint="default"/>
      </w:rPr>
    </w:lvl>
    <w:lvl w:ilvl="3" w:tplc="D2D254EC" w:tentative="1">
      <w:start w:val="1"/>
      <w:numFmt w:val="bullet"/>
      <w:lvlText w:val="•"/>
      <w:lvlJc w:val="left"/>
      <w:pPr>
        <w:tabs>
          <w:tab w:val="num" w:pos="2880"/>
        </w:tabs>
        <w:ind w:left="2880" w:hanging="360"/>
      </w:pPr>
      <w:rPr>
        <w:rFonts w:ascii="Arial" w:hAnsi="Arial" w:hint="default"/>
      </w:rPr>
    </w:lvl>
    <w:lvl w:ilvl="4" w:tplc="656C5402" w:tentative="1">
      <w:start w:val="1"/>
      <w:numFmt w:val="bullet"/>
      <w:lvlText w:val="•"/>
      <w:lvlJc w:val="left"/>
      <w:pPr>
        <w:tabs>
          <w:tab w:val="num" w:pos="3600"/>
        </w:tabs>
        <w:ind w:left="3600" w:hanging="360"/>
      </w:pPr>
      <w:rPr>
        <w:rFonts w:ascii="Arial" w:hAnsi="Arial" w:hint="default"/>
      </w:rPr>
    </w:lvl>
    <w:lvl w:ilvl="5" w:tplc="5C70BBB8" w:tentative="1">
      <w:start w:val="1"/>
      <w:numFmt w:val="bullet"/>
      <w:lvlText w:val="•"/>
      <w:lvlJc w:val="left"/>
      <w:pPr>
        <w:tabs>
          <w:tab w:val="num" w:pos="4320"/>
        </w:tabs>
        <w:ind w:left="4320" w:hanging="360"/>
      </w:pPr>
      <w:rPr>
        <w:rFonts w:ascii="Arial" w:hAnsi="Arial" w:hint="default"/>
      </w:rPr>
    </w:lvl>
    <w:lvl w:ilvl="6" w:tplc="F80A50F4" w:tentative="1">
      <w:start w:val="1"/>
      <w:numFmt w:val="bullet"/>
      <w:lvlText w:val="•"/>
      <w:lvlJc w:val="left"/>
      <w:pPr>
        <w:tabs>
          <w:tab w:val="num" w:pos="5040"/>
        </w:tabs>
        <w:ind w:left="5040" w:hanging="360"/>
      </w:pPr>
      <w:rPr>
        <w:rFonts w:ascii="Arial" w:hAnsi="Arial" w:hint="default"/>
      </w:rPr>
    </w:lvl>
    <w:lvl w:ilvl="7" w:tplc="179AB544" w:tentative="1">
      <w:start w:val="1"/>
      <w:numFmt w:val="bullet"/>
      <w:lvlText w:val="•"/>
      <w:lvlJc w:val="left"/>
      <w:pPr>
        <w:tabs>
          <w:tab w:val="num" w:pos="5760"/>
        </w:tabs>
        <w:ind w:left="5760" w:hanging="360"/>
      </w:pPr>
      <w:rPr>
        <w:rFonts w:ascii="Arial" w:hAnsi="Arial" w:hint="default"/>
      </w:rPr>
    </w:lvl>
    <w:lvl w:ilvl="8" w:tplc="773005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E90D91"/>
    <w:multiLevelType w:val="hybridMultilevel"/>
    <w:tmpl w:val="5672A510"/>
    <w:lvl w:ilvl="0" w:tplc="B73021C2">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31" w15:restartNumberingAfterBreak="0">
    <w:nsid w:val="74FB1C13"/>
    <w:multiLevelType w:val="hybridMultilevel"/>
    <w:tmpl w:val="69846EAA"/>
    <w:lvl w:ilvl="0" w:tplc="6DB4FB72">
      <w:start w:val="1"/>
      <w:numFmt w:val="bullet"/>
      <w:lvlRestart w:val="0"/>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46D38"/>
    <w:multiLevelType w:val="hybridMultilevel"/>
    <w:tmpl w:val="A36CEBF4"/>
    <w:lvl w:ilvl="0" w:tplc="D9B47FF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42908"/>
    <w:multiLevelType w:val="hybridMultilevel"/>
    <w:tmpl w:val="B548FFDA"/>
    <w:lvl w:ilvl="0" w:tplc="2DAC89E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
  </w:num>
  <w:num w:numId="4">
    <w:abstractNumId w:val="21"/>
  </w:num>
  <w:num w:numId="5">
    <w:abstractNumId w:val="20"/>
  </w:num>
  <w:num w:numId="6">
    <w:abstractNumId w:val="0"/>
  </w:num>
  <w:num w:numId="7">
    <w:abstractNumId w:val="30"/>
  </w:num>
  <w:num w:numId="8">
    <w:abstractNumId w:val="7"/>
  </w:num>
  <w:num w:numId="9">
    <w:abstractNumId w:val="14"/>
  </w:num>
  <w:num w:numId="10">
    <w:abstractNumId w:val="17"/>
  </w:num>
  <w:num w:numId="11">
    <w:abstractNumId w:val="19"/>
  </w:num>
  <w:num w:numId="12">
    <w:abstractNumId w:val="12"/>
  </w:num>
  <w:num w:numId="13">
    <w:abstractNumId w:val="8"/>
  </w:num>
  <w:num w:numId="14">
    <w:abstractNumId w:val="24"/>
  </w:num>
  <w:num w:numId="15">
    <w:abstractNumId w:val="31"/>
  </w:num>
  <w:num w:numId="16">
    <w:abstractNumId w:val="6"/>
  </w:num>
  <w:num w:numId="17">
    <w:abstractNumId w:val="32"/>
  </w:num>
  <w:num w:numId="18">
    <w:abstractNumId w:val="18"/>
  </w:num>
  <w:num w:numId="19">
    <w:abstractNumId w:val="13"/>
  </w:num>
  <w:num w:numId="20">
    <w:abstractNumId w:val="15"/>
  </w:num>
  <w:num w:numId="21">
    <w:abstractNumId w:val="16"/>
  </w:num>
  <w:num w:numId="22">
    <w:abstractNumId w:val="28"/>
  </w:num>
  <w:num w:numId="23">
    <w:abstractNumId w:val="22"/>
  </w:num>
  <w:num w:numId="24">
    <w:abstractNumId w:val="26"/>
  </w:num>
  <w:num w:numId="25">
    <w:abstractNumId w:val="27"/>
  </w:num>
  <w:num w:numId="26">
    <w:abstractNumId w:val="2"/>
  </w:num>
  <w:num w:numId="27">
    <w:abstractNumId w:val="3"/>
  </w:num>
  <w:num w:numId="28">
    <w:abstractNumId w:val="4"/>
  </w:num>
  <w:num w:numId="29">
    <w:abstractNumId w:val="9"/>
  </w:num>
  <w:num w:numId="30">
    <w:abstractNumId w:val="33"/>
  </w:num>
  <w:num w:numId="31">
    <w:abstractNumId w:val="5"/>
  </w:num>
  <w:num w:numId="32">
    <w:abstractNumId w:val="11"/>
  </w:num>
  <w:num w:numId="33">
    <w:abstractNumId w:val="29"/>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5334"/>
    <w:rsid w:val="000265D7"/>
    <w:rsid w:val="000517E9"/>
    <w:rsid w:val="000B0331"/>
    <w:rsid w:val="000B44D3"/>
    <w:rsid w:val="000D5975"/>
    <w:rsid w:val="000E3279"/>
    <w:rsid w:val="000F32D1"/>
    <w:rsid w:val="001026F8"/>
    <w:rsid w:val="00105613"/>
    <w:rsid w:val="00135B3E"/>
    <w:rsid w:val="00160D71"/>
    <w:rsid w:val="001948B1"/>
    <w:rsid w:val="001B4CE6"/>
    <w:rsid w:val="001C38D3"/>
    <w:rsid w:val="00212FCB"/>
    <w:rsid w:val="00226B7A"/>
    <w:rsid w:val="00237367"/>
    <w:rsid w:val="00244857"/>
    <w:rsid w:val="002577A1"/>
    <w:rsid w:val="002D2A65"/>
    <w:rsid w:val="002F6B48"/>
    <w:rsid w:val="003347C3"/>
    <w:rsid w:val="00335191"/>
    <w:rsid w:val="00350796"/>
    <w:rsid w:val="0035683A"/>
    <w:rsid w:val="00362685"/>
    <w:rsid w:val="00375E4E"/>
    <w:rsid w:val="003A5D29"/>
    <w:rsid w:val="003B11BD"/>
    <w:rsid w:val="003C3F7E"/>
    <w:rsid w:val="003F0588"/>
    <w:rsid w:val="003F7729"/>
    <w:rsid w:val="00415CAD"/>
    <w:rsid w:val="004B0061"/>
    <w:rsid w:val="005175F0"/>
    <w:rsid w:val="0052286D"/>
    <w:rsid w:val="005361DF"/>
    <w:rsid w:val="00537A79"/>
    <w:rsid w:val="0059633D"/>
    <w:rsid w:val="005A791D"/>
    <w:rsid w:val="005A795D"/>
    <w:rsid w:val="005D69C2"/>
    <w:rsid w:val="005E6CC5"/>
    <w:rsid w:val="00680DBD"/>
    <w:rsid w:val="006A64CD"/>
    <w:rsid w:val="006B0C0F"/>
    <w:rsid w:val="00793D02"/>
    <w:rsid w:val="007A4543"/>
    <w:rsid w:val="007A5600"/>
    <w:rsid w:val="007D0954"/>
    <w:rsid w:val="007D48DB"/>
    <w:rsid w:val="007E5000"/>
    <w:rsid w:val="007E76DB"/>
    <w:rsid w:val="00836EE5"/>
    <w:rsid w:val="00842CC8"/>
    <w:rsid w:val="00894A9C"/>
    <w:rsid w:val="008C0056"/>
    <w:rsid w:val="00912CA3"/>
    <w:rsid w:val="00975461"/>
    <w:rsid w:val="00975FD8"/>
    <w:rsid w:val="009A671D"/>
    <w:rsid w:val="009C39FC"/>
    <w:rsid w:val="009E3121"/>
    <w:rsid w:val="009F612B"/>
    <w:rsid w:val="00A26F18"/>
    <w:rsid w:val="00A33559"/>
    <w:rsid w:val="00A43A55"/>
    <w:rsid w:val="00A5126E"/>
    <w:rsid w:val="00A7575D"/>
    <w:rsid w:val="00AA1A39"/>
    <w:rsid w:val="00AA2479"/>
    <w:rsid w:val="00B11B27"/>
    <w:rsid w:val="00B26850"/>
    <w:rsid w:val="00B3493C"/>
    <w:rsid w:val="00B44CCF"/>
    <w:rsid w:val="00B47CB6"/>
    <w:rsid w:val="00B60F03"/>
    <w:rsid w:val="00B9123C"/>
    <w:rsid w:val="00BD181F"/>
    <w:rsid w:val="00BD1D1F"/>
    <w:rsid w:val="00BE1A18"/>
    <w:rsid w:val="00C009D7"/>
    <w:rsid w:val="00C4491F"/>
    <w:rsid w:val="00C7114B"/>
    <w:rsid w:val="00CA0192"/>
    <w:rsid w:val="00CB6CD7"/>
    <w:rsid w:val="00CC041F"/>
    <w:rsid w:val="00D05745"/>
    <w:rsid w:val="00D85BBD"/>
    <w:rsid w:val="00D90DC8"/>
    <w:rsid w:val="00DA38DE"/>
    <w:rsid w:val="00DA498F"/>
    <w:rsid w:val="00DC45C9"/>
    <w:rsid w:val="00DD07FB"/>
    <w:rsid w:val="00E136E5"/>
    <w:rsid w:val="00E35C8B"/>
    <w:rsid w:val="00E45692"/>
    <w:rsid w:val="00E50BC3"/>
    <w:rsid w:val="00EC4154"/>
    <w:rsid w:val="00ED4DAD"/>
    <w:rsid w:val="00EF3E56"/>
    <w:rsid w:val="00F04839"/>
    <w:rsid w:val="00F07877"/>
    <w:rsid w:val="00F47561"/>
    <w:rsid w:val="00F66C0E"/>
    <w:rsid w:val="00F86C93"/>
    <w:rsid w:val="00FA02DA"/>
    <w:rsid w:val="00FA12BC"/>
    <w:rsid w:val="00FC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C881"/>
  <w15:docId w15:val="{3DA7DC05-23C8-4072-B436-54318FEF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BodyText">
    <w:name w:val="Body Text"/>
    <w:basedOn w:val="Normal"/>
    <w:link w:val="BodyTextChar"/>
    <w:semiHidden/>
    <w:rsid w:val="00212FCB"/>
    <w:pPr>
      <w:widowControl w:val="0"/>
      <w:spacing w:after="120"/>
      <w:textAlignment w:val="baseline"/>
    </w:pPr>
  </w:style>
  <w:style w:type="character" w:customStyle="1" w:styleId="BodyTextChar">
    <w:name w:val="Body Text Char"/>
    <w:basedOn w:val="DefaultParagraphFont"/>
    <w:link w:val="BodyText"/>
    <w:semiHidden/>
    <w:rsid w:val="00212FCB"/>
    <w:rPr>
      <w:rFonts w:eastAsia="Times New Roman"/>
      <w:sz w:val="24"/>
    </w:rPr>
  </w:style>
  <w:style w:type="paragraph" w:styleId="ListParagraph">
    <w:name w:val="List Paragraph"/>
    <w:basedOn w:val="Normal"/>
    <w:qFormat/>
    <w:rsid w:val="00212FCB"/>
    <w:pPr>
      <w:ind w:left="720"/>
      <w:contextualSpacing/>
    </w:pPr>
  </w:style>
  <w:style w:type="character" w:styleId="PageNumber">
    <w:name w:val="page number"/>
    <w:semiHidden/>
    <w:rsid w:val="00212FCB"/>
    <w:rPr>
      <w:rFonts w:ascii="Times New Roman" w:hAnsi="Times New Roman" w:cs="Times New Roman"/>
    </w:rPr>
  </w:style>
  <w:style w:type="table" w:styleId="TableGrid">
    <w:name w:val="Table Grid"/>
    <w:basedOn w:val="TableNormal"/>
    <w:uiPriority w:val="59"/>
    <w:rsid w:val="00212F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F612B"/>
    <w:rPr>
      <w:rFonts w:eastAsia="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qFormat/>
    <w:rsid w:val="003347C3"/>
    <w:pPr>
      <w:overflowPunct/>
      <w:autoSpaceDE/>
      <w:autoSpaceDN/>
      <w:adjustRightInd/>
    </w:pPr>
    <w:rPr>
      <w:color w:val="000000"/>
      <w:szCs w:val="24"/>
    </w:rPr>
  </w:style>
  <w:style w:type="character" w:styleId="FollowedHyperlink">
    <w:name w:val="FollowedHyperlink"/>
    <w:basedOn w:val="DefaultParagraphFont"/>
    <w:uiPriority w:val="99"/>
    <w:semiHidden/>
    <w:unhideWhenUsed/>
    <w:rsid w:val="00226B7A"/>
    <w:rPr>
      <w:color w:val="800080" w:themeColor="followedHyperlink"/>
      <w:u w:val="single"/>
    </w:rPr>
  </w:style>
  <w:style w:type="character" w:styleId="UnresolvedMention">
    <w:name w:val="Unresolved Mention"/>
    <w:basedOn w:val="DefaultParagraphFont"/>
    <w:uiPriority w:val="99"/>
    <w:semiHidden/>
    <w:unhideWhenUsed/>
    <w:rsid w:val="00BD1D1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C0056"/>
    <w:rPr>
      <w:b/>
      <w:bCs/>
      <w:sz w:val="20"/>
    </w:rPr>
  </w:style>
  <w:style w:type="character" w:customStyle="1" w:styleId="CommentTextChar1">
    <w:name w:val="Comment Text Char1"/>
    <w:basedOn w:val="DefaultParagraphFont"/>
    <w:link w:val="CommentText"/>
    <w:semiHidden/>
    <w:rsid w:val="008C0056"/>
    <w:rPr>
      <w:rFonts w:eastAsia="Times New Roman"/>
      <w:sz w:val="24"/>
    </w:rPr>
  </w:style>
  <w:style w:type="character" w:customStyle="1" w:styleId="CommentSubjectChar">
    <w:name w:val="Comment Subject Char"/>
    <w:basedOn w:val="CommentTextChar1"/>
    <w:link w:val="CommentSubject"/>
    <w:uiPriority w:val="99"/>
    <w:semiHidden/>
    <w:rsid w:val="008C0056"/>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7544">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06703888">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18" Type="http://schemas.openxmlformats.org/officeDocument/2006/relationships/hyperlink" Target="https://vaww.vrm.km.va.gov/system/templates/selfservice/va_kanew/help/agent/locale/en-US/portal/554400000001034/content/554400000036530/M21-1-Part-III-Subpart-iii-Chapter-1-Section-D-Requesting-Evidence-From-Private-Healthcare-Providers-PHPs" TargetMode="External"/><Relationship Id="rId26" Type="http://schemas.openxmlformats.org/officeDocument/2006/relationships/hyperlink" Target="http://vbaw.vba.va.gov/bl/21/contractexams/docs/Exam%20Liaison%20Directory.xlsx" TargetMode="External"/><Relationship Id="rId3" Type="http://schemas.openxmlformats.org/officeDocument/2006/relationships/customXml" Target="../customXml/item3.xml"/><Relationship Id="rId21" Type="http://schemas.openxmlformats.org/officeDocument/2006/relationships/hyperlink" Target="http://vbacoweb02.vba.va.gov/bl/21/DEMO/ZIP/default.as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17" Type="http://schemas.openxmlformats.org/officeDocument/2006/relationships/hyperlink" Target="https://vaww.vrm.km.va.gov/system/templates/selfservice/va_kanew/help/agent/locale/en-US/portal/554400000001034/topic/554400000003086/Chapter-02-Developing-for-Service-Records" TargetMode="External"/><Relationship Id="rId25" Type="http://schemas.openxmlformats.org/officeDocument/2006/relationships/hyperlink" Target="https://vbaw.vba.va.gov/bl/21/contractexams/exam_hom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w.cornell.edu/uscode/text/32" TargetMode="External"/><Relationship Id="rId20"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baw.vba.va.gov/bl/21/contractexams/docs/Reviewing%20the%20Contentions%20List%20Screen%20in%20VBMS.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aw.cornell.edu/uscode/text/10" TargetMode="External"/><Relationship Id="rId23" Type="http://schemas.openxmlformats.org/officeDocument/2006/relationships/hyperlink" Target="https://vbaw.vba.va.gov/VBMS/docs/VBMSCoreUserGuide-Release_14_1.pdf"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topic/554400000003124/Chapter-01-Developmen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RO317-839076992-14896</_dlc_DocId>
    <_dlc_DocIdUrl xmlns="b62c6c12-24c5-4d47-ac4d-c5cc93bcdf7b">
      <Url>https://vaww.vashare.vba.va.gov/sites/SPTNCIO/focusedveterans/training/VSRvirtualtraining/_layouts/15/DocIdRedir.aspx?ID=RO317-839076992-14896</Url>
      <Description>RO317-839076992-14896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8D583F1-1896-494A-A214-36E72E1BB4D3}">
  <ds:schemaRefs>
    <ds:schemaRef ds:uri="http://schemas.microsoft.com/sharepoint/events"/>
  </ds:schemaRefs>
</ds:datastoreItem>
</file>

<file path=customXml/itemProps4.xml><?xml version="1.0" encoding="utf-8"?>
<ds:datastoreItem xmlns:ds="http://schemas.openxmlformats.org/officeDocument/2006/customXml" ds:itemID="{FD766AED-6B97-42D8-B6B5-A0BA2102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ABC53E-85E2-4050-9878-82A2D18B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30</TotalTime>
  <Pages>13</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Pre-Discharge BDD Claim Development Handout</vt:lpstr>
    </vt:vector>
  </TitlesOfParts>
  <Company>Veterans Benefits Administration</Company>
  <LinksUpToDate>false</LinksUpToDate>
  <CharactersWithSpaces>19993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Pre-Discharge BDD Claim Development Handout</dc:title>
  <dc:subject>VSR, Pre-Discharge MSC, MSC</dc:subject>
  <dc:creator>Department of Veterans Affairs, Veterans Benefits Administration, Compensation Service, STAFF</dc:creator>
  <dc:description>This lesson provides employees with information on how to develop Pre-discharge claims. This lesson includes discussions and exercises that provide employees with the tools to successfully develop a BDD and BDD-Excluded claims.</dc:description>
  <cp:lastModifiedBy>Kathy Poole</cp:lastModifiedBy>
  <cp:revision>5</cp:revision>
  <dcterms:created xsi:type="dcterms:W3CDTF">2019-09-11T12:52:00Z</dcterms:created>
  <dcterms:modified xsi:type="dcterms:W3CDTF">2019-09-23T16:48:00Z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54e0f212-a386-44c2-a120-07481ed43fd7</vt:lpwstr>
  </property>
  <property fmtid="{D5CDD505-2E9C-101B-9397-08002B2CF9AE}" pid="4" name="Language">
    <vt:lpwstr>en</vt:lpwstr>
  </property>
  <property fmtid="{D5CDD505-2E9C-101B-9397-08002B2CF9AE}" pid="5" name="Type">
    <vt:lpwstr>Guide</vt:lpwstr>
  </property>
</Properties>
</file>