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79F" w:rsidRDefault="00954748" w:rsidP="003E33FE">
      <w:pPr>
        <w:pStyle w:val="VBAILTCoverService"/>
        <w:spacing w:after="960"/>
      </w:pPr>
      <w:r>
        <w:t xml:space="preserve">Education </w:t>
      </w:r>
      <w:r w:rsidR="00C8779F">
        <w:t>Service</w:t>
      </w:r>
    </w:p>
    <w:p w:rsidR="00C214A9" w:rsidRPr="005248DE" w:rsidRDefault="005248DE" w:rsidP="003E33FE">
      <w:pPr>
        <w:pStyle w:val="VBAILTCoverLessonTitle"/>
        <w:spacing w:before="1680" w:after="0"/>
      </w:pPr>
      <w:r w:rsidRPr="005248DE">
        <w:t>Handling Debt Collection Codes When Accepting Mitigating Circumstances</w:t>
      </w:r>
    </w:p>
    <w:p w:rsidR="003E33FE" w:rsidRPr="003E33FE" w:rsidRDefault="00531B78" w:rsidP="005248DE">
      <w:pPr>
        <w:pStyle w:val="VBAILTCoverdoctypecourse"/>
        <w:spacing w:after="1920"/>
        <w:rPr>
          <w:noProof/>
          <w:sz w:val="6"/>
        </w:rPr>
      </w:pPr>
      <w:r>
        <w:t>Training Update</w:t>
      </w:r>
      <w:r w:rsidR="00954748">
        <w:t xml:space="preserve"> </w:t>
      </w:r>
    </w:p>
    <w:p w:rsidR="00C30F06" w:rsidRPr="00C214A9" w:rsidRDefault="003E33FE" w:rsidP="003E33FE">
      <w:pPr>
        <w:pStyle w:val="VBAILTCoverdoctypecourse"/>
        <w:spacing w:after="960"/>
        <w:jc w:val="right"/>
      </w:pPr>
      <w:r>
        <w:rPr>
          <w:noProof/>
        </w:rPr>
        <w:drawing>
          <wp:inline distT="0" distB="0" distL="0" distR="0" wp14:anchorId="1F8B2889" wp14:editId="2E5B2A81">
            <wp:extent cx="2381693" cy="85614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3343" cy="856733"/>
                    </a:xfrm>
                    <a:prstGeom prst="rect">
                      <a:avLst/>
                    </a:prstGeom>
                    <a:noFill/>
                  </pic:spPr>
                </pic:pic>
              </a:graphicData>
            </a:graphic>
          </wp:inline>
        </w:drawing>
      </w:r>
    </w:p>
    <w:p w:rsidR="001D2E6A" w:rsidRDefault="00F43E52" w:rsidP="003E33FE">
      <w:pPr>
        <w:pStyle w:val="VBAILTCoverMisc"/>
      </w:pPr>
      <w:r>
        <w:t>August</w:t>
      </w:r>
      <w:r w:rsidR="000B2B26">
        <w:t xml:space="preserve"> 2017</w:t>
      </w:r>
      <w:r w:rsidR="00C30F06">
        <w:t xml:space="preserve"> </w:t>
      </w:r>
    </w:p>
    <w:p w:rsidR="00C30F06" w:rsidRDefault="00C30F06" w:rsidP="003E33FE">
      <w:pPr>
        <w:pStyle w:val="VBAILTCoverMisc"/>
        <w:rPr>
          <w:sz w:val="72"/>
          <w:szCs w:val="72"/>
        </w:rPr>
      </w:pPr>
      <w:r>
        <w:t xml:space="preserve">Version </w:t>
      </w:r>
      <w:r w:rsidR="000B2B26">
        <w:t>1</w:t>
      </w:r>
      <w:r w:rsidR="00986823">
        <w:t>.</w:t>
      </w:r>
      <w:r w:rsidR="000B2B26">
        <w:t>0</w:t>
      </w:r>
      <w:r>
        <w:br w:type="page"/>
      </w:r>
    </w:p>
    <w:tbl>
      <w:tblPr>
        <w:tblStyle w:val="TableGrid"/>
        <w:tblW w:w="9360" w:type="dxa"/>
        <w:tblInd w:w="108" w:type="dxa"/>
        <w:tblLook w:val="0620" w:firstRow="1" w:lastRow="0" w:firstColumn="0" w:lastColumn="0" w:noHBand="1" w:noVBand="1"/>
        <w:tblCaption w:val="Lesson overview table specifying the characteristics of the lesson"/>
      </w:tblPr>
      <w:tblGrid>
        <w:gridCol w:w="1908"/>
        <w:gridCol w:w="7452"/>
      </w:tblGrid>
      <w:tr w:rsidR="003B118F" w:rsidTr="00826390">
        <w:trPr>
          <w:cantSplit/>
          <w:tblHeader/>
        </w:trPr>
        <w:tc>
          <w:tcPr>
            <w:tcW w:w="1908" w:type="dxa"/>
            <w:shd w:val="clear" w:color="auto" w:fill="BDD6EE" w:themeFill="accent1" w:themeFillTint="66"/>
          </w:tcPr>
          <w:p w:rsidR="003B118F" w:rsidRDefault="003B118F" w:rsidP="003B118F">
            <w:pPr>
              <w:pStyle w:val="VBAILTTableHeading1"/>
            </w:pPr>
            <w:r>
              <w:lastRenderedPageBreak/>
              <w:t>Topic</w:t>
            </w:r>
          </w:p>
        </w:tc>
        <w:tc>
          <w:tcPr>
            <w:tcW w:w="7452" w:type="dxa"/>
            <w:shd w:val="clear" w:color="auto" w:fill="BDD6EE" w:themeFill="accent1" w:themeFillTint="66"/>
          </w:tcPr>
          <w:p w:rsidR="003B118F" w:rsidRDefault="003B118F" w:rsidP="003B118F">
            <w:pPr>
              <w:pStyle w:val="VBAILTTableHeading1"/>
            </w:pPr>
            <w:r>
              <w:t>Description</w:t>
            </w:r>
          </w:p>
        </w:tc>
      </w:tr>
      <w:tr w:rsidR="00267BA2" w:rsidTr="00826390">
        <w:trPr>
          <w:cantSplit/>
        </w:trPr>
        <w:tc>
          <w:tcPr>
            <w:tcW w:w="1908" w:type="dxa"/>
          </w:tcPr>
          <w:p w:rsidR="00267BA2" w:rsidRDefault="00267BA2" w:rsidP="00987F02">
            <w:pPr>
              <w:pStyle w:val="VBAILTBody"/>
            </w:pPr>
            <w:r>
              <w:t>Time Estimate</w:t>
            </w:r>
            <w:r w:rsidR="00077BE7">
              <w:t>:</w:t>
            </w:r>
          </w:p>
        </w:tc>
        <w:tc>
          <w:tcPr>
            <w:tcW w:w="7452" w:type="dxa"/>
          </w:tcPr>
          <w:p w:rsidR="00267BA2" w:rsidRDefault="000B2B26" w:rsidP="00987F02">
            <w:pPr>
              <w:pStyle w:val="VBAILTBody"/>
            </w:pPr>
            <w:r>
              <w:t>30 minutes</w:t>
            </w:r>
          </w:p>
        </w:tc>
      </w:tr>
      <w:tr w:rsidR="002D1DCE" w:rsidTr="00826390">
        <w:trPr>
          <w:cantSplit/>
        </w:trPr>
        <w:tc>
          <w:tcPr>
            <w:tcW w:w="1908" w:type="dxa"/>
          </w:tcPr>
          <w:p w:rsidR="002D1DCE" w:rsidRDefault="00267BA2" w:rsidP="001262F7">
            <w:pPr>
              <w:pStyle w:val="VBAILTBody"/>
            </w:pPr>
            <w:r>
              <w:t>Purpose of the Lesson:</w:t>
            </w:r>
          </w:p>
        </w:tc>
        <w:tc>
          <w:tcPr>
            <w:tcW w:w="7452" w:type="dxa"/>
          </w:tcPr>
          <w:p w:rsidR="002D1DCE" w:rsidRDefault="005248DE" w:rsidP="001262F7">
            <w:pPr>
              <w:pStyle w:val="VBAILTBody"/>
            </w:pPr>
            <w:bookmarkStart w:id="0" w:name="_GoBack"/>
            <w:r w:rsidRPr="000B2B26">
              <w:rPr>
                <w:rFonts w:eastAsia="Times New Roman" w:cs="Arial"/>
                <w:szCs w:val="24"/>
              </w:rPr>
              <w:t>Provides guidance to the Regional Processing Offices</w:t>
            </w:r>
            <w:r w:rsidRPr="000B2B26">
              <w:rPr>
                <w:rFonts w:eastAsia="Times New Roman" w:cs="Arial"/>
                <w:spacing w:val="73"/>
                <w:szCs w:val="24"/>
              </w:rPr>
              <w:t xml:space="preserve"> </w:t>
            </w:r>
            <w:r w:rsidRPr="000B2B26">
              <w:rPr>
                <w:rFonts w:eastAsia="Times New Roman" w:cs="Arial"/>
                <w:szCs w:val="24"/>
              </w:rPr>
              <w:t>(RPOs) to ensure consistent procedures are in place for the proper handling of debt collection code indicators when processing claims involving the acceptance of mitigating circumstances.</w:t>
            </w:r>
            <w:bookmarkEnd w:id="0"/>
          </w:p>
        </w:tc>
      </w:tr>
      <w:tr w:rsidR="002D1DCE" w:rsidTr="00826390">
        <w:trPr>
          <w:cantSplit/>
        </w:trPr>
        <w:tc>
          <w:tcPr>
            <w:tcW w:w="1908" w:type="dxa"/>
          </w:tcPr>
          <w:p w:rsidR="002D1DCE" w:rsidRDefault="001262F7" w:rsidP="001262F7">
            <w:pPr>
              <w:pStyle w:val="VBAILTBody"/>
            </w:pPr>
            <w:r>
              <w:t>Prerequisite Training Requirements:</w:t>
            </w:r>
          </w:p>
        </w:tc>
        <w:tc>
          <w:tcPr>
            <w:tcW w:w="7452" w:type="dxa"/>
          </w:tcPr>
          <w:p w:rsidR="002D1DCE" w:rsidRDefault="005248DE" w:rsidP="00954748">
            <w:pPr>
              <w:pStyle w:val="VBAILTBody"/>
            </w:pPr>
            <w:r>
              <w:t>None</w:t>
            </w:r>
          </w:p>
        </w:tc>
      </w:tr>
      <w:tr w:rsidR="001262F7" w:rsidTr="00826390">
        <w:trPr>
          <w:cantSplit/>
        </w:trPr>
        <w:tc>
          <w:tcPr>
            <w:tcW w:w="1908" w:type="dxa"/>
          </w:tcPr>
          <w:p w:rsidR="001262F7" w:rsidRDefault="001262F7" w:rsidP="001262F7">
            <w:pPr>
              <w:pStyle w:val="VBAILTBody"/>
            </w:pPr>
            <w:r>
              <w:t>Target Audience:</w:t>
            </w:r>
          </w:p>
        </w:tc>
        <w:tc>
          <w:tcPr>
            <w:tcW w:w="7452" w:type="dxa"/>
          </w:tcPr>
          <w:p w:rsidR="001262F7" w:rsidRDefault="005248DE" w:rsidP="005248DE">
            <w:pPr>
              <w:pStyle w:val="VBAILTBody"/>
            </w:pPr>
            <w:r>
              <w:t>Entry-level, intermediate, or journey-level Veterans Claims Examiners (VCE), Education Case Managers (ECM) and their supervisors.</w:t>
            </w:r>
          </w:p>
        </w:tc>
      </w:tr>
      <w:tr w:rsidR="002D1DCE" w:rsidTr="00826390">
        <w:trPr>
          <w:cantSplit/>
        </w:trPr>
        <w:tc>
          <w:tcPr>
            <w:tcW w:w="1908" w:type="dxa"/>
          </w:tcPr>
          <w:p w:rsidR="002D1DCE" w:rsidRDefault="00077BE7" w:rsidP="001262F7">
            <w:pPr>
              <w:pStyle w:val="VBAILTBody"/>
            </w:pPr>
            <w:r>
              <w:t>Lesson References:</w:t>
            </w:r>
          </w:p>
        </w:tc>
        <w:tc>
          <w:tcPr>
            <w:tcW w:w="7452" w:type="dxa"/>
          </w:tcPr>
          <w:p w:rsidR="001262F7" w:rsidRDefault="007D12FD" w:rsidP="001262F7">
            <w:pPr>
              <w:pStyle w:val="VBAILTbullet1"/>
            </w:pPr>
            <w:hyperlink r:id="rId13" w:history="1">
              <w:r w:rsidR="000B2B26" w:rsidRPr="000B2B26">
                <w:rPr>
                  <w:rStyle w:val="Hyperlink"/>
                </w:rPr>
                <w:t>M22-4, Part IV, Chapter 11</w:t>
              </w:r>
            </w:hyperlink>
          </w:p>
        </w:tc>
      </w:tr>
      <w:tr w:rsidR="002D1DCE" w:rsidTr="00826390">
        <w:trPr>
          <w:cantSplit/>
        </w:trPr>
        <w:tc>
          <w:tcPr>
            <w:tcW w:w="1908" w:type="dxa"/>
          </w:tcPr>
          <w:p w:rsidR="002D1DCE" w:rsidRDefault="001262F7" w:rsidP="001262F7">
            <w:pPr>
              <w:pStyle w:val="VBAILTBody"/>
            </w:pPr>
            <w:r>
              <w:t>Lesson Objectives:</w:t>
            </w:r>
          </w:p>
        </w:tc>
        <w:tc>
          <w:tcPr>
            <w:tcW w:w="7452" w:type="dxa"/>
          </w:tcPr>
          <w:p w:rsidR="001262F7" w:rsidRPr="00A95D29" w:rsidRDefault="00B80AEA" w:rsidP="00A95D29">
            <w:pPr>
              <w:pStyle w:val="VBAILTbullet1"/>
            </w:pPr>
            <w:r>
              <w:rPr>
                <w:rFonts w:eastAsia="Times New Roman" w:cs="Arial"/>
                <w:szCs w:val="24"/>
              </w:rPr>
              <w:t xml:space="preserve">Identify </w:t>
            </w:r>
            <w:r w:rsidR="000B2B26" w:rsidRPr="000B2B26">
              <w:rPr>
                <w:rFonts w:eastAsia="Times New Roman" w:cs="Arial"/>
                <w:szCs w:val="24"/>
              </w:rPr>
              <w:t>the proper handling of debt collection code indicators when processing claims involving the acceptance of</w:t>
            </w:r>
            <w:r w:rsidR="00A95D29">
              <w:rPr>
                <w:rFonts w:eastAsia="Times New Roman" w:cs="Arial"/>
                <w:szCs w:val="24"/>
              </w:rPr>
              <w:t xml:space="preserve"> mitigating circumstances</w:t>
            </w:r>
          </w:p>
          <w:p w:rsidR="00A95D29" w:rsidRPr="000B2B26" w:rsidRDefault="00A95D29" w:rsidP="00B80AEA">
            <w:pPr>
              <w:pStyle w:val="VBAILTbullet1"/>
            </w:pPr>
            <w:r>
              <w:rPr>
                <w:rFonts w:eastAsia="Times New Roman" w:cs="Arial"/>
                <w:szCs w:val="24"/>
              </w:rPr>
              <w:t>I</w:t>
            </w:r>
            <w:r w:rsidR="00B80AEA">
              <w:rPr>
                <w:rFonts w:eastAsia="Times New Roman" w:cs="Arial"/>
                <w:szCs w:val="24"/>
              </w:rPr>
              <w:t xml:space="preserve">dentify RPOs </w:t>
            </w:r>
            <w:r>
              <w:rPr>
                <w:rFonts w:eastAsia="Times New Roman" w:cs="Arial"/>
                <w:szCs w:val="24"/>
              </w:rPr>
              <w:t xml:space="preserve">instructions for referring certain claims to DMC and of tracking requirements </w:t>
            </w:r>
          </w:p>
        </w:tc>
      </w:tr>
      <w:tr w:rsidR="00267BA2" w:rsidTr="00826390">
        <w:trPr>
          <w:cantSplit/>
        </w:trPr>
        <w:tc>
          <w:tcPr>
            <w:tcW w:w="1908" w:type="dxa"/>
          </w:tcPr>
          <w:p w:rsidR="00267BA2" w:rsidRDefault="00267BA2" w:rsidP="001262F7">
            <w:pPr>
              <w:pStyle w:val="VBAILTBody"/>
            </w:pPr>
            <w:r>
              <w:t>What You Need:</w:t>
            </w:r>
          </w:p>
        </w:tc>
        <w:tc>
          <w:tcPr>
            <w:tcW w:w="7452" w:type="dxa"/>
          </w:tcPr>
          <w:p w:rsidR="00077BE7" w:rsidRDefault="00A95D29" w:rsidP="00A95D29">
            <w:pPr>
              <w:pStyle w:val="VBAILTBody"/>
            </w:pPr>
            <w:r>
              <w:t>Handouts of the Training Update</w:t>
            </w:r>
          </w:p>
        </w:tc>
      </w:tr>
      <w:tr w:rsidR="00EC11FB" w:rsidTr="00826390">
        <w:trPr>
          <w:cantSplit/>
        </w:trPr>
        <w:tc>
          <w:tcPr>
            <w:tcW w:w="1908" w:type="dxa"/>
          </w:tcPr>
          <w:p w:rsidR="00EC11FB" w:rsidRDefault="00EC11FB" w:rsidP="001262F7">
            <w:pPr>
              <w:pStyle w:val="VBAILTBody"/>
            </w:pPr>
            <w:r>
              <w:t>Post Training Requirements:</w:t>
            </w:r>
          </w:p>
        </w:tc>
        <w:tc>
          <w:tcPr>
            <w:tcW w:w="7452" w:type="dxa"/>
          </w:tcPr>
          <w:p w:rsidR="00EC11FB" w:rsidRDefault="00EC11FB" w:rsidP="00EC11FB">
            <w:pPr>
              <w:pStyle w:val="QSTBody"/>
              <w:jc w:val="left"/>
              <w:rPr>
                <w:bCs/>
              </w:rPr>
            </w:pPr>
            <w:r>
              <w:rPr>
                <w:bCs/>
              </w:rPr>
              <w:t xml:space="preserve">Upon </w:t>
            </w:r>
            <w:r w:rsidR="00A95D29">
              <w:rPr>
                <w:bCs/>
              </w:rPr>
              <w:t>reviewing the included Training Update</w:t>
            </w:r>
            <w:r>
              <w:rPr>
                <w:bCs/>
              </w:rPr>
              <w:t xml:space="preserve">, participants are required to complete an online lesson assessment and survey in Talent Management System (TMS). </w:t>
            </w:r>
          </w:p>
          <w:p w:rsidR="00EC11FB" w:rsidRDefault="00EC11FB" w:rsidP="00EC11FB">
            <w:pPr>
              <w:pStyle w:val="QSTBody"/>
              <w:jc w:val="left"/>
              <w:rPr>
                <w:bCs/>
              </w:rPr>
            </w:pPr>
            <w:r>
              <w:rPr>
                <w:bCs/>
              </w:rPr>
              <w:t xml:space="preserve">To demonstrate successful completion of the lesson participants must pass the assessment with a score of </w:t>
            </w:r>
            <w:r w:rsidR="005248DE">
              <w:rPr>
                <w:bCs/>
              </w:rPr>
              <w:t>100</w:t>
            </w:r>
            <w:r>
              <w:rPr>
                <w:bCs/>
              </w:rPr>
              <w:t>%.</w:t>
            </w:r>
          </w:p>
          <w:p w:rsidR="00EC11FB" w:rsidRDefault="00EC11FB" w:rsidP="00EC11FB">
            <w:pPr>
              <w:pStyle w:val="VBAILTBody"/>
            </w:pPr>
            <w:r>
              <w:rPr>
                <w:bCs/>
              </w:rPr>
              <w:t>Participants must also complete the online survey to earn credit for completion of the lesson.</w:t>
            </w:r>
          </w:p>
        </w:tc>
      </w:tr>
    </w:tbl>
    <w:p w:rsidR="00900BF7" w:rsidRDefault="00900BF7" w:rsidP="00900BF7">
      <w:pPr>
        <w:rPr>
          <w:rFonts w:ascii="Arial" w:hAnsi="Arial" w:cs="Arial"/>
          <w:b/>
          <w:sz w:val="24"/>
        </w:rPr>
      </w:pPr>
    </w:p>
    <w:p w:rsidR="00900BF7" w:rsidRDefault="00900BF7" w:rsidP="00900BF7">
      <w:pPr>
        <w:rPr>
          <w:rFonts w:ascii="Arial" w:hAnsi="Arial" w:cs="Arial"/>
          <w:b/>
          <w:sz w:val="24"/>
        </w:rPr>
      </w:pPr>
    </w:p>
    <w:p w:rsidR="00A95D29" w:rsidRDefault="00A95D29" w:rsidP="00900BF7">
      <w:pPr>
        <w:rPr>
          <w:rFonts w:ascii="Arial" w:hAnsi="Arial" w:cs="Arial"/>
          <w:b/>
          <w:sz w:val="24"/>
        </w:rPr>
      </w:pPr>
    </w:p>
    <w:p w:rsidR="00A95D29" w:rsidRDefault="00A95D29" w:rsidP="00900BF7">
      <w:pPr>
        <w:rPr>
          <w:rFonts w:ascii="Arial" w:hAnsi="Arial" w:cs="Arial"/>
          <w:b/>
          <w:sz w:val="24"/>
        </w:rPr>
      </w:pPr>
    </w:p>
    <w:p w:rsidR="00A95D29" w:rsidRDefault="00A95D29" w:rsidP="00900BF7">
      <w:pPr>
        <w:rPr>
          <w:rFonts w:ascii="Arial" w:hAnsi="Arial" w:cs="Arial"/>
          <w:b/>
          <w:sz w:val="24"/>
        </w:rPr>
      </w:pPr>
    </w:p>
    <w:p w:rsidR="00900BF7" w:rsidRPr="00817F19" w:rsidRDefault="00900BF7" w:rsidP="00900BF7">
      <w:pPr>
        <w:rPr>
          <w:rFonts w:ascii="Arial" w:hAnsi="Arial" w:cs="Arial"/>
          <w:b/>
          <w:sz w:val="24"/>
        </w:rPr>
      </w:pPr>
      <w:r>
        <w:rPr>
          <w:rFonts w:ascii="Arial" w:hAnsi="Arial" w:cs="Arial"/>
          <w:b/>
          <w:sz w:val="24"/>
        </w:rPr>
        <w:t>Training Update</w:t>
      </w:r>
      <w:r w:rsidRPr="00817F19">
        <w:rPr>
          <w:rFonts w:ascii="Arial" w:hAnsi="Arial" w:cs="Arial"/>
          <w:b/>
          <w:sz w:val="24"/>
        </w:rPr>
        <w:t>: Handling Debt Collection Codes When Accepting Mitigating Circumstances</w:t>
      </w:r>
    </w:p>
    <w:p w:rsidR="00900BF7" w:rsidRPr="00817F19" w:rsidRDefault="00900BF7" w:rsidP="00900BF7">
      <w:pPr>
        <w:rPr>
          <w:rFonts w:ascii="Arial" w:hAnsi="Arial" w:cs="Arial"/>
          <w:sz w:val="24"/>
        </w:rPr>
      </w:pPr>
    </w:p>
    <w:p w:rsidR="000E2021" w:rsidRPr="000E2021" w:rsidRDefault="00900BF7" w:rsidP="000E2021">
      <w:pPr>
        <w:ind w:right="407"/>
        <w:rPr>
          <w:rFonts w:ascii="Arial" w:eastAsia="Times New Roman" w:hAnsi="Arial" w:cs="Arial"/>
          <w:sz w:val="24"/>
          <w:szCs w:val="24"/>
        </w:rPr>
      </w:pPr>
      <w:r w:rsidRPr="00817F19">
        <w:rPr>
          <w:rFonts w:ascii="Arial" w:eastAsia="Times New Roman" w:hAnsi="Arial" w:cs="Arial"/>
          <w:b/>
          <w:bCs/>
          <w:sz w:val="24"/>
          <w:szCs w:val="24"/>
        </w:rPr>
        <w:t>Purpose:</w:t>
      </w:r>
      <w:r w:rsidRPr="00817F19">
        <w:rPr>
          <w:rFonts w:ascii="Arial" w:eastAsia="Times New Roman" w:hAnsi="Arial" w:cs="Arial"/>
          <w:b/>
          <w:bCs/>
          <w:spacing w:val="2"/>
          <w:sz w:val="24"/>
          <w:szCs w:val="24"/>
        </w:rPr>
        <w:t xml:space="preserve"> </w:t>
      </w:r>
      <w:r w:rsidRPr="00817F19">
        <w:rPr>
          <w:rFonts w:ascii="Arial" w:eastAsia="Times New Roman" w:hAnsi="Arial" w:cs="Arial"/>
          <w:sz w:val="24"/>
          <w:szCs w:val="24"/>
        </w:rPr>
        <w:t xml:space="preserve">The Debt Management Center (DMC) has notified Education Service of inconsistent handling of debt collection code indicators which results in a duplication of payment. This </w:t>
      </w:r>
      <w:r w:rsidR="000B2B26">
        <w:rPr>
          <w:rFonts w:ascii="Arial" w:eastAsia="Times New Roman" w:hAnsi="Arial" w:cs="Arial"/>
          <w:sz w:val="24"/>
          <w:szCs w:val="24"/>
        </w:rPr>
        <w:t>training update</w:t>
      </w:r>
      <w:r w:rsidRPr="00817F19">
        <w:rPr>
          <w:rFonts w:ascii="Arial" w:eastAsia="Times New Roman" w:hAnsi="Arial" w:cs="Arial"/>
          <w:sz w:val="24"/>
          <w:szCs w:val="24"/>
        </w:rPr>
        <w:t xml:space="preserve"> provides guidance to the Regional Processing Offices</w:t>
      </w:r>
      <w:r w:rsidRPr="00817F19">
        <w:rPr>
          <w:rFonts w:ascii="Arial" w:eastAsia="Times New Roman" w:hAnsi="Arial" w:cs="Arial"/>
          <w:spacing w:val="73"/>
          <w:sz w:val="24"/>
          <w:szCs w:val="24"/>
        </w:rPr>
        <w:t xml:space="preserve"> </w:t>
      </w:r>
      <w:r w:rsidRPr="00817F19">
        <w:rPr>
          <w:rFonts w:ascii="Arial" w:eastAsia="Times New Roman" w:hAnsi="Arial" w:cs="Arial"/>
          <w:sz w:val="24"/>
          <w:szCs w:val="24"/>
        </w:rPr>
        <w:t>(RPOs) to ensure consistent procedures are in place for the proper handling of debt collection code indicator</w:t>
      </w:r>
      <w:r w:rsidR="000E2021">
        <w:rPr>
          <w:rFonts w:ascii="Arial" w:eastAsia="Times New Roman" w:hAnsi="Arial" w:cs="Arial"/>
          <w:sz w:val="24"/>
          <w:szCs w:val="24"/>
        </w:rPr>
        <w:t>s</w:t>
      </w:r>
      <w:r w:rsidRPr="00817F19">
        <w:rPr>
          <w:rFonts w:ascii="Arial" w:eastAsia="Times New Roman" w:hAnsi="Arial" w:cs="Arial"/>
          <w:sz w:val="24"/>
          <w:szCs w:val="24"/>
        </w:rPr>
        <w:t xml:space="preserve"> when processing claims </w:t>
      </w:r>
      <w:r w:rsidR="000E2021">
        <w:rPr>
          <w:rFonts w:ascii="Arial" w:eastAsia="Times New Roman" w:hAnsi="Arial" w:cs="Arial"/>
          <w:sz w:val="24"/>
          <w:szCs w:val="24"/>
        </w:rPr>
        <w:t>involving the</w:t>
      </w:r>
      <w:r w:rsidRPr="00817F19">
        <w:rPr>
          <w:rFonts w:ascii="Arial" w:eastAsia="Times New Roman" w:hAnsi="Arial" w:cs="Arial"/>
          <w:sz w:val="24"/>
          <w:szCs w:val="24"/>
        </w:rPr>
        <w:t xml:space="preserve"> acc</w:t>
      </w:r>
      <w:r w:rsidR="000E2021">
        <w:rPr>
          <w:rFonts w:ascii="Arial" w:eastAsia="Times New Roman" w:hAnsi="Arial" w:cs="Arial"/>
          <w:sz w:val="24"/>
          <w:szCs w:val="24"/>
        </w:rPr>
        <w:t>eptance of</w:t>
      </w:r>
      <w:r w:rsidRPr="00817F19">
        <w:rPr>
          <w:rFonts w:ascii="Arial" w:eastAsia="Times New Roman" w:hAnsi="Arial" w:cs="Arial"/>
          <w:sz w:val="24"/>
          <w:szCs w:val="24"/>
        </w:rPr>
        <w:t xml:space="preserve"> mitigating circumstances.</w:t>
      </w:r>
    </w:p>
    <w:p w:rsidR="000E2021" w:rsidRDefault="00900BF7" w:rsidP="00900BF7">
      <w:pPr>
        <w:spacing w:line="276" w:lineRule="atLeast"/>
        <w:ind w:right="153"/>
        <w:rPr>
          <w:rFonts w:ascii="Arial" w:eastAsia="Times New Roman" w:hAnsi="Arial" w:cs="Arial"/>
          <w:sz w:val="24"/>
          <w:szCs w:val="24"/>
        </w:rPr>
      </w:pPr>
      <w:r w:rsidRPr="00817F19">
        <w:rPr>
          <w:rFonts w:ascii="Arial" w:eastAsia="Times New Roman" w:hAnsi="Arial" w:cs="Arial"/>
          <w:b/>
          <w:bCs/>
          <w:sz w:val="24"/>
          <w:szCs w:val="24"/>
        </w:rPr>
        <w:t>Background: </w:t>
      </w:r>
      <w:r w:rsidRPr="00817F19">
        <w:rPr>
          <w:rFonts w:ascii="Arial" w:eastAsia="Times New Roman" w:hAnsi="Arial" w:cs="Arial"/>
          <w:bCs/>
          <w:sz w:val="24"/>
          <w:szCs w:val="24"/>
        </w:rPr>
        <w:t>When a debt is established for training attended but “non-punitive” grades are assigned and a portion of the enrollment remains unprotected, a Veterans</w:t>
      </w:r>
      <w:r w:rsidRPr="00817F19">
        <w:rPr>
          <w:rFonts w:ascii="Arial" w:eastAsia="Times New Roman" w:hAnsi="Arial" w:cs="Arial"/>
          <w:sz w:val="24"/>
          <w:szCs w:val="24"/>
        </w:rPr>
        <w:t xml:space="preserve"> Claims Examiner (VCE) develops to the claimant to provide mitigating circumstances. </w:t>
      </w:r>
    </w:p>
    <w:p w:rsidR="00900BF7" w:rsidRPr="00817F19" w:rsidRDefault="000E2021" w:rsidP="00900BF7">
      <w:pPr>
        <w:spacing w:line="276" w:lineRule="atLeast"/>
        <w:ind w:right="153"/>
        <w:rPr>
          <w:rFonts w:ascii="Arial" w:eastAsia="Times New Roman" w:hAnsi="Arial" w:cs="Arial"/>
          <w:sz w:val="24"/>
          <w:szCs w:val="24"/>
        </w:rPr>
      </w:pPr>
      <w:r w:rsidRPr="000E2021">
        <w:rPr>
          <w:rFonts w:ascii="Arial" w:eastAsia="Times New Roman" w:hAnsi="Arial" w:cs="Arial"/>
          <w:b/>
          <w:sz w:val="24"/>
          <w:szCs w:val="24"/>
        </w:rPr>
        <w:t>Issue:</w:t>
      </w:r>
      <w:r>
        <w:rPr>
          <w:rFonts w:ascii="Arial" w:eastAsia="Times New Roman" w:hAnsi="Arial" w:cs="Arial"/>
          <w:sz w:val="24"/>
          <w:szCs w:val="24"/>
        </w:rPr>
        <w:t xml:space="preserve"> </w:t>
      </w:r>
      <w:r w:rsidR="00900BF7" w:rsidRPr="00817F19">
        <w:rPr>
          <w:rFonts w:ascii="Arial" w:eastAsia="Times New Roman" w:hAnsi="Arial" w:cs="Arial"/>
          <w:sz w:val="24"/>
          <w:szCs w:val="24"/>
        </w:rPr>
        <w:t xml:space="preserve">Upon receipt of “mitigating circumstances” from the claimant the VCE determines if the reasons provided are properly supported and acceptable. (See </w:t>
      </w:r>
      <w:hyperlink r:id="rId14" w:history="1">
        <w:r w:rsidR="00900BF7" w:rsidRPr="00817F19">
          <w:rPr>
            <w:rStyle w:val="Hyperlink"/>
            <w:rFonts w:ascii="Arial" w:eastAsia="Times New Roman" w:hAnsi="Arial" w:cs="Arial"/>
            <w:sz w:val="24"/>
            <w:szCs w:val="24"/>
          </w:rPr>
          <w:t>M22-4, Part IV, Chapter 11.11</w:t>
        </w:r>
      </w:hyperlink>
      <w:r w:rsidR="00900BF7" w:rsidRPr="00817F19">
        <w:rPr>
          <w:rStyle w:val="Hyperlink"/>
          <w:rFonts w:ascii="Arial" w:eastAsia="Times New Roman" w:hAnsi="Arial" w:cs="Arial"/>
          <w:sz w:val="24"/>
          <w:szCs w:val="24"/>
        </w:rPr>
        <w:t>)</w:t>
      </w:r>
      <w:r w:rsidR="00900BF7">
        <w:rPr>
          <w:rStyle w:val="Hyperlink"/>
          <w:rFonts w:ascii="Arial" w:eastAsia="Times New Roman" w:hAnsi="Arial" w:cs="Arial"/>
          <w:sz w:val="24"/>
          <w:szCs w:val="24"/>
        </w:rPr>
        <w:t xml:space="preserve"> </w:t>
      </w:r>
      <w:r w:rsidR="00900BF7" w:rsidRPr="00817F19">
        <w:rPr>
          <w:rFonts w:ascii="Arial" w:eastAsia="Times New Roman" w:hAnsi="Arial" w:cs="Arial"/>
          <w:sz w:val="24"/>
          <w:szCs w:val="24"/>
        </w:rPr>
        <w:t xml:space="preserve"> If mitigating circumstances are acceptable and the debt established previously is in an uncollectable status (“1”, “2”, or “R”),</w:t>
      </w:r>
      <w:r w:rsidR="00900BF7">
        <w:rPr>
          <w:rFonts w:ascii="Arial" w:eastAsia="Times New Roman" w:hAnsi="Arial" w:cs="Arial"/>
          <w:sz w:val="24"/>
          <w:szCs w:val="24"/>
        </w:rPr>
        <w:t xml:space="preserve"> </w:t>
      </w:r>
      <w:r w:rsidR="00900BF7" w:rsidRPr="00817F19">
        <w:rPr>
          <w:rFonts w:ascii="Arial" w:eastAsia="Times New Roman" w:hAnsi="Arial" w:cs="Arial"/>
          <w:sz w:val="24"/>
          <w:szCs w:val="24"/>
        </w:rPr>
        <w:t>th</w:t>
      </w:r>
      <w:r w:rsidR="00900BF7">
        <w:rPr>
          <w:rFonts w:ascii="Arial" w:eastAsia="Times New Roman" w:hAnsi="Arial" w:cs="Arial"/>
          <w:sz w:val="24"/>
          <w:szCs w:val="24"/>
        </w:rPr>
        <w:t xml:space="preserve">ose </w:t>
      </w:r>
      <w:r w:rsidR="00900BF7" w:rsidRPr="00817F19">
        <w:rPr>
          <w:rFonts w:ascii="Arial" w:eastAsia="Times New Roman" w:hAnsi="Arial" w:cs="Arial"/>
          <w:sz w:val="24"/>
          <w:szCs w:val="24"/>
        </w:rPr>
        <w:t xml:space="preserve">collection code indicator(s) must be temporally changed to a collectable status (“3”).  This action is necessary prior to processing an adjustment to the enrollment in the Long Term Solution (LTS), or making changes on the 312 screen for non-Chapter 33 claims processed in the Benefits Delivery Network (BDN).  </w:t>
      </w:r>
    </w:p>
    <w:p w:rsidR="000E2021" w:rsidRDefault="00900BF7" w:rsidP="00900BF7">
      <w:pPr>
        <w:spacing w:line="276" w:lineRule="atLeast"/>
        <w:ind w:right="153"/>
        <w:rPr>
          <w:rFonts w:ascii="Arial" w:eastAsia="Times New Roman" w:hAnsi="Arial" w:cs="Arial"/>
          <w:sz w:val="24"/>
          <w:szCs w:val="24"/>
        </w:rPr>
      </w:pPr>
      <w:r w:rsidRPr="00817F19">
        <w:rPr>
          <w:rFonts w:ascii="Arial" w:eastAsia="Times New Roman" w:hAnsi="Arial" w:cs="Arial"/>
          <w:sz w:val="24"/>
          <w:szCs w:val="24"/>
        </w:rPr>
        <w:t>When a portion of the debt remains after processing, the debt collection code indicator must be reset. VCEs have the authority to</w:t>
      </w:r>
      <w:r w:rsidR="00141BDB">
        <w:rPr>
          <w:rFonts w:ascii="Arial" w:eastAsia="Times New Roman" w:hAnsi="Arial" w:cs="Arial"/>
          <w:sz w:val="24"/>
          <w:szCs w:val="24"/>
        </w:rPr>
        <w:t xml:space="preserve"> do the following: </w:t>
      </w:r>
      <w:r w:rsidRPr="00817F19">
        <w:rPr>
          <w:rFonts w:ascii="Arial" w:eastAsia="Times New Roman" w:hAnsi="Arial" w:cs="Arial"/>
          <w:sz w:val="24"/>
          <w:szCs w:val="24"/>
        </w:rPr>
        <w:t xml:space="preserve"> </w:t>
      </w:r>
    </w:p>
    <w:p w:rsidR="00141BDB" w:rsidRPr="00141BDB" w:rsidRDefault="00141BDB" w:rsidP="00141BDB">
      <w:pPr>
        <w:pStyle w:val="ListParagraph"/>
        <w:numPr>
          <w:ilvl w:val="0"/>
          <w:numId w:val="7"/>
        </w:numPr>
        <w:spacing w:line="276" w:lineRule="atLeast"/>
        <w:ind w:right="153"/>
        <w:rPr>
          <w:rFonts w:ascii="Arial" w:hAnsi="Arial" w:cs="Arial"/>
          <w:sz w:val="24"/>
          <w:szCs w:val="24"/>
        </w:rPr>
      </w:pPr>
      <w:r>
        <w:rPr>
          <w:rFonts w:ascii="Arial" w:eastAsia="Times New Roman" w:hAnsi="Arial" w:cs="Arial"/>
          <w:sz w:val="24"/>
          <w:szCs w:val="24"/>
        </w:rPr>
        <w:t>C</w:t>
      </w:r>
      <w:r w:rsidRPr="00817F19">
        <w:rPr>
          <w:rFonts w:ascii="Arial" w:eastAsia="Times New Roman" w:hAnsi="Arial" w:cs="Arial"/>
          <w:sz w:val="24"/>
          <w:szCs w:val="24"/>
        </w:rPr>
        <w:t>hange collection code indicators</w:t>
      </w:r>
      <w:r>
        <w:rPr>
          <w:rFonts w:ascii="Arial" w:eastAsia="Times New Roman" w:hAnsi="Arial" w:cs="Arial"/>
          <w:sz w:val="24"/>
          <w:szCs w:val="24"/>
        </w:rPr>
        <w:t xml:space="preserve"> </w:t>
      </w:r>
      <w:r w:rsidRPr="00141BDB">
        <w:rPr>
          <w:rFonts w:ascii="Arial" w:eastAsia="Times New Roman" w:hAnsi="Arial" w:cs="Arial"/>
          <w:b/>
          <w:sz w:val="24"/>
          <w:szCs w:val="24"/>
          <w:u w:val="single"/>
        </w:rPr>
        <w:t>f</w:t>
      </w:r>
      <w:r w:rsidR="00900BF7" w:rsidRPr="00141BDB">
        <w:rPr>
          <w:rFonts w:ascii="Arial" w:eastAsia="Times New Roman" w:hAnsi="Arial" w:cs="Arial"/>
          <w:b/>
          <w:sz w:val="24"/>
          <w:szCs w:val="24"/>
          <w:u w:val="single"/>
        </w:rPr>
        <w:t>rom</w:t>
      </w:r>
      <w:r w:rsidR="00900BF7" w:rsidRPr="00141BDB">
        <w:rPr>
          <w:rFonts w:ascii="Arial" w:eastAsia="Times New Roman" w:hAnsi="Arial" w:cs="Arial"/>
          <w:sz w:val="24"/>
          <w:szCs w:val="24"/>
        </w:rPr>
        <w:t xml:space="preserve"> a “1”, “2”, “3” or “R” </w:t>
      </w:r>
      <w:r w:rsidR="00900BF7" w:rsidRPr="00141BDB">
        <w:rPr>
          <w:rFonts w:ascii="Arial" w:eastAsia="Times New Roman" w:hAnsi="Arial" w:cs="Arial"/>
          <w:b/>
          <w:sz w:val="24"/>
          <w:szCs w:val="24"/>
          <w:u w:val="single"/>
        </w:rPr>
        <w:t>to</w:t>
      </w:r>
      <w:r w:rsidR="000E2021" w:rsidRPr="00141BDB">
        <w:rPr>
          <w:rFonts w:ascii="Arial" w:eastAsia="Times New Roman" w:hAnsi="Arial" w:cs="Arial"/>
          <w:b/>
          <w:sz w:val="24"/>
          <w:szCs w:val="24"/>
          <w:u w:val="single"/>
        </w:rPr>
        <w:t xml:space="preserve"> only</w:t>
      </w:r>
      <w:r w:rsidR="000E2021" w:rsidRPr="00141BDB">
        <w:rPr>
          <w:rFonts w:ascii="Arial" w:eastAsia="Times New Roman" w:hAnsi="Arial" w:cs="Arial"/>
          <w:b/>
          <w:i/>
          <w:sz w:val="24"/>
          <w:szCs w:val="24"/>
        </w:rPr>
        <w:t xml:space="preserve"> </w:t>
      </w:r>
      <w:r w:rsidR="00900BF7" w:rsidRPr="00141BDB">
        <w:rPr>
          <w:rFonts w:ascii="Arial" w:eastAsia="Times New Roman" w:hAnsi="Arial" w:cs="Arial"/>
          <w:sz w:val="24"/>
          <w:szCs w:val="24"/>
        </w:rPr>
        <w:t>a “1” or “3”</w:t>
      </w:r>
    </w:p>
    <w:p w:rsidR="00141BDB" w:rsidRPr="00141BDB" w:rsidRDefault="00141BDB" w:rsidP="00141BDB">
      <w:pPr>
        <w:pStyle w:val="ListParagraph"/>
        <w:numPr>
          <w:ilvl w:val="0"/>
          <w:numId w:val="7"/>
        </w:numPr>
        <w:spacing w:line="276" w:lineRule="atLeast"/>
        <w:ind w:right="153"/>
        <w:rPr>
          <w:rFonts w:ascii="Arial" w:hAnsi="Arial" w:cs="Arial"/>
          <w:sz w:val="24"/>
          <w:szCs w:val="24"/>
        </w:rPr>
      </w:pPr>
      <w:r>
        <w:rPr>
          <w:rFonts w:ascii="Arial" w:eastAsia="Times New Roman" w:hAnsi="Arial" w:cs="Arial"/>
          <w:sz w:val="24"/>
          <w:szCs w:val="24"/>
        </w:rPr>
        <w:t xml:space="preserve">VCEs </w:t>
      </w:r>
      <w:r w:rsidRPr="00141BDB">
        <w:rPr>
          <w:rFonts w:ascii="Arial" w:eastAsia="Times New Roman" w:hAnsi="Arial" w:cs="Arial"/>
          <w:b/>
          <w:sz w:val="24"/>
          <w:szCs w:val="24"/>
          <w:u w:val="single"/>
        </w:rPr>
        <w:t xml:space="preserve">do </w:t>
      </w:r>
      <w:r w:rsidR="00900BF7" w:rsidRPr="00141BDB">
        <w:rPr>
          <w:rFonts w:ascii="Arial" w:eastAsia="Times New Roman" w:hAnsi="Arial" w:cs="Arial"/>
          <w:b/>
          <w:sz w:val="24"/>
          <w:szCs w:val="24"/>
          <w:u w:val="single"/>
        </w:rPr>
        <w:t>not</w:t>
      </w:r>
      <w:r w:rsidR="00900BF7" w:rsidRPr="00141BDB">
        <w:rPr>
          <w:rFonts w:ascii="Arial" w:eastAsia="Times New Roman" w:hAnsi="Arial" w:cs="Arial"/>
          <w:sz w:val="24"/>
          <w:szCs w:val="24"/>
        </w:rPr>
        <w:t xml:space="preserve"> possess the authority to establish or re-establish </w:t>
      </w:r>
      <w:r w:rsidR="000E2021" w:rsidRPr="00141BDB">
        <w:rPr>
          <w:rFonts w:ascii="Arial" w:eastAsia="Times New Roman" w:hAnsi="Arial" w:cs="Arial"/>
          <w:sz w:val="24"/>
          <w:szCs w:val="24"/>
        </w:rPr>
        <w:t xml:space="preserve">(or change) </w:t>
      </w:r>
      <w:r w:rsidR="00900BF7" w:rsidRPr="00141BDB">
        <w:rPr>
          <w:rFonts w:ascii="Arial" w:eastAsia="Times New Roman" w:hAnsi="Arial" w:cs="Arial"/>
          <w:sz w:val="24"/>
          <w:szCs w:val="24"/>
        </w:rPr>
        <w:t>a collection code indicator to a</w:t>
      </w:r>
      <w:r>
        <w:rPr>
          <w:rFonts w:ascii="Arial" w:eastAsia="Times New Roman" w:hAnsi="Arial" w:cs="Arial"/>
          <w:sz w:val="24"/>
          <w:szCs w:val="24"/>
        </w:rPr>
        <w:t xml:space="preserve"> “2”, or “R</w:t>
      </w:r>
      <w:r w:rsidR="00900BF7" w:rsidRPr="00141BDB">
        <w:rPr>
          <w:rFonts w:ascii="Arial" w:eastAsia="Times New Roman" w:hAnsi="Arial" w:cs="Arial"/>
          <w:sz w:val="24"/>
          <w:szCs w:val="24"/>
        </w:rPr>
        <w:t xml:space="preserve">” </w:t>
      </w:r>
      <w:r w:rsidR="00900BF7" w:rsidRPr="00141BDB">
        <w:rPr>
          <w:rFonts w:ascii="Arial" w:hAnsi="Arial" w:cs="Arial"/>
          <w:sz w:val="24"/>
          <w:szCs w:val="24"/>
        </w:rPr>
        <w:t xml:space="preserve"> </w:t>
      </w:r>
    </w:p>
    <w:p w:rsidR="00900BF7" w:rsidRPr="00141BDB" w:rsidRDefault="00141BDB" w:rsidP="00141BDB">
      <w:pPr>
        <w:spacing w:line="276" w:lineRule="atLeast"/>
        <w:ind w:left="427" w:right="153"/>
        <w:rPr>
          <w:rFonts w:ascii="Arial" w:hAnsi="Arial" w:cs="Arial"/>
          <w:sz w:val="24"/>
          <w:szCs w:val="24"/>
        </w:rPr>
      </w:pPr>
      <w:r w:rsidRPr="00141BDB">
        <w:rPr>
          <w:rFonts w:ascii="Arial" w:hAnsi="Arial" w:cs="Arial"/>
          <w:b/>
          <w:sz w:val="24"/>
          <w:szCs w:val="24"/>
          <w:u w:val="single"/>
        </w:rPr>
        <w:t>NOTE:</w:t>
      </w:r>
      <w:r>
        <w:rPr>
          <w:rFonts w:ascii="Arial" w:hAnsi="Arial" w:cs="Arial"/>
          <w:sz w:val="24"/>
          <w:szCs w:val="24"/>
        </w:rPr>
        <w:t xml:space="preserve"> </w:t>
      </w:r>
      <w:r w:rsidR="00900BF7" w:rsidRPr="00141BDB">
        <w:rPr>
          <w:rFonts w:ascii="Arial" w:hAnsi="Arial" w:cs="Arial"/>
          <w:sz w:val="24"/>
          <w:szCs w:val="24"/>
        </w:rPr>
        <w:t>DMC is the only office that should be establishing debt collection code</w:t>
      </w:r>
      <w:r w:rsidRPr="00141BDB">
        <w:rPr>
          <w:rFonts w:ascii="Arial" w:hAnsi="Arial" w:cs="Arial"/>
          <w:sz w:val="24"/>
          <w:szCs w:val="24"/>
        </w:rPr>
        <w:t>s “R” or “2” without exception</w:t>
      </w:r>
      <w:r>
        <w:rPr>
          <w:rFonts w:ascii="Arial" w:hAnsi="Arial" w:cs="Arial"/>
          <w:sz w:val="24"/>
          <w:szCs w:val="24"/>
        </w:rPr>
        <w:t xml:space="preserve">. </w:t>
      </w:r>
      <w:r w:rsidR="00900BF7" w:rsidRPr="00141BDB">
        <w:rPr>
          <w:rFonts w:ascii="Arial" w:hAnsi="Arial" w:cs="Arial"/>
          <w:sz w:val="24"/>
          <w:szCs w:val="24"/>
        </w:rPr>
        <w:t>Therefore, coordination with DMC will be necessary to</w:t>
      </w:r>
      <w:r w:rsidRPr="00141BDB">
        <w:rPr>
          <w:rFonts w:ascii="Arial" w:hAnsi="Arial" w:cs="Arial"/>
          <w:sz w:val="24"/>
          <w:szCs w:val="24"/>
        </w:rPr>
        <w:t xml:space="preserve"> properly complete these claims</w:t>
      </w:r>
      <w:r>
        <w:rPr>
          <w:rFonts w:ascii="Arial" w:hAnsi="Arial" w:cs="Arial"/>
          <w:sz w:val="24"/>
          <w:szCs w:val="24"/>
        </w:rPr>
        <w:t>.</w:t>
      </w:r>
    </w:p>
    <w:p w:rsidR="00900BF7" w:rsidRPr="00900BF7" w:rsidRDefault="00900BF7" w:rsidP="00900BF7">
      <w:pPr>
        <w:rPr>
          <w:rFonts w:ascii="Arial" w:hAnsi="Arial" w:cs="Arial"/>
          <w:sz w:val="24"/>
          <w:szCs w:val="24"/>
        </w:rPr>
      </w:pPr>
      <w:r w:rsidRPr="00817F19">
        <w:rPr>
          <w:rFonts w:ascii="Arial" w:eastAsia="Times New Roman" w:hAnsi="Arial" w:cs="Arial"/>
          <w:b/>
          <w:bCs/>
          <w:sz w:val="24"/>
          <w:szCs w:val="24"/>
        </w:rPr>
        <w:t>Procedures:</w:t>
      </w:r>
      <w:r w:rsidRPr="00817F19">
        <w:rPr>
          <w:rFonts w:ascii="Arial" w:eastAsia="Times New Roman" w:hAnsi="Arial" w:cs="Arial"/>
          <w:b/>
          <w:bCs/>
          <w:spacing w:val="64"/>
          <w:sz w:val="24"/>
          <w:szCs w:val="24"/>
        </w:rPr>
        <w:t xml:space="preserve"> </w:t>
      </w:r>
      <w:r w:rsidRPr="00817F19">
        <w:rPr>
          <w:rFonts w:ascii="Arial" w:hAnsi="Arial" w:cs="Arial"/>
          <w:sz w:val="24"/>
          <w:szCs w:val="24"/>
        </w:rPr>
        <w:t xml:space="preserve">In all cases where </w:t>
      </w:r>
      <w:r w:rsidRPr="00817F19">
        <w:rPr>
          <w:rFonts w:ascii="Arial" w:eastAsia="Times New Roman" w:hAnsi="Arial" w:cs="Arial"/>
          <w:sz w:val="24"/>
          <w:szCs w:val="24"/>
        </w:rPr>
        <w:t>mitigating circumstances are being accepted</w:t>
      </w:r>
      <w:r w:rsidRPr="00817F19">
        <w:rPr>
          <w:rFonts w:ascii="Arial" w:hAnsi="Arial" w:cs="Arial"/>
          <w:sz w:val="24"/>
          <w:szCs w:val="24"/>
        </w:rPr>
        <w:t xml:space="preserve">, the VCE should review BDN for the existence of a debt. If a debt exists then </w:t>
      </w:r>
      <w:r w:rsidR="00141BDB">
        <w:rPr>
          <w:rFonts w:ascii="Arial" w:hAnsi="Arial" w:cs="Arial"/>
          <w:sz w:val="24"/>
          <w:szCs w:val="24"/>
        </w:rPr>
        <w:t>follow the steps below</w:t>
      </w:r>
      <w:r w:rsidRPr="00817F19">
        <w:rPr>
          <w:rFonts w:ascii="Arial" w:hAnsi="Arial" w:cs="Arial"/>
          <w:sz w:val="24"/>
          <w:szCs w:val="24"/>
        </w:rPr>
        <w:t>:</w:t>
      </w:r>
    </w:p>
    <w:p w:rsidR="00900BF7" w:rsidRPr="00817F19" w:rsidRDefault="00900BF7" w:rsidP="00900BF7">
      <w:pPr>
        <w:pStyle w:val="ListParagraph"/>
        <w:numPr>
          <w:ilvl w:val="0"/>
          <w:numId w:val="4"/>
        </w:numPr>
        <w:spacing w:after="0" w:line="240" w:lineRule="auto"/>
        <w:ind w:left="620"/>
        <w:contextualSpacing w:val="0"/>
      </w:pPr>
      <w:r w:rsidRPr="00817F19">
        <w:rPr>
          <w:rFonts w:ascii="Arial" w:hAnsi="Arial" w:cs="Arial"/>
          <w:sz w:val="24"/>
          <w:szCs w:val="24"/>
        </w:rPr>
        <w:t>Capture the M01 screen into TIMS which displays the debt prior to any claims processing.</w:t>
      </w:r>
    </w:p>
    <w:p w:rsidR="00900BF7" w:rsidRPr="00817F19" w:rsidRDefault="00900BF7" w:rsidP="00900BF7">
      <w:pPr>
        <w:pStyle w:val="ListParagraph"/>
        <w:numPr>
          <w:ilvl w:val="0"/>
          <w:numId w:val="4"/>
        </w:numPr>
        <w:spacing w:after="0" w:line="240" w:lineRule="auto"/>
        <w:ind w:left="620"/>
        <w:contextualSpacing w:val="0"/>
      </w:pPr>
      <w:r w:rsidRPr="00817F19">
        <w:rPr>
          <w:rFonts w:ascii="Arial" w:hAnsi="Arial" w:cs="Arial"/>
          <w:sz w:val="24"/>
          <w:szCs w:val="24"/>
        </w:rPr>
        <w:t>Check the collection code indicator for the debt.</w:t>
      </w:r>
    </w:p>
    <w:p w:rsidR="00900BF7" w:rsidRPr="00817F19" w:rsidRDefault="00900BF7" w:rsidP="00900BF7">
      <w:pPr>
        <w:pStyle w:val="ListParagraph"/>
        <w:numPr>
          <w:ilvl w:val="1"/>
          <w:numId w:val="5"/>
        </w:numPr>
        <w:spacing w:after="0" w:line="240" w:lineRule="auto"/>
        <w:ind w:left="1340"/>
        <w:contextualSpacing w:val="0"/>
      </w:pPr>
      <w:r w:rsidRPr="00817F19">
        <w:rPr>
          <w:rFonts w:ascii="Arial" w:hAnsi="Arial" w:cs="Arial"/>
          <w:sz w:val="24"/>
          <w:szCs w:val="24"/>
        </w:rPr>
        <w:t>If the indicator is a “3” then go to step d.</w:t>
      </w:r>
    </w:p>
    <w:p w:rsidR="00900BF7" w:rsidRPr="00817F19" w:rsidRDefault="00900BF7" w:rsidP="00900BF7">
      <w:pPr>
        <w:pStyle w:val="ListParagraph"/>
        <w:numPr>
          <w:ilvl w:val="1"/>
          <w:numId w:val="5"/>
        </w:numPr>
        <w:spacing w:after="0" w:line="240" w:lineRule="auto"/>
        <w:ind w:left="1340"/>
        <w:contextualSpacing w:val="0"/>
      </w:pPr>
      <w:r w:rsidRPr="00817F19">
        <w:rPr>
          <w:rFonts w:ascii="Arial" w:hAnsi="Arial" w:cs="Arial"/>
          <w:sz w:val="24"/>
          <w:szCs w:val="24"/>
        </w:rPr>
        <w:t>If the indica</w:t>
      </w:r>
      <w:r w:rsidR="00342CB2">
        <w:rPr>
          <w:rFonts w:ascii="Arial" w:hAnsi="Arial" w:cs="Arial"/>
          <w:sz w:val="24"/>
          <w:szCs w:val="24"/>
        </w:rPr>
        <w:t>tor is a “1”, “2”, or an “R” go</w:t>
      </w:r>
      <w:r w:rsidRPr="00817F19">
        <w:rPr>
          <w:rFonts w:ascii="Arial" w:hAnsi="Arial" w:cs="Arial"/>
          <w:sz w:val="24"/>
          <w:szCs w:val="24"/>
        </w:rPr>
        <w:t xml:space="preserve"> to step c.</w:t>
      </w:r>
    </w:p>
    <w:p w:rsidR="00900BF7" w:rsidRPr="00817F19" w:rsidRDefault="00900BF7" w:rsidP="00900BF7">
      <w:pPr>
        <w:pStyle w:val="ListParagraph"/>
        <w:numPr>
          <w:ilvl w:val="0"/>
          <w:numId w:val="4"/>
        </w:numPr>
        <w:spacing w:after="0" w:line="240" w:lineRule="auto"/>
        <w:ind w:left="620"/>
        <w:contextualSpacing w:val="0"/>
      </w:pPr>
      <w:r w:rsidRPr="00817F19">
        <w:rPr>
          <w:rFonts w:ascii="Arial" w:hAnsi="Arial" w:cs="Arial"/>
          <w:sz w:val="24"/>
          <w:szCs w:val="24"/>
        </w:rPr>
        <w:t>CORR the collection code indicator changing it to a “3” and review the M01 under the MINQ command to ensure the system updated correctly.</w:t>
      </w:r>
    </w:p>
    <w:p w:rsidR="00900BF7" w:rsidRPr="00817F19" w:rsidRDefault="00900BF7" w:rsidP="00900BF7">
      <w:pPr>
        <w:pStyle w:val="ListParagraph"/>
        <w:numPr>
          <w:ilvl w:val="0"/>
          <w:numId w:val="4"/>
        </w:numPr>
        <w:spacing w:after="0" w:line="240" w:lineRule="auto"/>
        <w:ind w:left="620"/>
        <w:contextualSpacing w:val="0"/>
      </w:pPr>
      <w:r w:rsidRPr="00817F19">
        <w:rPr>
          <w:rFonts w:ascii="Arial" w:hAnsi="Arial" w:cs="Arial"/>
          <w:sz w:val="24"/>
          <w:szCs w:val="24"/>
        </w:rPr>
        <w:lastRenderedPageBreak/>
        <w:t>Process claim in LTS, accepting mitigating circumstances. Authorizing with Automatic Payments.</w:t>
      </w:r>
    </w:p>
    <w:p w:rsidR="00900BF7" w:rsidRPr="00817F19" w:rsidRDefault="00900BF7" w:rsidP="00900BF7">
      <w:pPr>
        <w:pStyle w:val="ListParagraph"/>
        <w:numPr>
          <w:ilvl w:val="0"/>
          <w:numId w:val="4"/>
        </w:numPr>
        <w:spacing w:after="0" w:line="240" w:lineRule="auto"/>
        <w:ind w:left="620"/>
        <w:contextualSpacing w:val="0"/>
      </w:pPr>
      <w:r w:rsidRPr="00817F19">
        <w:rPr>
          <w:rFonts w:ascii="Arial" w:hAnsi="Arial" w:cs="Arial"/>
          <w:sz w:val="24"/>
          <w:szCs w:val="24"/>
        </w:rPr>
        <w:t>Review the M01 screen after processing.</w:t>
      </w:r>
    </w:p>
    <w:p w:rsidR="00900BF7" w:rsidRPr="00817F19" w:rsidRDefault="00900BF7" w:rsidP="00900BF7">
      <w:pPr>
        <w:pStyle w:val="ListParagraph"/>
        <w:numPr>
          <w:ilvl w:val="0"/>
          <w:numId w:val="4"/>
        </w:numPr>
        <w:spacing w:after="0" w:line="240" w:lineRule="auto"/>
        <w:ind w:left="620"/>
        <w:contextualSpacing w:val="0"/>
      </w:pPr>
      <w:r w:rsidRPr="00817F19">
        <w:rPr>
          <w:rFonts w:ascii="Arial" w:hAnsi="Arial" w:cs="Arial"/>
          <w:sz w:val="24"/>
          <w:szCs w:val="24"/>
        </w:rPr>
        <w:t>Check for any remaining debt.</w:t>
      </w:r>
    </w:p>
    <w:p w:rsidR="00900BF7" w:rsidRPr="00817F19" w:rsidRDefault="00900BF7" w:rsidP="00900BF7">
      <w:pPr>
        <w:pStyle w:val="ListParagraph"/>
        <w:numPr>
          <w:ilvl w:val="1"/>
          <w:numId w:val="6"/>
        </w:numPr>
        <w:spacing w:after="0" w:line="240" w:lineRule="auto"/>
        <w:ind w:left="1340"/>
        <w:contextualSpacing w:val="0"/>
      </w:pPr>
      <w:r w:rsidRPr="00817F19">
        <w:rPr>
          <w:rFonts w:ascii="Arial" w:hAnsi="Arial" w:cs="Arial"/>
          <w:sz w:val="24"/>
          <w:szCs w:val="24"/>
        </w:rPr>
        <w:t>If no remaining debt or the collection code indicator prior to processing was a “3” as in step b.1, capture the updated M01 screen into TIMS and complete the claim without any further BDN processing.</w:t>
      </w:r>
    </w:p>
    <w:p w:rsidR="00900BF7" w:rsidRPr="00817F19" w:rsidRDefault="00900BF7" w:rsidP="00900BF7">
      <w:pPr>
        <w:pStyle w:val="ListParagraph"/>
        <w:numPr>
          <w:ilvl w:val="1"/>
          <w:numId w:val="6"/>
        </w:numPr>
        <w:spacing w:after="0" w:line="240" w:lineRule="auto"/>
        <w:ind w:left="1340"/>
        <w:contextualSpacing w:val="0"/>
      </w:pPr>
      <w:r w:rsidRPr="00817F19">
        <w:rPr>
          <w:rFonts w:ascii="Arial" w:hAnsi="Arial" w:cs="Arial"/>
          <w:sz w:val="24"/>
          <w:szCs w:val="24"/>
        </w:rPr>
        <w:t>If there is remaining debt, and the collection code was a “1” prior to processing, CORR the collection code indicator back to a “1” capture the updated M01 screen into TIMS, review and complete the claim.</w:t>
      </w:r>
    </w:p>
    <w:p w:rsidR="00900BF7" w:rsidRPr="00817F19" w:rsidRDefault="00900BF7" w:rsidP="00900BF7">
      <w:pPr>
        <w:pStyle w:val="ListParagraph"/>
        <w:numPr>
          <w:ilvl w:val="1"/>
          <w:numId w:val="6"/>
        </w:numPr>
        <w:spacing w:after="0" w:line="240" w:lineRule="auto"/>
        <w:ind w:left="1340"/>
        <w:contextualSpacing w:val="0"/>
      </w:pPr>
      <w:r w:rsidRPr="00817F19">
        <w:rPr>
          <w:rFonts w:ascii="Arial" w:hAnsi="Arial" w:cs="Arial"/>
          <w:sz w:val="24"/>
          <w:szCs w:val="24"/>
        </w:rPr>
        <w:t>If there is a remaining debt, and the collection code was a “2” or an “R” prior to processing, capture the updated M01 screen into TIMS, refer the issue to the RPO DMC POC to update, document referral and reason in TIMS and complete the claim.</w:t>
      </w:r>
    </w:p>
    <w:p w:rsidR="00900BF7" w:rsidRPr="00817F19" w:rsidRDefault="00900BF7" w:rsidP="00900BF7">
      <w:pPr>
        <w:ind w:left="360"/>
      </w:pPr>
      <w:r w:rsidRPr="00817F19">
        <w:rPr>
          <w:rFonts w:ascii="Arial" w:hAnsi="Arial" w:cs="Arial"/>
          <w:sz w:val="24"/>
          <w:szCs w:val="24"/>
        </w:rPr>
        <w:t> </w:t>
      </w:r>
    </w:p>
    <w:p w:rsidR="00900BF7" w:rsidRPr="00817F19" w:rsidRDefault="00900BF7" w:rsidP="00900BF7">
      <w:pPr>
        <w:rPr>
          <w:rFonts w:ascii="Arial" w:hAnsi="Arial" w:cs="Arial"/>
          <w:sz w:val="24"/>
          <w:szCs w:val="24"/>
        </w:rPr>
      </w:pPr>
      <w:r w:rsidRPr="00817F19">
        <w:rPr>
          <w:rFonts w:ascii="Arial" w:hAnsi="Arial" w:cs="Arial"/>
          <w:b/>
          <w:sz w:val="24"/>
          <w:szCs w:val="24"/>
        </w:rPr>
        <w:t>Additional RPO Instructions:</w:t>
      </w:r>
      <w:r w:rsidRPr="00817F19">
        <w:rPr>
          <w:rFonts w:ascii="Arial" w:hAnsi="Arial" w:cs="Arial"/>
          <w:sz w:val="24"/>
          <w:szCs w:val="24"/>
        </w:rPr>
        <w:t xml:space="preserve"> Each RPO shall identify and designate a few individuals to facilitate daily communications with DMC for the purpose of requesting a debt collection code indicator reset via the </w:t>
      </w:r>
      <w:hyperlink r:id="rId15" w:history="1">
        <w:r w:rsidRPr="000B2B26">
          <w:rPr>
            <w:rStyle w:val="Hyperlink"/>
            <w:rFonts w:ascii="Arial" w:hAnsi="Arial" w:cs="Arial"/>
            <w:sz w:val="24"/>
            <w:szCs w:val="24"/>
          </w:rPr>
          <w:t>DMC Education email box</w:t>
        </w:r>
      </w:hyperlink>
      <w:r w:rsidRPr="00817F19">
        <w:rPr>
          <w:rFonts w:ascii="Arial" w:hAnsi="Arial" w:cs="Arial"/>
          <w:sz w:val="24"/>
          <w:szCs w:val="24"/>
        </w:rPr>
        <w:t xml:space="preserve">: VAVBASPL/DMC/EDU </w:t>
      </w:r>
      <w:hyperlink r:id="rId16" w:history="1">
        <w:r w:rsidRPr="00817F19">
          <w:rPr>
            <w:rStyle w:val="Hyperlink"/>
            <w:rFonts w:ascii="Arial" w:hAnsi="Arial" w:cs="Arial"/>
            <w:sz w:val="24"/>
            <w:szCs w:val="24"/>
          </w:rPr>
          <w:t>DMCEDU.VBASPL@va.gov</w:t>
        </w:r>
      </w:hyperlink>
      <w:r w:rsidRPr="00817F19">
        <w:rPr>
          <w:rFonts w:ascii="Arial" w:hAnsi="Arial" w:cs="Arial"/>
          <w:sz w:val="24"/>
          <w:szCs w:val="24"/>
        </w:rPr>
        <w:t xml:space="preserve"> </w:t>
      </w:r>
    </w:p>
    <w:p w:rsidR="00900BF7" w:rsidRPr="00817F19" w:rsidRDefault="00141BDB" w:rsidP="00900BF7">
      <w:pPr>
        <w:rPr>
          <w:rFonts w:ascii="Arial" w:hAnsi="Arial" w:cs="Arial"/>
          <w:sz w:val="24"/>
          <w:szCs w:val="24"/>
        </w:rPr>
      </w:pPr>
      <w:r w:rsidRPr="00817F19">
        <w:rPr>
          <w:rFonts w:ascii="Arial" w:hAnsi="Arial" w:cs="Arial"/>
          <w:sz w:val="24"/>
          <w:szCs w:val="24"/>
        </w:rPr>
        <w:t>Each RPO should consolidate daily requests</w:t>
      </w:r>
      <w:r>
        <w:rPr>
          <w:rFonts w:ascii="Arial" w:hAnsi="Arial" w:cs="Arial"/>
          <w:sz w:val="24"/>
          <w:szCs w:val="24"/>
        </w:rPr>
        <w:t xml:space="preserve"> sending one email each day</w:t>
      </w:r>
      <w:r w:rsidRPr="00817F19">
        <w:rPr>
          <w:rFonts w:ascii="Arial" w:hAnsi="Arial" w:cs="Arial"/>
          <w:sz w:val="24"/>
          <w:szCs w:val="24"/>
        </w:rPr>
        <w:t xml:space="preserve"> to limit</w:t>
      </w:r>
      <w:r>
        <w:rPr>
          <w:rFonts w:ascii="Arial" w:hAnsi="Arial" w:cs="Arial"/>
          <w:sz w:val="24"/>
          <w:szCs w:val="24"/>
        </w:rPr>
        <w:t xml:space="preserve"> the number of </w:t>
      </w:r>
      <w:r w:rsidRPr="00817F19">
        <w:rPr>
          <w:rFonts w:ascii="Arial" w:hAnsi="Arial" w:cs="Arial"/>
          <w:sz w:val="24"/>
          <w:szCs w:val="24"/>
        </w:rPr>
        <w:t>referrals</w:t>
      </w:r>
      <w:r>
        <w:rPr>
          <w:rFonts w:ascii="Arial" w:hAnsi="Arial" w:cs="Arial"/>
          <w:sz w:val="24"/>
          <w:szCs w:val="24"/>
        </w:rPr>
        <w:t>.</w:t>
      </w:r>
      <w:r w:rsidRPr="00817F19">
        <w:rPr>
          <w:rFonts w:ascii="Arial" w:hAnsi="Arial" w:cs="Arial"/>
          <w:sz w:val="24"/>
          <w:szCs w:val="24"/>
        </w:rPr>
        <w:t xml:space="preserve"> The subject line on the email for these referrals should be: “</w:t>
      </w:r>
      <w:r w:rsidRPr="00817F19">
        <w:rPr>
          <w:rFonts w:ascii="Arial" w:hAnsi="Arial" w:cs="Arial"/>
          <w:b/>
          <w:sz w:val="24"/>
          <w:szCs w:val="24"/>
        </w:rPr>
        <w:t>RPO 3XX Debt Collection Code Reset Request</w:t>
      </w:r>
      <w:r w:rsidRPr="00817F19">
        <w:rPr>
          <w:rFonts w:ascii="Arial" w:hAnsi="Arial" w:cs="Arial"/>
          <w:sz w:val="24"/>
          <w:szCs w:val="24"/>
        </w:rPr>
        <w:t xml:space="preserve">” </w:t>
      </w:r>
    </w:p>
    <w:p w:rsidR="00900BF7" w:rsidRPr="00817F19" w:rsidRDefault="00900BF7" w:rsidP="00900BF7">
      <w:r w:rsidRPr="00817F19">
        <w:rPr>
          <w:rFonts w:ascii="Arial" w:hAnsi="Arial" w:cs="Arial"/>
          <w:sz w:val="24"/>
          <w:szCs w:val="24"/>
        </w:rPr>
        <w:t xml:space="preserve">Daily referrals at each RPO should be tracked and logged onto the </w:t>
      </w:r>
      <w:r w:rsidR="000B2B26" w:rsidRPr="000B2B26">
        <w:rPr>
          <w:rFonts w:ascii="Arial" w:hAnsi="Arial" w:cs="Arial"/>
          <w:sz w:val="24"/>
          <w:szCs w:val="24"/>
        </w:rPr>
        <w:t>RPO 3XX Debt Collection Code Reset Request</w:t>
      </w:r>
      <w:r w:rsidR="000B2B26" w:rsidRPr="00817F19">
        <w:rPr>
          <w:rFonts w:ascii="Arial" w:hAnsi="Arial" w:cs="Arial"/>
          <w:sz w:val="24"/>
          <w:szCs w:val="24"/>
        </w:rPr>
        <w:t xml:space="preserve"> </w:t>
      </w:r>
      <w:r w:rsidR="000B2B26">
        <w:rPr>
          <w:rFonts w:ascii="Arial" w:hAnsi="Arial" w:cs="Arial"/>
          <w:sz w:val="24"/>
          <w:szCs w:val="24"/>
        </w:rPr>
        <w:t>t</w:t>
      </w:r>
      <w:r w:rsidR="00AC56E2">
        <w:rPr>
          <w:rFonts w:ascii="Arial" w:hAnsi="Arial" w:cs="Arial"/>
          <w:sz w:val="24"/>
          <w:szCs w:val="24"/>
        </w:rPr>
        <w:t xml:space="preserve">racking spreadsheet </w:t>
      </w:r>
      <w:r w:rsidRPr="00817F19">
        <w:rPr>
          <w:rFonts w:ascii="Arial" w:hAnsi="Arial" w:cs="Arial"/>
          <w:sz w:val="24"/>
          <w:szCs w:val="24"/>
        </w:rPr>
        <w:t>(Attachment A)</w:t>
      </w:r>
      <w:r w:rsidR="00AC56E2">
        <w:rPr>
          <w:rFonts w:ascii="Arial" w:hAnsi="Arial" w:cs="Arial"/>
          <w:sz w:val="24"/>
          <w:szCs w:val="24"/>
        </w:rPr>
        <w:t>.</w:t>
      </w:r>
      <w:r w:rsidRPr="00817F19">
        <w:rPr>
          <w:rFonts w:ascii="Arial" w:hAnsi="Arial" w:cs="Arial"/>
          <w:sz w:val="24"/>
          <w:szCs w:val="24"/>
        </w:rPr>
        <w:t xml:space="preserve"> An updated copy should be forwarded to </w:t>
      </w:r>
      <w:hyperlink r:id="rId17" w:history="1">
        <w:r w:rsidRPr="00817F19">
          <w:rPr>
            <w:rStyle w:val="Hyperlink"/>
            <w:rFonts w:ascii="Arial" w:hAnsi="Arial" w:cs="Arial"/>
            <w:sz w:val="24"/>
            <w:szCs w:val="24"/>
          </w:rPr>
          <w:t>Operations</w:t>
        </w:r>
      </w:hyperlink>
      <w:r w:rsidRPr="00817F19">
        <w:rPr>
          <w:rFonts w:ascii="Arial" w:hAnsi="Arial" w:cs="Arial"/>
          <w:sz w:val="24"/>
          <w:szCs w:val="24"/>
        </w:rPr>
        <w:t xml:space="preserve"> weekly by COB on the first business day of the following week. </w:t>
      </w:r>
    </w:p>
    <w:p w:rsidR="00CF50B0" w:rsidRDefault="00CF50B0" w:rsidP="00CF50B0">
      <w:pPr>
        <w:pStyle w:val="VBAILTBody"/>
      </w:pPr>
    </w:p>
    <w:p w:rsidR="00586A6E" w:rsidRDefault="000B2B26" w:rsidP="00CF50B0">
      <w:pPr>
        <w:pStyle w:val="VBAILTBody"/>
        <w:rPr>
          <w:rFonts w:ascii="Arial" w:hAnsi="Arial" w:cs="Arial"/>
          <w:sz w:val="24"/>
          <w:szCs w:val="24"/>
        </w:rPr>
      </w:pPr>
      <w:r w:rsidRPr="00817F19">
        <w:rPr>
          <w:rFonts w:ascii="Arial" w:hAnsi="Arial" w:cs="Arial"/>
          <w:sz w:val="24"/>
          <w:szCs w:val="24"/>
        </w:rPr>
        <w:t>Attachment A:</w:t>
      </w:r>
      <w:r>
        <w:rPr>
          <w:rFonts w:ascii="Arial" w:hAnsi="Arial" w:cs="Arial"/>
          <w:sz w:val="24"/>
          <w:szCs w:val="24"/>
        </w:rPr>
        <w:t xml:space="preserve"> </w:t>
      </w:r>
      <w:r w:rsidRPr="000B2B26">
        <w:rPr>
          <w:rFonts w:ascii="Arial" w:hAnsi="Arial" w:cs="Arial"/>
          <w:sz w:val="24"/>
          <w:szCs w:val="24"/>
        </w:rPr>
        <w:t>RPO 3XX Debt Collection Code Reset Request</w:t>
      </w:r>
      <w:r w:rsidRPr="00817F19">
        <w:rPr>
          <w:rFonts w:ascii="Arial" w:hAnsi="Arial" w:cs="Arial"/>
          <w:sz w:val="24"/>
          <w:szCs w:val="24"/>
        </w:rPr>
        <w:t xml:space="preserve"> </w:t>
      </w:r>
      <w:r>
        <w:rPr>
          <w:rFonts w:ascii="Arial" w:hAnsi="Arial" w:cs="Arial"/>
          <w:sz w:val="24"/>
          <w:szCs w:val="24"/>
        </w:rPr>
        <w:t>t</w:t>
      </w:r>
      <w:r w:rsidRPr="00817F19">
        <w:rPr>
          <w:rFonts w:ascii="Arial" w:hAnsi="Arial" w:cs="Arial"/>
          <w:sz w:val="24"/>
          <w:szCs w:val="24"/>
        </w:rPr>
        <w:t>racking spreadsheet</w:t>
      </w:r>
      <w:r w:rsidR="00586A6E">
        <w:rPr>
          <w:rFonts w:ascii="Arial" w:hAnsi="Arial" w:cs="Arial"/>
          <w:sz w:val="24"/>
          <w:szCs w:val="24"/>
        </w:rPr>
        <w:t>s.</w:t>
      </w:r>
    </w:p>
    <w:bookmarkStart w:id="1" w:name="_MON_1561787326"/>
    <w:bookmarkEnd w:id="1"/>
    <w:p w:rsidR="000B2B26" w:rsidRPr="00C214A9" w:rsidRDefault="00AC56E2" w:rsidP="00CF50B0">
      <w:pPr>
        <w:pStyle w:val="VBAILTBody"/>
      </w:pPr>
      <w:r>
        <w:rPr>
          <w:rFonts w:ascii="Arial" w:hAnsi="Arial" w:cs="Arial"/>
          <w:sz w:val="24"/>
          <w:szCs w:val="24"/>
        </w:rPr>
        <w:object w:dxaOrig="2069" w:dyaOrig="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25pt;height:67.5pt" o:ole="">
            <v:imagedata r:id="rId18" o:title=""/>
          </v:shape>
          <o:OLEObject Type="Embed" ProgID="Excel.Sheet.12" ShapeID="_x0000_i1025" DrawAspect="Icon" ObjectID="_1563278231" r:id="rId19"/>
        </w:object>
      </w:r>
      <w:r w:rsidR="00586A6E">
        <w:rPr>
          <w:rFonts w:ascii="Arial" w:hAnsi="Arial" w:cs="Arial"/>
          <w:sz w:val="24"/>
          <w:szCs w:val="24"/>
        </w:rPr>
        <w:tab/>
      </w:r>
      <w:r w:rsidR="00586A6E">
        <w:rPr>
          <w:rFonts w:ascii="Arial" w:hAnsi="Arial" w:cs="Arial"/>
          <w:sz w:val="24"/>
          <w:szCs w:val="24"/>
        </w:rPr>
        <w:object w:dxaOrig="1551" w:dyaOrig="1004">
          <v:shape id="_x0000_i1026" type="#_x0000_t75" style="width:78pt;height:50.25pt" o:ole="">
            <v:imagedata r:id="rId20" o:title=""/>
          </v:shape>
          <o:OLEObject Type="Embed" ProgID="Excel.Sheet.12" ShapeID="_x0000_i1026" DrawAspect="Icon" ObjectID="_1563278232" r:id="rId21"/>
        </w:object>
      </w:r>
      <w:r w:rsidR="00586A6E">
        <w:rPr>
          <w:rFonts w:ascii="Arial" w:hAnsi="Arial" w:cs="Arial"/>
          <w:sz w:val="24"/>
          <w:szCs w:val="24"/>
        </w:rPr>
        <w:tab/>
      </w:r>
      <w:r w:rsidR="00586A6E">
        <w:rPr>
          <w:rFonts w:ascii="Arial" w:hAnsi="Arial" w:cs="Arial"/>
          <w:sz w:val="24"/>
          <w:szCs w:val="24"/>
        </w:rPr>
        <w:object w:dxaOrig="1551" w:dyaOrig="1004">
          <v:shape id="_x0000_i1027" type="#_x0000_t75" style="width:78pt;height:50.25pt" o:ole="">
            <v:imagedata r:id="rId22" o:title=""/>
          </v:shape>
          <o:OLEObject Type="Embed" ProgID="Excel.Sheet.12" ShapeID="_x0000_i1027" DrawAspect="Icon" ObjectID="_1563278233" r:id="rId23"/>
        </w:object>
      </w:r>
    </w:p>
    <w:sectPr w:rsidR="000B2B26" w:rsidRPr="00C214A9" w:rsidSect="00C30F06">
      <w:headerReference w:type="firs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12FD" w:rsidRDefault="007D12FD" w:rsidP="00C214A9">
      <w:pPr>
        <w:spacing w:after="0" w:line="240" w:lineRule="auto"/>
      </w:pPr>
      <w:r>
        <w:separator/>
      </w:r>
    </w:p>
  </w:endnote>
  <w:endnote w:type="continuationSeparator" w:id="0">
    <w:p w:rsidR="007D12FD" w:rsidRDefault="007D12FD" w:rsidP="00C21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12FD" w:rsidRDefault="007D12FD" w:rsidP="00C214A9">
      <w:pPr>
        <w:spacing w:after="0" w:line="240" w:lineRule="auto"/>
      </w:pPr>
      <w:r>
        <w:separator/>
      </w:r>
    </w:p>
  </w:footnote>
  <w:footnote w:type="continuationSeparator" w:id="0">
    <w:p w:rsidR="007D12FD" w:rsidRDefault="007D12FD" w:rsidP="00C214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DCE" w:rsidRDefault="00C8779F">
    <w:pPr>
      <w:pStyle w:val="Header"/>
    </w:pPr>
    <w:r>
      <w:rPr>
        <w:noProof/>
      </w:rPr>
      <w:drawing>
        <wp:anchor distT="0" distB="0" distL="114300" distR="114300" simplePos="0" relativeHeight="251658240" behindDoc="1" locked="0" layoutInCell="1" allowOverlap="1" wp14:anchorId="282228B3" wp14:editId="282228B4">
          <wp:simplePos x="0" y="0"/>
          <wp:positionH relativeFrom="page">
            <wp:align>right</wp:align>
          </wp:positionH>
          <wp:positionV relativeFrom="page">
            <wp:posOffset>0</wp:posOffset>
          </wp:positionV>
          <wp:extent cx="7781544" cy="5833872"/>
          <wp:effectExtent l="0" t="0" r="0" b="0"/>
          <wp:wrapNone/>
          <wp:docPr id="2" name="Picture 2"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E6E20"/>
    <w:multiLevelType w:val="hybridMultilevel"/>
    <w:tmpl w:val="C5AA7F9C"/>
    <w:lvl w:ilvl="0" w:tplc="34948794">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45C0169E"/>
    <w:multiLevelType w:val="hybridMultilevel"/>
    <w:tmpl w:val="E4CADFB0"/>
    <w:lvl w:ilvl="0" w:tplc="04090001">
      <w:start w:val="1"/>
      <w:numFmt w:val="bullet"/>
      <w:lvlText w:val=""/>
      <w:lvlJc w:val="left"/>
      <w:pPr>
        <w:ind w:left="787" w:hanging="360"/>
      </w:pPr>
      <w:rPr>
        <w:rFonts w:ascii="Symbol" w:hAnsi="Symbol" w:hint="default"/>
      </w:rPr>
    </w:lvl>
    <w:lvl w:ilvl="1" w:tplc="04090003">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
    <w:nsid w:val="51590644"/>
    <w:multiLevelType w:val="hybridMultilevel"/>
    <w:tmpl w:val="0D9A2874"/>
    <w:lvl w:ilvl="0" w:tplc="E848BFE2">
      <w:start w:val="1"/>
      <w:numFmt w:val="bullet"/>
      <w:lvlText w:val="•"/>
      <w:lvlJc w:val="left"/>
      <w:pPr>
        <w:tabs>
          <w:tab w:val="num" w:pos="720"/>
        </w:tabs>
        <w:ind w:left="720" w:hanging="360"/>
      </w:pPr>
      <w:rPr>
        <w:rFonts w:ascii="Arial" w:hAnsi="Arial" w:hint="default"/>
      </w:rPr>
    </w:lvl>
    <w:lvl w:ilvl="1" w:tplc="F892999C" w:tentative="1">
      <w:start w:val="1"/>
      <w:numFmt w:val="bullet"/>
      <w:lvlText w:val="•"/>
      <w:lvlJc w:val="left"/>
      <w:pPr>
        <w:tabs>
          <w:tab w:val="num" w:pos="1440"/>
        </w:tabs>
        <w:ind w:left="1440" w:hanging="360"/>
      </w:pPr>
      <w:rPr>
        <w:rFonts w:ascii="Arial" w:hAnsi="Arial" w:hint="default"/>
      </w:rPr>
    </w:lvl>
    <w:lvl w:ilvl="2" w:tplc="9BE057DE" w:tentative="1">
      <w:start w:val="1"/>
      <w:numFmt w:val="bullet"/>
      <w:lvlText w:val="•"/>
      <w:lvlJc w:val="left"/>
      <w:pPr>
        <w:tabs>
          <w:tab w:val="num" w:pos="2160"/>
        </w:tabs>
        <w:ind w:left="2160" w:hanging="360"/>
      </w:pPr>
      <w:rPr>
        <w:rFonts w:ascii="Arial" w:hAnsi="Arial" w:hint="default"/>
      </w:rPr>
    </w:lvl>
    <w:lvl w:ilvl="3" w:tplc="7C2ACECE" w:tentative="1">
      <w:start w:val="1"/>
      <w:numFmt w:val="bullet"/>
      <w:lvlText w:val="•"/>
      <w:lvlJc w:val="left"/>
      <w:pPr>
        <w:tabs>
          <w:tab w:val="num" w:pos="2880"/>
        </w:tabs>
        <w:ind w:left="2880" w:hanging="360"/>
      </w:pPr>
      <w:rPr>
        <w:rFonts w:ascii="Arial" w:hAnsi="Arial" w:hint="default"/>
      </w:rPr>
    </w:lvl>
    <w:lvl w:ilvl="4" w:tplc="500C3CB2" w:tentative="1">
      <w:start w:val="1"/>
      <w:numFmt w:val="bullet"/>
      <w:lvlText w:val="•"/>
      <w:lvlJc w:val="left"/>
      <w:pPr>
        <w:tabs>
          <w:tab w:val="num" w:pos="3600"/>
        </w:tabs>
        <w:ind w:left="3600" w:hanging="360"/>
      </w:pPr>
      <w:rPr>
        <w:rFonts w:ascii="Arial" w:hAnsi="Arial" w:hint="default"/>
      </w:rPr>
    </w:lvl>
    <w:lvl w:ilvl="5" w:tplc="EE8AAC82" w:tentative="1">
      <w:start w:val="1"/>
      <w:numFmt w:val="bullet"/>
      <w:lvlText w:val="•"/>
      <w:lvlJc w:val="left"/>
      <w:pPr>
        <w:tabs>
          <w:tab w:val="num" w:pos="4320"/>
        </w:tabs>
        <w:ind w:left="4320" w:hanging="360"/>
      </w:pPr>
      <w:rPr>
        <w:rFonts w:ascii="Arial" w:hAnsi="Arial" w:hint="default"/>
      </w:rPr>
    </w:lvl>
    <w:lvl w:ilvl="6" w:tplc="8A52104E" w:tentative="1">
      <w:start w:val="1"/>
      <w:numFmt w:val="bullet"/>
      <w:lvlText w:val="•"/>
      <w:lvlJc w:val="left"/>
      <w:pPr>
        <w:tabs>
          <w:tab w:val="num" w:pos="5040"/>
        </w:tabs>
        <w:ind w:left="5040" w:hanging="360"/>
      </w:pPr>
      <w:rPr>
        <w:rFonts w:ascii="Arial" w:hAnsi="Arial" w:hint="default"/>
      </w:rPr>
    </w:lvl>
    <w:lvl w:ilvl="7" w:tplc="BEA087AE" w:tentative="1">
      <w:start w:val="1"/>
      <w:numFmt w:val="bullet"/>
      <w:lvlText w:val="•"/>
      <w:lvlJc w:val="left"/>
      <w:pPr>
        <w:tabs>
          <w:tab w:val="num" w:pos="5760"/>
        </w:tabs>
        <w:ind w:left="5760" w:hanging="360"/>
      </w:pPr>
      <w:rPr>
        <w:rFonts w:ascii="Arial" w:hAnsi="Arial" w:hint="default"/>
      </w:rPr>
    </w:lvl>
    <w:lvl w:ilvl="8" w:tplc="AF666F1A" w:tentative="1">
      <w:start w:val="1"/>
      <w:numFmt w:val="bullet"/>
      <w:lvlText w:val="•"/>
      <w:lvlJc w:val="left"/>
      <w:pPr>
        <w:tabs>
          <w:tab w:val="num" w:pos="6480"/>
        </w:tabs>
        <w:ind w:left="6480" w:hanging="360"/>
      </w:pPr>
      <w:rPr>
        <w:rFonts w:ascii="Arial" w:hAnsi="Arial" w:hint="default"/>
      </w:rPr>
    </w:lvl>
  </w:abstractNum>
  <w:abstractNum w:abstractNumId="3">
    <w:nsid w:val="51E91CAC"/>
    <w:multiLevelType w:val="hybridMultilevel"/>
    <w:tmpl w:val="36D4D7D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3BF19A6"/>
    <w:multiLevelType w:val="hybridMultilevel"/>
    <w:tmpl w:val="382440E6"/>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6B65A09"/>
    <w:multiLevelType w:val="hybridMultilevel"/>
    <w:tmpl w:val="B7F02118"/>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B1A4240"/>
    <w:multiLevelType w:val="multilevel"/>
    <w:tmpl w:val="09B8402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0"/>
  </w:num>
  <w:num w:numId="2">
    <w:abstractNumId w:val="2"/>
  </w:num>
  <w:num w:numId="3">
    <w:abstractNumId w:val="6"/>
  </w:num>
  <w:num w:numId="4">
    <w:abstractNumId w:val="3"/>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3E52"/>
    <w:rsid w:val="00077BE7"/>
    <w:rsid w:val="000A6B88"/>
    <w:rsid w:val="000B2B26"/>
    <w:rsid w:val="000E2021"/>
    <w:rsid w:val="001262F7"/>
    <w:rsid w:val="00141BDB"/>
    <w:rsid w:val="00141EDD"/>
    <w:rsid w:val="00143CCF"/>
    <w:rsid w:val="001D1871"/>
    <w:rsid w:val="001D2E6A"/>
    <w:rsid w:val="001D5A75"/>
    <w:rsid w:val="0024084E"/>
    <w:rsid w:val="002456D3"/>
    <w:rsid w:val="00250FEF"/>
    <w:rsid w:val="00267BA2"/>
    <w:rsid w:val="002C3FE7"/>
    <w:rsid w:val="002D1DCE"/>
    <w:rsid w:val="002E3812"/>
    <w:rsid w:val="002E7FD3"/>
    <w:rsid w:val="00342CB2"/>
    <w:rsid w:val="00360F79"/>
    <w:rsid w:val="003B118F"/>
    <w:rsid w:val="003B3180"/>
    <w:rsid w:val="003E33FE"/>
    <w:rsid w:val="003E3D02"/>
    <w:rsid w:val="00416682"/>
    <w:rsid w:val="005248DE"/>
    <w:rsid w:val="00531B78"/>
    <w:rsid w:val="00564E30"/>
    <w:rsid w:val="00586A6E"/>
    <w:rsid w:val="005F2F17"/>
    <w:rsid w:val="0061662D"/>
    <w:rsid w:val="00622460"/>
    <w:rsid w:val="00626C3C"/>
    <w:rsid w:val="00651011"/>
    <w:rsid w:val="006A5913"/>
    <w:rsid w:val="006E54AE"/>
    <w:rsid w:val="006E6997"/>
    <w:rsid w:val="007D12FD"/>
    <w:rsid w:val="00826390"/>
    <w:rsid w:val="00831F30"/>
    <w:rsid w:val="00863781"/>
    <w:rsid w:val="008715F0"/>
    <w:rsid w:val="00900BF7"/>
    <w:rsid w:val="0091339C"/>
    <w:rsid w:val="009330CB"/>
    <w:rsid w:val="00954748"/>
    <w:rsid w:val="009835C9"/>
    <w:rsid w:val="00986823"/>
    <w:rsid w:val="009F361E"/>
    <w:rsid w:val="00A03870"/>
    <w:rsid w:val="00A66DFB"/>
    <w:rsid w:val="00A95D29"/>
    <w:rsid w:val="00AC56E2"/>
    <w:rsid w:val="00B342BC"/>
    <w:rsid w:val="00B80AEA"/>
    <w:rsid w:val="00BF37BB"/>
    <w:rsid w:val="00C16E15"/>
    <w:rsid w:val="00C214A9"/>
    <w:rsid w:val="00C30F06"/>
    <w:rsid w:val="00C764DB"/>
    <w:rsid w:val="00C8779F"/>
    <w:rsid w:val="00C90127"/>
    <w:rsid w:val="00C91925"/>
    <w:rsid w:val="00CF50B0"/>
    <w:rsid w:val="00D16C54"/>
    <w:rsid w:val="00D664BF"/>
    <w:rsid w:val="00D77B6C"/>
    <w:rsid w:val="00E43C51"/>
    <w:rsid w:val="00E73091"/>
    <w:rsid w:val="00EC11FB"/>
    <w:rsid w:val="00F43E52"/>
    <w:rsid w:val="00F800E8"/>
    <w:rsid w:val="00FC359C"/>
    <w:rsid w:val="00FD07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616A7A4-9774-4568-9918-A597E4C84E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numPr>
        <w:numId w:val="1"/>
      </w:numPr>
      <w:spacing w:after="0"/>
    </w:pPr>
  </w:style>
  <w:style w:type="paragraph" w:customStyle="1" w:styleId="VBAILTBullet2">
    <w:name w:val="VBAILT Bullet 2"/>
    <w:basedOn w:val="VBAILTBody"/>
    <w:qFormat/>
    <w:rsid w:val="002E7FD3"/>
    <w:pPr>
      <w:numPr>
        <w:ilvl w:val="1"/>
        <w:numId w:val="1"/>
      </w:numPr>
      <w:ind w:left="720"/>
    </w:pPr>
  </w:style>
  <w:style w:type="table" w:styleId="TableGrid">
    <w:name w:val="Table Grid"/>
    <w:basedOn w:val="TableNormal"/>
    <w:uiPriority w:val="39"/>
    <w:rsid w:val="006E54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C91925"/>
    <w:pPr>
      <w:spacing w:after="336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954748"/>
    <w:pPr>
      <w:spacing w:before="40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C91925"/>
    <w:pPr>
      <w:spacing w:before="228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character" w:styleId="Hyperlink">
    <w:name w:val="Hyperlink"/>
    <w:basedOn w:val="DefaultParagraphFont"/>
    <w:uiPriority w:val="99"/>
    <w:unhideWhenUsed/>
    <w:rsid w:val="00900BF7"/>
    <w:rPr>
      <w:color w:val="0000FF"/>
      <w:u w:val="single"/>
    </w:rPr>
  </w:style>
  <w:style w:type="character" w:styleId="FollowedHyperlink">
    <w:name w:val="FollowedHyperlink"/>
    <w:basedOn w:val="DefaultParagraphFont"/>
    <w:uiPriority w:val="99"/>
    <w:semiHidden/>
    <w:unhideWhenUsed/>
    <w:rsid w:val="0065101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vbaw.vba.va.gov/bl/22/ref/m22-4/Part%20IV/ch11.htm" TargetMode="External"/><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package" Target="embeddings/Microsoft_Excel_Worksheet2.xlsx"/><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VAVBAWAS/CO/222A%20%3c222A.VBAVACO@va.gov%3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DMCEDU.VBASPL@va.gov" TargetMode="Externa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mailto:VAVBASPL/DMC/EDU%20DMCEDU.VBASPL@va.gov" TargetMode="External"/><Relationship Id="rId23" Type="http://schemas.openxmlformats.org/officeDocument/2006/relationships/package" Target="embeddings/Microsoft_Excel_Worksheet3.xlsx"/><Relationship Id="rId10" Type="http://schemas.openxmlformats.org/officeDocument/2006/relationships/footnotes" Target="footnotes.xml"/><Relationship Id="rId19" Type="http://schemas.openxmlformats.org/officeDocument/2006/relationships/package" Target="embeddings/Microsoft_Excel_Worksheet1.xls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vbaw.vba.va.gov/bl/22/ref/m22-4/Part%20IV/ch11.htm" TargetMode="External"/><Relationship Id="rId22"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UJWELS316\AppData\Local\Microsoft\Windows\Temporary%20Internet%20Files\Content.Outlook\Y3RO8NHS\EDU_Collection%20Codes%20with%20MITCs%20Training%20Update_LessonOverview%20(3)%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CC919667E7F640A1A551220B66E1DD" ma:contentTypeVersion="0" ma:contentTypeDescription="Create a new document." ma:contentTypeScope="" ma:versionID="8896d82f8ccc3cc9dcdf2780e0b81e9a">
  <xsd:schema xmlns:xsd="http://www.w3.org/2001/XMLSchema" xmlns:xs="http://www.w3.org/2001/XMLSchema" xmlns:p="http://schemas.microsoft.com/office/2006/metadata/properties" xmlns:ns2="ced1f988-d16c-4eb7-9443-312b8723c36c" targetNamespace="http://schemas.microsoft.com/office/2006/metadata/properties" ma:root="true" ma:fieldsID="1d673b042d7c1ef98ca4e77565e1a0f7"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EDUSHARE-305-629</_dlc_DocId>
    <_dlc_DocIdUrl xmlns="ced1f988-d16c-4eb7-9443-312b8723c36c">
      <Url>http://vaww.infoshare.va.gov/sites/educationservice/225/225A/_layouts/DocIdRedir.aspx?ID=EDUSHARE-305-629</Url>
      <Description>EDUSHARE-305-629</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64862-793F-4ACB-BFFA-40A8378311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B5B8B8-7650-40EC-A500-625EA57D94BF}">
  <ds:schemaRefs>
    <ds:schemaRef ds:uri="http://schemas.microsoft.com/sharepoint/events"/>
  </ds:schemaRefs>
</ds:datastoreItem>
</file>

<file path=customXml/itemProps3.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ced1f988-d16c-4eb7-9443-312b8723c36c"/>
  </ds:schemaRefs>
</ds:datastoreItem>
</file>

<file path=customXml/itemProps4.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5.xml><?xml version="1.0" encoding="utf-8"?>
<ds:datastoreItem xmlns:ds="http://schemas.openxmlformats.org/officeDocument/2006/customXml" ds:itemID="{C8CE405F-B648-45AA-99E6-346920B76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EDU_Collection Codes with MITCs Training Update_LessonOverview (3) (2)</Template>
  <TotalTime>50</TotalTime>
  <Pages>4</Pages>
  <Words>886</Words>
  <Characters>5052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Handling Debt Collection Codes when Accepting Mitigating Circumstances Lesson Plan</vt:lpstr>
    </vt:vector>
  </TitlesOfParts>
  <Company>Veterans Benefits Administration</Company>
  <LinksUpToDate>false</LinksUpToDate>
  <CharactersWithSpaces>5927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Handling Debt Collection Codes when Accepting Mitigating Circumstances Lesson Plan</dc:title>
  <dc:subject>ECM</dc:subject>
  <dc:creator>Department of Veterans Affairs, Veterans Benefits Administration, Education Service, STAFF</dc:creator>
  <cp:keywords>debt collection code indicators,RPO,DMC,mitigating circumstances</cp:keywords>
  <dc:description>This lesson provides guidance to the Regional Processing Offices (RPOs) to ensure consistent procedures are in place for the proper handling of debt collection code indicators when processing claims involving the acceptance of mitigating circumstances.</dc:description>
  <cp:lastModifiedBy>Poole, Kathleen</cp:lastModifiedBy>
  <cp:revision>3</cp:revision>
  <dcterms:created xsi:type="dcterms:W3CDTF">2017-08-02T20:31:00Z</dcterms:created>
  <dcterms:modified xsi:type="dcterms:W3CDTF">2017-08-03T19:09:00Z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0x010100E4CC919667E7F640A1A551220B66E1DD</vt:lpwstr>
  </property>
  <property fmtid="{D5CDD505-2E9C-101B-9397-08002B2CF9AE}" pid="3" name="Language">
    <vt:lpwstr>English (U.S.)</vt:lpwstr>
  </property>
  <property fmtid="{D5CDD505-2E9C-101B-9397-08002B2CF9AE}" pid="4" name="_dlc_DocIdItemGuid">
    <vt:lpwstr>ac580f0f-4bf7-4966-a354-e920325a361e</vt:lpwstr>
  </property>
  <property fmtid="{D5CDD505-2E9C-101B-9397-08002B2CF9AE}" pid="5" name="Type">
    <vt:lpwstr>Teaching Material</vt:lpwstr>
  </property>
</Properties>
</file>