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3F" w:rsidRPr="009E7C2A" w:rsidRDefault="008D6836" w:rsidP="00DB68F4">
      <w:pPr>
        <w:jc w:val="center"/>
        <w:rPr>
          <w:rFonts w:ascii="Garamond" w:hAnsi="Garamond" w:cs="Times New Roman"/>
          <w:b/>
          <w:sz w:val="40"/>
          <w:szCs w:val="32"/>
        </w:rPr>
      </w:pPr>
      <w:bookmarkStart w:id="0" w:name="_GoBack"/>
      <w:r w:rsidRPr="009E7C2A">
        <w:rPr>
          <w:rFonts w:ascii="Garamond" w:hAnsi="Garamond" w:cs="Times New Roman"/>
          <w:b/>
          <w:sz w:val="40"/>
          <w:szCs w:val="32"/>
        </w:rPr>
        <w:t>Endocrine C</w:t>
      </w:r>
      <w:r w:rsidR="00DB68F4" w:rsidRPr="009E7C2A">
        <w:rPr>
          <w:rFonts w:ascii="Garamond" w:hAnsi="Garamond" w:cs="Times New Roman"/>
          <w:b/>
          <w:sz w:val="40"/>
          <w:szCs w:val="32"/>
        </w:rPr>
        <w:t>onditions</w:t>
      </w:r>
      <w:r w:rsidR="00BA10ED" w:rsidRPr="009E7C2A">
        <w:rPr>
          <w:rFonts w:ascii="Garamond" w:hAnsi="Garamond" w:cs="Times New Roman"/>
          <w:b/>
          <w:sz w:val="40"/>
          <w:szCs w:val="32"/>
        </w:rPr>
        <w:t xml:space="preserve"> VASRD Change Introduction</w:t>
      </w:r>
    </w:p>
    <w:bookmarkEnd w:id="0"/>
    <w:p w:rsidR="00DB68F4" w:rsidRPr="004F12D9" w:rsidRDefault="00BA10ED" w:rsidP="00DB68F4">
      <w:pPr>
        <w:spacing w:after="0" w:line="240" w:lineRule="auto"/>
        <w:rPr>
          <w:rFonts w:ascii="Garamond" w:hAnsi="Garamond" w:cs="Times New Roman"/>
          <w:b/>
          <w:sz w:val="24"/>
          <w:szCs w:val="24"/>
        </w:rPr>
      </w:pPr>
      <w:r w:rsidRPr="004F12D9">
        <w:rPr>
          <w:rFonts w:ascii="Garamond" w:hAnsi="Garamond" w:cs="Times New Roman"/>
          <w:b/>
          <w:sz w:val="24"/>
          <w:szCs w:val="24"/>
        </w:rPr>
        <w:t>Exciting new updates to the rating schedule</w:t>
      </w:r>
      <w:r w:rsidR="00E04E2B" w:rsidRPr="004F12D9">
        <w:rPr>
          <w:rFonts w:ascii="Garamond" w:hAnsi="Garamond" w:cs="Times New Roman"/>
          <w:b/>
          <w:sz w:val="24"/>
          <w:szCs w:val="24"/>
        </w:rPr>
        <w:t xml:space="preserve"> (using this and the currently published VA Rating Schedule, you should be able to answer all quiz questions in the video)</w:t>
      </w:r>
      <w:r w:rsidRPr="004F12D9">
        <w:rPr>
          <w:rFonts w:ascii="Garamond" w:hAnsi="Garamond" w:cs="Times New Roman"/>
          <w:b/>
          <w:sz w:val="24"/>
          <w:szCs w:val="24"/>
        </w:rPr>
        <w:t xml:space="preserve"> …</w:t>
      </w:r>
    </w:p>
    <w:p w:rsidR="00DB68F4" w:rsidRPr="004F12D9" w:rsidRDefault="00DB68F4" w:rsidP="00DB68F4">
      <w:pPr>
        <w:spacing w:after="0" w:line="240" w:lineRule="auto"/>
        <w:rPr>
          <w:rFonts w:ascii="Garamond" w:hAnsi="Garamond" w:cs="Times New Roman"/>
          <w:sz w:val="24"/>
          <w:szCs w:val="24"/>
        </w:rPr>
      </w:pPr>
    </w:p>
    <w:tbl>
      <w:tblPr>
        <w:tblStyle w:val="TableGrid"/>
        <w:tblW w:w="0" w:type="auto"/>
        <w:tblInd w:w="288" w:type="dxa"/>
        <w:tblLook w:val="04A0" w:firstRow="1" w:lastRow="0" w:firstColumn="1" w:lastColumn="0" w:noHBand="0" w:noVBand="1"/>
      </w:tblPr>
      <w:tblGrid>
        <w:gridCol w:w="1620"/>
        <w:gridCol w:w="7290"/>
      </w:tblGrid>
      <w:tr w:rsidR="00DB68F4" w:rsidRPr="004F12D9" w:rsidTr="00C157BA">
        <w:tc>
          <w:tcPr>
            <w:tcW w:w="1620" w:type="dxa"/>
            <w:shd w:val="clear" w:color="auto" w:fill="BFBFBF" w:themeFill="background1" w:themeFillShade="BF"/>
          </w:tcPr>
          <w:p w:rsidR="00DB68F4" w:rsidRPr="004F12D9" w:rsidRDefault="00DB68F4" w:rsidP="00664DBA">
            <w:pPr>
              <w:rPr>
                <w:rFonts w:ascii="Garamond" w:hAnsi="Garamond" w:cs="Times New Roman"/>
                <w:b/>
                <w:sz w:val="24"/>
                <w:szCs w:val="24"/>
              </w:rPr>
            </w:pPr>
            <w:r w:rsidRPr="004F12D9">
              <w:rPr>
                <w:rFonts w:ascii="Garamond" w:hAnsi="Garamond" w:cs="Times New Roman"/>
                <w:b/>
                <w:sz w:val="24"/>
                <w:szCs w:val="24"/>
              </w:rPr>
              <w:t>Code</w:t>
            </w:r>
          </w:p>
        </w:tc>
        <w:tc>
          <w:tcPr>
            <w:tcW w:w="7290" w:type="dxa"/>
            <w:shd w:val="clear" w:color="auto" w:fill="BFBFBF" w:themeFill="background1" w:themeFillShade="BF"/>
          </w:tcPr>
          <w:p w:rsidR="00DB68F4" w:rsidRPr="004F12D9" w:rsidRDefault="00DB68F4" w:rsidP="00664DBA">
            <w:pPr>
              <w:rPr>
                <w:rFonts w:ascii="Garamond" w:hAnsi="Garamond" w:cs="Times New Roman"/>
                <w:b/>
                <w:sz w:val="24"/>
                <w:szCs w:val="24"/>
              </w:rPr>
            </w:pPr>
            <w:r w:rsidRPr="004F12D9">
              <w:rPr>
                <w:rFonts w:ascii="Garamond" w:hAnsi="Garamond" w:cs="Times New Roman"/>
                <w:b/>
                <w:sz w:val="24"/>
                <w:szCs w:val="24"/>
              </w:rPr>
              <w:t>Change Description</w:t>
            </w:r>
          </w:p>
        </w:tc>
      </w:tr>
      <w:tr w:rsidR="0071520B" w:rsidRPr="004F12D9" w:rsidTr="00C157BA">
        <w:tc>
          <w:tcPr>
            <w:tcW w:w="1620" w:type="dxa"/>
          </w:tcPr>
          <w:p w:rsidR="0071520B" w:rsidRPr="004F12D9" w:rsidRDefault="008D6836" w:rsidP="00664DBA">
            <w:pPr>
              <w:rPr>
                <w:rFonts w:ascii="Garamond" w:hAnsi="Garamond" w:cs="Times New Roman"/>
                <w:b/>
                <w:sz w:val="24"/>
                <w:szCs w:val="24"/>
              </w:rPr>
            </w:pPr>
            <w:r w:rsidRPr="004F12D9">
              <w:rPr>
                <w:rFonts w:ascii="Garamond" w:hAnsi="Garamond" w:cs="Times New Roman"/>
                <w:b/>
                <w:sz w:val="24"/>
                <w:szCs w:val="24"/>
              </w:rPr>
              <w:t>7900</w:t>
            </w:r>
          </w:p>
        </w:tc>
        <w:tc>
          <w:tcPr>
            <w:tcW w:w="7290" w:type="dxa"/>
          </w:tcPr>
          <w:p w:rsidR="0071520B" w:rsidRPr="00DB0BF6" w:rsidRDefault="00C879ED" w:rsidP="00DB0BF6">
            <w:pPr>
              <w:pStyle w:val="Default"/>
              <w:rPr>
                <w:rFonts w:ascii="Garamond" w:hAnsi="Garamond" w:cs="Times New Roman"/>
                <w:color w:val="FF0000"/>
              </w:rPr>
            </w:pPr>
            <w:r w:rsidRPr="00DB0BF6">
              <w:rPr>
                <w:rFonts w:ascii="Garamond" w:hAnsi="Garamond" w:cs="Times New Roman"/>
              </w:rPr>
              <w:t xml:space="preserve">Now includes Graves’ disease- evaluation </w:t>
            </w:r>
            <w:r w:rsidR="00DB0BF6">
              <w:rPr>
                <w:rFonts w:ascii="Garamond" w:hAnsi="Garamond" w:cs="Times New Roman"/>
              </w:rPr>
              <w:t xml:space="preserve">criteria begins with 30% evaluation </w:t>
            </w:r>
            <w:r w:rsidRPr="00DB0BF6">
              <w:rPr>
                <w:rFonts w:ascii="Garamond" w:hAnsi="Garamond" w:cs="Times New Roman"/>
              </w:rPr>
              <w:t>for 6 months</w:t>
            </w:r>
            <w:r w:rsidR="00DB0BF6">
              <w:rPr>
                <w:rFonts w:ascii="Garamond" w:hAnsi="Garamond" w:cs="Times New Roman"/>
              </w:rPr>
              <w:t>,</w:t>
            </w:r>
            <w:r w:rsidRPr="00DB0BF6">
              <w:rPr>
                <w:rFonts w:ascii="Garamond" w:hAnsi="Garamond" w:cs="Times New Roman"/>
              </w:rPr>
              <w:t xml:space="preserve"> followed by a mandatory evaluation</w:t>
            </w:r>
            <w:r w:rsidR="00DB0BF6" w:rsidRPr="00DB0BF6">
              <w:rPr>
                <w:rFonts w:ascii="Garamond" w:hAnsi="Garamond" w:cs="Times New Roman"/>
                <w:color w:val="FF0000"/>
              </w:rPr>
              <w:t>.</w:t>
            </w:r>
            <w:r w:rsidR="00DB0BF6" w:rsidRPr="00DB0BF6">
              <w:rPr>
                <w:rFonts w:ascii="Garamond" w:hAnsi="Garamond"/>
              </w:rPr>
              <w:t xml:space="preserve"> Rate residuals of disease or complications with the appropriate DC within the appropriate body system.</w:t>
            </w:r>
          </w:p>
        </w:tc>
      </w:tr>
      <w:tr w:rsidR="0071520B" w:rsidRPr="004F12D9" w:rsidTr="00C157BA">
        <w:tc>
          <w:tcPr>
            <w:tcW w:w="1620" w:type="dxa"/>
          </w:tcPr>
          <w:p w:rsidR="0071520B" w:rsidRPr="004F12D9" w:rsidRDefault="00F27D9E" w:rsidP="00664DBA">
            <w:pPr>
              <w:rPr>
                <w:rFonts w:ascii="Garamond" w:hAnsi="Garamond" w:cs="Times New Roman"/>
                <w:b/>
                <w:sz w:val="24"/>
                <w:szCs w:val="24"/>
              </w:rPr>
            </w:pPr>
            <w:r w:rsidRPr="004F12D9">
              <w:rPr>
                <w:rFonts w:ascii="Garamond" w:hAnsi="Garamond" w:cs="Times New Roman"/>
                <w:b/>
                <w:sz w:val="24"/>
                <w:szCs w:val="24"/>
              </w:rPr>
              <w:t>7903</w:t>
            </w:r>
          </w:p>
        </w:tc>
        <w:tc>
          <w:tcPr>
            <w:tcW w:w="7290" w:type="dxa"/>
          </w:tcPr>
          <w:p w:rsidR="00631AF0" w:rsidRPr="004F12D9" w:rsidRDefault="00F27D9E" w:rsidP="00664DBA">
            <w:pPr>
              <w:contextualSpacing/>
              <w:rPr>
                <w:rFonts w:ascii="Garamond" w:hAnsi="Garamond" w:cs="Times New Roman"/>
                <w:sz w:val="24"/>
                <w:szCs w:val="24"/>
              </w:rPr>
            </w:pPr>
            <w:r w:rsidRPr="004F12D9">
              <w:rPr>
                <w:rFonts w:ascii="Garamond" w:hAnsi="Garamond" w:cs="Times New Roman"/>
                <w:sz w:val="24"/>
                <w:szCs w:val="24"/>
              </w:rPr>
              <w:t xml:space="preserve">Veterans presenting with myxedema are given a 100 percent or without myxedema are given a 30 percent evaluation. Six months following initial diagnosis, a future examination should be conducted to determine residuals, which are rated under the appropriate body system. The 30 percent evaluation is </w:t>
            </w:r>
            <w:r w:rsidRPr="004F12D9">
              <w:rPr>
                <w:rFonts w:ascii="Garamond" w:hAnsi="Garamond" w:cs="Times New Roman"/>
                <w:b/>
                <w:sz w:val="24"/>
                <w:szCs w:val="24"/>
              </w:rPr>
              <w:t>not</w:t>
            </w:r>
            <w:r w:rsidRPr="004F12D9">
              <w:rPr>
                <w:rFonts w:ascii="Garamond" w:hAnsi="Garamond" w:cs="Times New Roman"/>
                <w:sz w:val="24"/>
                <w:szCs w:val="24"/>
              </w:rPr>
              <w:t xml:space="preserve"> a mandatory minimum evaluation. </w:t>
            </w:r>
          </w:p>
        </w:tc>
      </w:tr>
      <w:tr w:rsidR="00DB68F4" w:rsidRPr="004F12D9" w:rsidTr="00C157BA">
        <w:tc>
          <w:tcPr>
            <w:tcW w:w="1620" w:type="dxa"/>
          </w:tcPr>
          <w:p w:rsidR="00DB68F4" w:rsidRPr="004F12D9" w:rsidRDefault="00F27D9E" w:rsidP="00664DBA">
            <w:pPr>
              <w:rPr>
                <w:rFonts w:ascii="Garamond" w:hAnsi="Garamond" w:cs="Times New Roman"/>
                <w:sz w:val="24"/>
                <w:szCs w:val="24"/>
              </w:rPr>
            </w:pPr>
            <w:r w:rsidRPr="004F12D9">
              <w:rPr>
                <w:rFonts w:ascii="Garamond" w:hAnsi="Garamond" w:cs="Times New Roman"/>
                <w:b/>
                <w:sz w:val="24"/>
                <w:szCs w:val="24"/>
              </w:rPr>
              <w:t>7904</w:t>
            </w:r>
          </w:p>
        </w:tc>
        <w:tc>
          <w:tcPr>
            <w:tcW w:w="7290" w:type="dxa"/>
          </w:tcPr>
          <w:p w:rsidR="00F27D9E" w:rsidRPr="004F12D9" w:rsidRDefault="00F27D9E" w:rsidP="00F27D9E">
            <w:pPr>
              <w:rPr>
                <w:rFonts w:ascii="Garamond" w:hAnsi="Garamond" w:cs="Times New Roman"/>
                <w:sz w:val="24"/>
                <w:szCs w:val="24"/>
              </w:rPr>
            </w:pPr>
            <w:r w:rsidRPr="004F12D9">
              <w:rPr>
                <w:rFonts w:ascii="Garamond" w:hAnsi="Garamond" w:cs="Times New Roman"/>
                <w:sz w:val="24"/>
                <w:szCs w:val="24"/>
              </w:rPr>
              <w:t>The 100 percent evaluation is only for application for six months from the date of discharge following surgery.  The 60 percent evaluation is based entirely on objective laboratory values – hypercalcemia. The 10 percent evaluation is largely similar to the old evaluative criteria of continuous medication required for control, but also adds consideration for symptomatic individuals not receiving medication.</w:t>
            </w:r>
          </w:p>
        </w:tc>
      </w:tr>
      <w:tr w:rsidR="00DB68F4" w:rsidRPr="004F12D9" w:rsidTr="00C157BA">
        <w:tc>
          <w:tcPr>
            <w:tcW w:w="1620" w:type="dxa"/>
          </w:tcPr>
          <w:p w:rsidR="00DB68F4" w:rsidRPr="004F12D9" w:rsidRDefault="00D303C4" w:rsidP="00631AF0">
            <w:pPr>
              <w:rPr>
                <w:rFonts w:ascii="Garamond" w:hAnsi="Garamond" w:cs="Times New Roman"/>
                <w:sz w:val="24"/>
                <w:szCs w:val="24"/>
              </w:rPr>
            </w:pPr>
            <w:r w:rsidRPr="004F12D9">
              <w:rPr>
                <w:rFonts w:ascii="Garamond" w:hAnsi="Garamond" w:cs="Times New Roman"/>
                <w:b/>
                <w:sz w:val="24"/>
                <w:szCs w:val="24"/>
              </w:rPr>
              <w:t>7905 &amp; 7906</w:t>
            </w:r>
          </w:p>
        </w:tc>
        <w:tc>
          <w:tcPr>
            <w:tcW w:w="7290" w:type="dxa"/>
          </w:tcPr>
          <w:p w:rsidR="00DB68F4" w:rsidRPr="004F12D9" w:rsidRDefault="00D303C4" w:rsidP="00731F6D">
            <w:pPr>
              <w:rPr>
                <w:rFonts w:ascii="Garamond" w:hAnsi="Garamond" w:cs="Times New Roman"/>
                <w:sz w:val="24"/>
                <w:szCs w:val="24"/>
              </w:rPr>
            </w:pPr>
            <w:r w:rsidRPr="004F12D9">
              <w:rPr>
                <w:rFonts w:ascii="Garamond" w:hAnsi="Garamond" w:cs="Times New Roman"/>
                <w:sz w:val="24"/>
                <w:szCs w:val="24"/>
              </w:rPr>
              <w:t xml:space="preserve">New evaluation criteria: 100 percent evaluation following initial diagnosis followed by a VA </w:t>
            </w:r>
            <w:r w:rsidR="00BE4237" w:rsidRPr="004F12D9">
              <w:rPr>
                <w:rFonts w:ascii="Garamond" w:hAnsi="Garamond" w:cs="Times New Roman"/>
                <w:sz w:val="24"/>
                <w:szCs w:val="24"/>
              </w:rPr>
              <w:t>examination</w:t>
            </w:r>
          </w:p>
        </w:tc>
      </w:tr>
      <w:tr w:rsidR="00DB68F4" w:rsidRPr="004F12D9" w:rsidTr="00C157BA">
        <w:tc>
          <w:tcPr>
            <w:tcW w:w="1620" w:type="dxa"/>
          </w:tcPr>
          <w:p w:rsidR="00DB68F4" w:rsidRPr="004F12D9" w:rsidRDefault="00BE4237" w:rsidP="00664DBA">
            <w:pPr>
              <w:rPr>
                <w:rFonts w:ascii="Garamond" w:hAnsi="Garamond" w:cs="Times New Roman"/>
                <w:sz w:val="24"/>
                <w:szCs w:val="24"/>
              </w:rPr>
            </w:pPr>
            <w:r w:rsidRPr="004F12D9">
              <w:rPr>
                <w:rFonts w:ascii="Garamond" w:hAnsi="Garamond" w:cs="Times New Roman"/>
                <w:b/>
                <w:sz w:val="24"/>
                <w:szCs w:val="24"/>
              </w:rPr>
              <w:t>7907 &amp; 7908</w:t>
            </w:r>
          </w:p>
        </w:tc>
        <w:tc>
          <w:tcPr>
            <w:tcW w:w="7290" w:type="dxa"/>
          </w:tcPr>
          <w:p w:rsidR="00FD04E2" w:rsidRPr="004F12D9" w:rsidRDefault="00BE4237" w:rsidP="00FD04E2">
            <w:pPr>
              <w:pStyle w:val="Default"/>
              <w:rPr>
                <w:rFonts w:ascii="Garamond" w:hAnsi="Garamond" w:cs="Times New Roman"/>
              </w:rPr>
            </w:pPr>
            <w:r w:rsidRPr="004F12D9">
              <w:rPr>
                <w:rFonts w:ascii="Garamond" w:hAnsi="Garamond" w:cs="Times New Roman"/>
              </w:rPr>
              <w:t xml:space="preserve">new evaluation criteria – the criteria has been clarified to be based on the severity and extent of muscle weakness and comorbidities, and the 60 percent criteria no longer requires enlargement of the adrenal or pituitary gland. Evaluation for 6 months after initial diagnosis followed by a VA examination. Then residuals evaluated under the appropriate body system. </w:t>
            </w:r>
            <w:r w:rsidR="00FD04E2" w:rsidRPr="004F12D9">
              <w:rPr>
                <w:rFonts w:ascii="Garamond" w:hAnsi="Garamond" w:cs="Times New Roman"/>
              </w:rPr>
              <w:t xml:space="preserve"> </w:t>
            </w:r>
          </w:p>
        </w:tc>
      </w:tr>
      <w:tr w:rsidR="00DB68F4" w:rsidRPr="004F12D9" w:rsidTr="00C157BA">
        <w:tc>
          <w:tcPr>
            <w:tcW w:w="1620" w:type="dxa"/>
          </w:tcPr>
          <w:p w:rsidR="00DB68F4" w:rsidRPr="004F12D9" w:rsidRDefault="0071375E" w:rsidP="00664DBA">
            <w:pPr>
              <w:rPr>
                <w:rFonts w:ascii="Garamond" w:hAnsi="Garamond" w:cs="Times New Roman"/>
                <w:sz w:val="24"/>
                <w:szCs w:val="24"/>
              </w:rPr>
            </w:pPr>
            <w:r w:rsidRPr="004F12D9">
              <w:rPr>
                <w:rFonts w:ascii="Garamond" w:hAnsi="Garamond" w:cs="Times New Roman"/>
                <w:b/>
                <w:sz w:val="24"/>
                <w:szCs w:val="24"/>
              </w:rPr>
              <w:t>7909 &amp; 7912</w:t>
            </w:r>
          </w:p>
        </w:tc>
        <w:tc>
          <w:tcPr>
            <w:tcW w:w="7290" w:type="dxa"/>
          </w:tcPr>
          <w:p w:rsidR="00DB68F4" w:rsidRPr="004F12D9" w:rsidRDefault="0071375E" w:rsidP="00664DBA">
            <w:pPr>
              <w:rPr>
                <w:rFonts w:ascii="Garamond" w:hAnsi="Garamond" w:cs="Times New Roman"/>
                <w:b/>
                <w:sz w:val="24"/>
                <w:szCs w:val="24"/>
              </w:rPr>
            </w:pPr>
            <w:r w:rsidRPr="004F12D9">
              <w:rPr>
                <w:rFonts w:ascii="Garamond" w:hAnsi="Garamond" w:cs="Times New Roman"/>
                <w:sz w:val="24"/>
                <w:szCs w:val="24"/>
              </w:rPr>
              <w:t xml:space="preserve">New evaluation criteria based on initial diagnosis for 3 months followed by a VA examination. </w:t>
            </w:r>
          </w:p>
        </w:tc>
      </w:tr>
      <w:tr w:rsidR="00DB68F4" w:rsidRPr="004F12D9" w:rsidTr="00C157BA">
        <w:tc>
          <w:tcPr>
            <w:tcW w:w="1620" w:type="dxa"/>
          </w:tcPr>
          <w:p w:rsidR="00DB68F4" w:rsidRPr="004F12D9" w:rsidRDefault="0071375E" w:rsidP="0071375E">
            <w:pPr>
              <w:rPr>
                <w:rFonts w:ascii="Garamond" w:hAnsi="Garamond" w:cs="Times New Roman"/>
                <w:sz w:val="24"/>
                <w:szCs w:val="24"/>
              </w:rPr>
            </w:pPr>
            <w:r w:rsidRPr="004F12D9">
              <w:rPr>
                <w:rFonts w:ascii="Garamond" w:hAnsi="Garamond" w:cs="Times New Roman"/>
                <w:b/>
                <w:sz w:val="24"/>
                <w:szCs w:val="24"/>
              </w:rPr>
              <w:t>7916 - 7919</w:t>
            </w:r>
          </w:p>
        </w:tc>
        <w:tc>
          <w:tcPr>
            <w:tcW w:w="7290" w:type="dxa"/>
          </w:tcPr>
          <w:p w:rsidR="00DB68F4" w:rsidRPr="004F12D9" w:rsidRDefault="0071375E" w:rsidP="00664DBA">
            <w:pPr>
              <w:rPr>
                <w:rFonts w:ascii="Garamond" w:hAnsi="Garamond" w:cs="Times New Roman"/>
                <w:sz w:val="24"/>
                <w:szCs w:val="24"/>
              </w:rPr>
            </w:pPr>
            <w:r w:rsidRPr="004F12D9">
              <w:rPr>
                <w:rFonts w:ascii="Garamond" w:hAnsi="Garamond" w:cs="Times New Roman"/>
                <w:sz w:val="24"/>
                <w:szCs w:val="24"/>
              </w:rPr>
              <w:t>New evaluation criteria. Evaluate as malignant or benign neoplasm</w:t>
            </w:r>
          </w:p>
        </w:tc>
      </w:tr>
    </w:tbl>
    <w:p w:rsidR="00DB68F4" w:rsidRPr="004F12D9" w:rsidRDefault="00DB68F4" w:rsidP="00DB68F4">
      <w:pPr>
        <w:spacing w:after="0" w:line="240" w:lineRule="auto"/>
        <w:rPr>
          <w:rFonts w:ascii="Garamond" w:hAnsi="Garamond" w:cs="Times New Roman"/>
          <w:sz w:val="24"/>
          <w:szCs w:val="24"/>
        </w:rPr>
      </w:pPr>
    </w:p>
    <w:p w:rsidR="0071375E" w:rsidRPr="00685D69" w:rsidRDefault="004F12D9" w:rsidP="00DB68F4">
      <w:pPr>
        <w:spacing w:after="0" w:line="240" w:lineRule="auto"/>
        <w:rPr>
          <w:rFonts w:ascii="Garamond" w:hAnsi="Garamond" w:cs="Times New Roman"/>
          <w:b/>
          <w:sz w:val="24"/>
          <w:szCs w:val="24"/>
        </w:rPr>
      </w:pPr>
      <w:r w:rsidRPr="00685D69">
        <w:rPr>
          <w:rFonts w:ascii="Garamond" w:hAnsi="Garamond" w:cs="Times New Roman"/>
          <w:b/>
          <w:sz w:val="24"/>
          <w:szCs w:val="24"/>
        </w:rPr>
        <w:t>The biggest change</w:t>
      </w:r>
      <w:r w:rsidR="0071375E" w:rsidRPr="00685D69">
        <w:rPr>
          <w:rFonts w:ascii="Garamond" w:hAnsi="Garamond" w:cs="Times New Roman"/>
          <w:b/>
          <w:sz w:val="24"/>
          <w:szCs w:val="24"/>
        </w:rPr>
        <w:t xml:space="preserve"> for </w:t>
      </w:r>
      <w:r w:rsidRPr="00685D69">
        <w:rPr>
          <w:rFonts w:ascii="Garamond" w:hAnsi="Garamond" w:cs="Times New Roman"/>
          <w:b/>
          <w:sz w:val="24"/>
          <w:szCs w:val="24"/>
        </w:rPr>
        <w:t>e</w:t>
      </w:r>
      <w:r w:rsidR="0071375E" w:rsidRPr="00685D69">
        <w:rPr>
          <w:rFonts w:ascii="Garamond" w:hAnsi="Garamond" w:cs="Times New Roman"/>
          <w:b/>
          <w:sz w:val="24"/>
          <w:szCs w:val="24"/>
        </w:rPr>
        <w:t xml:space="preserve">ndocrine </w:t>
      </w:r>
      <w:r w:rsidRPr="00685D69">
        <w:rPr>
          <w:rFonts w:ascii="Garamond" w:hAnsi="Garamond" w:cs="Times New Roman"/>
          <w:b/>
          <w:sz w:val="24"/>
          <w:szCs w:val="24"/>
        </w:rPr>
        <w:t>b</w:t>
      </w:r>
      <w:r w:rsidR="0071375E" w:rsidRPr="00685D69">
        <w:rPr>
          <w:rFonts w:ascii="Garamond" w:hAnsi="Garamond" w:cs="Times New Roman"/>
          <w:b/>
          <w:sz w:val="24"/>
          <w:szCs w:val="24"/>
        </w:rPr>
        <w:t xml:space="preserve">ody </w:t>
      </w:r>
      <w:r w:rsidRPr="00685D69">
        <w:rPr>
          <w:rFonts w:ascii="Garamond" w:hAnsi="Garamond" w:cs="Times New Roman"/>
          <w:b/>
          <w:sz w:val="24"/>
          <w:szCs w:val="24"/>
        </w:rPr>
        <w:t>s</w:t>
      </w:r>
      <w:r w:rsidR="0071375E" w:rsidRPr="00685D69">
        <w:rPr>
          <w:rFonts w:ascii="Garamond" w:hAnsi="Garamond" w:cs="Times New Roman"/>
          <w:b/>
          <w:sz w:val="24"/>
          <w:szCs w:val="24"/>
        </w:rPr>
        <w:t>ystem is the new requirement for a mandatory future examination after initial diagnosis</w:t>
      </w:r>
      <w:r w:rsidRPr="00685D69">
        <w:rPr>
          <w:rFonts w:ascii="Garamond" w:hAnsi="Garamond" w:cs="Times New Roman"/>
          <w:b/>
          <w:sz w:val="24"/>
          <w:szCs w:val="24"/>
        </w:rPr>
        <w:t xml:space="preserve"> for many diagnostic codes</w:t>
      </w:r>
      <w:r w:rsidR="0071375E" w:rsidRPr="00685D69">
        <w:rPr>
          <w:rFonts w:ascii="Garamond" w:hAnsi="Garamond" w:cs="Times New Roman"/>
          <w:b/>
          <w:sz w:val="24"/>
          <w:szCs w:val="24"/>
        </w:rPr>
        <w:t xml:space="preserve">. </w:t>
      </w:r>
    </w:p>
    <w:p w:rsidR="0071375E" w:rsidRPr="004F12D9" w:rsidRDefault="0071375E" w:rsidP="00DB68F4">
      <w:pPr>
        <w:spacing w:after="0" w:line="240" w:lineRule="auto"/>
        <w:rPr>
          <w:rFonts w:ascii="Garamond" w:hAnsi="Garamond" w:cs="Times New Roman"/>
          <w:sz w:val="24"/>
          <w:szCs w:val="24"/>
        </w:rPr>
      </w:pPr>
    </w:p>
    <w:p w:rsidR="00F31007" w:rsidRPr="004F12D9" w:rsidRDefault="00BA10ED" w:rsidP="00DB68F4">
      <w:pPr>
        <w:spacing w:after="0" w:line="240" w:lineRule="auto"/>
        <w:rPr>
          <w:rFonts w:ascii="Garamond" w:hAnsi="Garamond" w:cs="Times New Roman"/>
          <w:sz w:val="24"/>
          <w:szCs w:val="24"/>
        </w:rPr>
      </w:pPr>
      <w:r w:rsidRPr="004F12D9">
        <w:rPr>
          <w:rFonts w:ascii="Garamond" w:hAnsi="Garamond" w:cs="Times New Roman"/>
          <w:b/>
          <w:sz w:val="24"/>
          <w:szCs w:val="24"/>
        </w:rPr>
        <w:t xml:space="preserve">Important considerations – </w:t>
      </w:r>
      <w:r w:rsidR="00F31007" w:rsidRPr="004F12D9">
        <w:rPr>
          <w:rFonts w:ascii="Garamond" w:hAnsi="Garamond" w:cs="Times New Roman"/>
          <w:sz w:val="24"/>
          <w:szCs w:val="24"/>
        </w:rPr>
        <w:t xml:space="preserve">Now that we’ve previewed </w:t>
      </w:r>
      <w:r w:rsidR="00814479" w:rsidRPr="004F12D9">
        <w:rPr>
          <w:rFonts w:ascii="Garamond" w:hAnsi="Garamond" w:cs="Times New Roman"/>
          <w:sz w:val="24"/>
          <w:szCs w:val="24"/>
        </w:rPr>
        <w:t>the</w:t>
      </w:r>
      <w:r w:rsidR="00F31007" w:rsidRPr="004F12D9">
        <w:rPr>
          <w:rFonts w:ascii="Garamond" w:hAnsi="Garamond" w:cs="Times New Roman"/>
          <w:sz w:val="24"/>
          <w:szCs w:val="24"/>
        </w:rPr>
        <w:t xml:space="preserve"> new criteria… Consider</w:t>
      </w:r>
      <w:r w:rsidR="00F847AD" w:rsidRPr="004F12D9">
        <w:rPr>
          <w:rFonts w:ascii="Garamond" w:hAnsi="Garamond" w:cs="Times New Roman"/>
          <w:sz w:val="24"/>
          <w:szCs w:val="24"/>
        </w:rPr>
        <w:t xml:space="preserve"> the following:</w:t>
      </w:r>
    </w:p>
    <w:p w:rsidR="00BA10ED" w:rsidRPr="004F12D9" w:rsidRDefault="008F03A2" w:rsidP="00DB68F4">
      <w:pPr>
        <w:pStyle w:val="ListParagraph"/>
        <w:numPr>
          <w:ilvl w:val="0"/>
          <w:numId w:val="1"/>
        </w:numPr>
        <w:spacing w:after="0" w:line="240" w:lineRule="auto"/>
        <w:rPr>
          <w:rFonts w:ascii="Garamond" w:hAnsi="Garamond" w:cs="Times New Roman"/>
          <w:sz w:val="24"/>
          <w:szCs w:val="24"/>
        </w:rPr>
      </w:pPr>
      <w:r w:rsidRPr="004F12D9">
        <w:rPr>
          <w:rFonts w:ascii="Garamond" w:hAnsi="Garamond" w:cs="Times New Roman"/>
          <w:sz w:val="24"/>
          <w:szCs w:val="24"/>
        </w:rPr>
        <w:t>D</w:t>
      </w:r>
      <w:r w:rsidR="00BA10ED" w:rsidRPr="004F12D9">
        <w:rPr>
          <w:rFonts w:ascii="Garamond" w:hAnsi="Garamond" w:cs="Times New Roman"/>
          <w:sz w:val="24"/>
          <w:szCs w:val="24"/>
        </w:rPr>
        <w:t>epending on dates… what criteria apply?</w:t>
      </w:r>
    </w:p>
    <w:p w:rsidR="00215F18" w:rsidRPr="004F12D9" w:rsidRDefault="00215F18" w:rsidP="00DB68F4">
      <w:pPr>
        <w:pStyle w:val="ListParagraph"/>
        <w:numPr>
          <w:ilvl w:val="1"/>
          <w:numId w:val="1"/>
        </w:numPr>
        <w:spacing w:after="0" w:line="240" w:lineRule="auto"/>
        <w:rPr>
          <w:rFonts w:ascii="Garamond" w:hAnsi="Garamond" w:cs="Times New Roman"/>
          <w:sz w:val="24"/>
          <w:szCs w:val="24"/>
        </w:rPr>
      </w:pPr>
      <w:r w:rsidRPr="004F12D9">
        <w:rPr>
          <w:rFonts w:ascii="Garamond" w:hAnsi="Garamond" w:cs="Times New Roman"/>
          <w:sz w:val="24"/>
          <w:szCs w:val="24"/>
        </w:rPr>
        <w:t xml:space="preserve">When filling in </w:t>
      </w:r>
      <w:r w:rsidR="00921241" w:rsidRPr="004F12D9">
        <w:rPr>
          <w:rFonts w:ascii="Garamond" w:hAnsi="Garamond" w:cs="Times New Roman"/>
          <w:sz w:val="24"/>
          <w:szCs w:val="24"/>
        </w:rPr>
        <w:t>evaluation builder and VBMS pay attention to when you should be using the historical or current criteria</w:t>
      </w:r>
    </w:p>
    <w:p w:rsidR="00BA10ED" w:rsidRPr="004F12D9" w:rsidRDefault="00BA10ED" w:rsidP="00DB68F4">
      <w:pPr>
        <w:pStyle w:val="ListParagraph"/>
        <w:numPr>
          <w:ilvl w:val="0"/>
          <w:numId w:val="1"/>
        </w:numPr>
        <w:spacing w:after="0" w:line="240" w:lineRule="auto"/>
        <w:rPr>
          <w:rFonts w:ascii="Garamond" w:hAnsi="Garamond" w:cs="Times New Roman"/>
          <w:sz w:val="24"/>
          <w:szCs w:val="24"/>
        </w:rPr>
      </w:pPr>
      <w:r w:rsidRPr="004F12D9">
        <w:rPr>
          <w:rFonts w:ascii="Garamond" w:hAnsi="Garamond" w:cs="Times New Roman"/>
          <w:sz w:val="24"/>
          <w:szCs w:val="24"/>
        </w:rPr>
        <w:t xml:space="preserve">Watch the </w:t>
      </w:r>
      <w:r w:rsidR="008F03A2" w:rsidRPr="004F12D9">
        <w:rPr>
          <w:rFonts w:ascii="Garamond" w:hAnsi="Garamond" w:cs="Times New Roman"/>
          <w:sz w:val="24"/>
          <w:szCs w:val="24"/>
        </w:rPr>
        <w:t>DBQs</w:t>
      </w:r>
      <w:r w:rsidRPr="004F12D9">
        <w:rPr>
          <w:rFonts w:ascii="Garamond" w:hAnsi="Garamond" w:cs="Times New Roman"/>
          <w:sz w:val="24"/>
          <w:szCs w:val="24"/>
        </w:rPr>
        <w:t>…</w:t>
      </w:r>
      <w:r w:rsidR="00DB68F4" w:rsidRPr="004F12D9">
        <w:rPr>
          <w:rFonts w:ascii="Garamond" w:hAnsi="Garamond" w:cs="Times New Roman"/>
          <w:sz w:val="24"/>
          <w:szCs w:val="24"/>
        </w:rPr>
        <w:t>ensure we have all the information we need. If not, can we grant something now while asking for clarification?</w:t>
      </w:r>
    </w:p>
    <w:p w:rsidR="00BA10ED" w:rsidRPr="004F12D9" w:rsidRDefault="00BA10ED" w:rsidP="00DB68F4">
      <w:pPr>
        <w:pStyle w:val="ListParagraph"/>
        <w:numPr>
          <w:ilvl w:val="0"/>
          <w:numId w:val="1"/>
        </w:numPr>
        <w:spacing w:after="0" w:line="240" w:lineRule="auto"/>
        <w:rPr>
          <w:rFonts w:ascii="Garamond" w:hAnsi="Garamond" w:cs="Times New Roman"/>
          <w:sz w:val="24"/>
          <w:szCs w:val="24"/>
        </w:rPr>
      </w:pPr>
      <w:r w:rsidRPr="004F12D9">
        <w:rPr>
          <w:rFonts w:ascii="Garamond" w:hAnsi="Garamond" w:cs="Times New Roman"/>
          <w:sz w:val="24"/>
          <w:szCs w:val="24"/>
        </w:rPr>
        <w:t>VBMS updates</w:t>
      </w:r>
      <w:r w:rsidR="00F31007" w:rsidRPr="004F12D9">
        <w:rPr>
          <w:rFonts w:ascii="Garamond" w:hAnsi="Garamond" w:cs="Times New Roman"/>
          <w:sz w:val="24"/>
          <w:szCs w:val="24"/>
        </w:rPr>
        <w:t xml:space="preserve"> </w:t>
      </w:r>
      <w:r w:rsidR="00215F18" w:rsidRPr="004F12D9">
        <w:rPr>
          <w:rFonts w:ascii="Garamond" w:hAnsi="Garamond" w:cs="Times New Roman"/>
          <w:sz w:val="24"/>
          <w:szCs w:val="24"/>
        </w:rPr>
        <w:t xml:space="preserve">– watch the VBMS Release Information and User Guides page </w:t>
      </w:r>
      <w:hyperlink r:id="rId8" w:history="1">
        <w:r w:rsidR="00625578" w:rsidRPr="004F12D9">
          <w:rPr>
            <w:rStyle w:val="Hyperlink"/>
            <w:rFonts w:ascii="Garamond" w:hAnsi="Garamond" w:cs="Times New Roman"/>
            <w:sz w:val="24"/>
            <w:szCs w:val="24"/>
          </w:rPr>
          <w:t>here</w:t>
        </w:r>
      </w:hyperlink>
      <w:r w:rsidR="00625578" w:rsidRPr="004F12D9">
        <w:rPr>
          <w:rFonts w:ascii="Garamond" w:hAnsi="Garamond" w:cs="Times New Roman"/>
          <w:sz w:val="24"/>
          <w:szCs w:val="24"/>
        </w:rPr>
        <w:t xml:space="preserve">. </w:t>
      </w:r>
    </w:p>
    <w:p w:rsidR="00215F18" w:rsidRPr="004F12D9" w:rsidRDefault="009E7C2A" w:rsidP="00E04E2B">
      <w:pPr>
        <w:pStyle w:val="ListParagraph"/>
        <w:numPr>
          <w:ilvl w:val="0"/>
          <w:numId w:val="1"/>
        </w:numPr>
        <w:spacing w:before="240" w:after="0" w:line="240" w:lineRule="auto"/>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288290</wp:posOffset>
                </wp:positionV>
                <wp:extent cx="6286500" cy="714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8650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7C2A" w:rsidRPr="005C3417" w:rsidRDefault="002F57F3" w:rsidP="005C3417">
                            <w:pPr>
                              <w:spacing w:after="0" w:line="240" w:lineRule="auto"/>
                              <w:jc w:val="center"/>
                              <w:rPr>
                                <w:rFonts w:ascii="Eras Bold ITC" w:hAnsi="Eras Bold ITC"/>
                                <w:color w:val="FFFFFF" w:themeColor="background1"/>
                                <w:sz w:val="32"/>
                              </w:rPr>
                            </w:pPr>
                            <w:r w:rsidRPr="005C3417">
                              <w:rPr>
                                <w:rFonts w:ascii="Eras Bold ITC" w:hAnsi="Eras Bold ITC"/>
                                <w:color w:val="C00000"/>
                                <w:sz w:val="32"/>
                              </w:rPr>
                              <w:t>December 10, 2017</w:t>
                            </w:r>
                            <w:r w:rsidR="009E7C2A" w:rsidRPr="005C3417">
                              <w:rPr>
                                <w:rFonts w:ascii="Eras Bold ITC" w:hAnsi="Eras Bold ITC"/>
                                <w:color w:val="FFFFFF" w:themeColor="background1"/>
                                <w:sz w:val="32"/>
                              </w:rPr>
                              <w:t>: endocrine rating schedule change (not liberalizing 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1.25pt;margin-top:22.7pt;width:49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" fillcolor="#4f81bd [3204]" strokecolor="#243f60 [1604]" strokeweight="2pt">
                <v:textbox>
                  <w:txbxContent>
                    <w:p w:rsidR="009E7C2A" w:rsidRPr="005C3417" w:rsidRDefault="002F57F3" w:rsidP="005C3417">
                      <w:pPr>
                        <w:spacing w:after="0" w:line="240" w:lineRule="auto"/>
                        <w:jc w:val="center"/>
                        <w:rPr>
                          <w:rFonts w:ascii="Eras Bold ITC" w:hAnsi="Eras Bold ITC"/>
                          <w:color w:val="FFFFFF" w:themeColor="background1"/>
                          <w:sz w:val="32"/>
                        </w:rPr>
                      </w:pPr>
                      <w:r w:rsidRPr="005C3417">
                        <w:rPr>
                          <w:rFonts w:ascii="Eras Bold ITC" w:hAnsi="Eras Bold ITC"/>
                          <w:color w:val="C00000"/>
                          <w:sz w:val="32"/>
                        </w:rPr>
                        <w:t>December 10, 2017</w:t>
                      </w:r>
                      <w:r w:rsidR="009E7C2A" w:rsidRPr="005C3417">
                        <w:rPr>
                          <w:rFonts w:ascii="Eras Bold ITC" w:hAnsi="Eras Bold ITC"/>
                          <w:color w:val="FFFFFF" w:themeColor="background1"/>
                          <w:sz w:val="32"/>
                        </w:rPr>
                        <w:t>: endocrine rating schedule change (not liberalizing legislation)</w:t>
                      </w:r>
                    </w:p>
                  </w:txbxContent>
                </v:textbox>
              </v:rect>
            </w:pict>
          </mc:Fallback>
        </mc:AlternateContent>
      </w:r>
      <w:r w:rsidR="00FD3532" w:rsidRPr="004F12D9">
        <w:rPr>
          <w:rFonts w:ascii="Garamond" w:hAnsi="Garamond" w:cs="Times New Roman"/>
          <w:sz w:val="24"/>
          <w:szCs w:val="24"/>
        </w:rPr>
        <w:t xml:space="preserve">The Regulation </w:t>
      </w:r>
      <w:proofErr w:type="spellStart"/>
      <w:r w:rsidR="00FD3532" w:rsidRPr="004F12D9">
        <w:rPr>
          <w:rFonts w:ascii="Garamond" w:hAnsi="Garamond" w:cs="Times New Roman"/>
          <w:sz w:val="24"/>
          <w:szCs w:val="24"/>
        </w:rPr>
        <w:t>Citator</w:t>
      </w:r>
      <w:proofErr w:type="spellEnd"/>
      <w:r w:rsidR="00FD3532" w:rsidRPr="004F12D9">
        <w:rPr>
          <w:rFonts w:ascii="Garamond" w:hAnsi="Garamond" w:cs="Times New Roman"/>
          <w:sz w:val="24"/>
          <w:szCs w:val="24"/>
        </w:rPr>
        <w:t xml:space="preserve"> tool assists in viewing historical rating criteria. Click </w:t>
      </w:r>
      <w:hyperlink r:id="rId9" w:history="1">
        <w:r w:rsidR="00FD3532" w:rsidRPr="004F12D9">
          <w:rPr>
            <w:rStyle w:val="Hyperlink"/>
            <w:rFonts w:ascii="Garamond" w:hAnsi="Garamond" w:cs="Times New Roman"/>
            <w:sz w:val="24"/>
            <w:szCs w:val="24"/>
          </w:rPr>
          <w:t>here</w:t>
        </w:r>
      </w:hyperlink>
      <w:r w:rsidR="00FD3532" w:rsidRPr="004F12D9">
        <w:rPr>
          <w:rStyle w:val="Hyperlink"/>
          <w:rFonts w:ascii="Garamond" w:hAnsi="Garamond" w:cs="Times New Roman"/>
          <w:sz w:val="24"/>
          <w:szCs w:val="24"/>
        </w:rPr>
        <w:t>.</w:t>
      </w:r>
    </w:p>
    <w:sectPr w:rsidR="00215F18" w:rsidRPr="004F12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4B" w:rsidRDefault="00D8394B" w:rsidP="00941671">
      <w:pPr>
        <w:spacing w:after="0" w:line="240" w:lineRule="auto"/>
      </w:pPr>
      <w:r>
        <w:separator/>
      </w:r>
    </w:p>
  </w:endnote>
  <w:endnote w:type="continuationSeparator" w:id="0">
    <w:p w:rsidR="00D8394B" w:rsidRDefault="00D8394B" w:rsidP="0094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ras Bold ITC">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71" w:rsidRPr="00C157BA" w:rsidRDefault="0071375E" w:rsidP="00941671">
    <w:pPr>
      <w:pStyle w:val="Footer"/>
      <w:jc w:val="right"/>
      <w:rPr>
        <w:rFonts w:ascii="Times New Roman" w:hAnsi="Times New Roman" w:cs="Times New Roman"/>
      </w:rPr>
    </w:pPr>
    <w:r>
      <w:rPr>
        <w:rFonts w:ascii="Times New Roman" w:hAnsi="Times New Roman" w:cs="Times New Roman"/>
      </w:rPr>
      <w:t>Endocrine</w:t>
    </w:r>
    <w:r w:rsidR="00941671" w:rsidRPr="00C157BA">
      <w:rPr>
        <w:rFonts w:ascii="Times New Roman" w:hAnsi="Times New Roman" w:cs="Times New Roman"/>
      </w:rPr>
      <w:t xml:space="preserve"> Conditions VASRD Change Handout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4B" w:rsidRDefault="00D8394B" w:rsidP="00941671">
      <w:pPr>
        <w:spacing w:after="0" w:line="240" w:lineRule="auto"/>
      </w:pPr>
      <w:r>
        <w:separator/>
      </w:r>
    </w:p>
  </w:footnote>
  <w:footnote w:type="continuationSeparator" w:id="0">
    <w:p w:rsidR="00D8394B" w:rsidRDefault="00D8394B" w:rsidP="0094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0BCB"/>
    <w:multiLevelType w:val="hybridMultilevel"/>
    <w:tmpl w:val="1DAA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1510B2"/>
    <w:multiLevelType w:val="hybridMultilevel"/>
    <w:tmpl w:val="9A4E3058"/>
    <w:lvl w:ilvl="0" w:tplc="5106CD6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76"/>
    <w:rsid w:val="00145A76"/>
    <w:rsid w:val="00215F18"/>
    <w:rsid w:val="00287258"/>
    <w:rsid w:val="002D1007"/>
    <w:rsid w:val="002F57F3"/>
    <w:rsid w:val="00360CBE"/>
    <w:rsid w:val="00391CBF"/>
    <w:rsid w:val="0040141D"/>
    <w:rsid w:val="00447A05"/>
    <w:rsid w:val="004B7B86"/>
    <w:rsid w:val="004F12D9"/>
    <w:rsid w:val="005C3417"/>
    <w:rsid w:val="00625578"/>
    <w:rsid w:val="00631AF0"/>
    <w:rsid w:val="00685D69"/>
    <w:rsid w:val="006A0641"/>
    <w:rsid w:val="006D098D"/>
    <w:rsid w:val="0071375E"/>
    <w:rsid w:val="0071520B"/>
    <w:rsid w:val="00720CE0"/>
    <w:rsid w:val="00731F6D"/>
    <w:rsid w:val="007C5C9C"/>
    <w:rsid w:val="00814479"/>
    <w:rsid w:val="008B5F03"/>
    <w:rsid w:val="008C0B3E"/>
    <w:rsid w:val="008D3D7A"/>
    <w:rsid w:val="008D6836"/>
    <w:rsid w:val="008F03A2"/>
    <w:rsid w:val="00921241"/>
    <w:rsid w:val="00941671"/>
    <w:rsid w:val="009827AB"/>
    <w:rsid w:val="009B62B9"/>
    <w:rsid w:val="009E7C2A"/>
    <w:rsid w:val="00A303CA"/>
    <w:rsid w:val="00A309E1"/>
    <w:rsid w:val="00A412CE"/>
    <w:rsid w:val="00A72465"/>
    <w:rsid w:val="00BA10ED"/>
    <w:rsid w:val="00BB609B"/>
    <w:rsid w:val="00BE4237"/>
    <w:rsid w:val="00C157BA"/>
    <w:rsid w:val="00C70573"/>
    <w:rsid w:val="00C845C0"/>
    <w:rsid w:val="00C879ED"/>
    <w:rsid w:val="00CE6E99"/>
    <w:rsid w:val="00CF5851"/>
    <w:rsid w:val="00D303C4"/>
    <w:rsid w:val="00D8394B"/>
    <w:rsid w:val="00DB0BF6"/>
    <w:rsid w:val="00DB68F4"/>
    <w:rsid w:val="00E04E2B"/>
    <w:rsid w:val="00EA60D3"/>
    <w:rsid w:val="00F27D9E"/>
    <w:rsid w:val="00F31007"/>
    <w:rsid w:val="00F566FD"/>
    <w:rsid w:val="00F847AD"/>
    <w:rsid w:val="00FB215E"/>
    <w:rsid w:val="00FD04E2"/>
    <w:rsid w:val="00FD0AA5"/>
    <w:rsid w:val="00FD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D5DE-32C9-424E-9B6B-EA812D29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0ED"/>
    <w:pPr>
      <w:ind w:left="720"/>
      <w:contextualSpacing/>
    </w:pPr>
  </w:style>
  <w:style w:type="character" w:styleId="Hyperlink">
    <w:name w:val="Hyperlink"/>
    <w:basedOn w:val="DefaultParagraphFont"/>
    <w:uiPriority w:val="99"/>
    <w:unhideWhenUsed/>
    <w:rsid w:val="00215F18"/>
    <w:rPr>
      <w:color w:val="0000FF" w:themeColor="hyperlink"/>
      <w:u w:val="single"/>
    </w:rPr>
  </w:style>
  <w:style w:type="table" w:styleId="TableGrid">
    <w:name w:val="Table Grid"/>
    <w:basedOn w:val="TableNormal"/>
    <w:uiPriority w:val="59"/>
    <w:rsid w:val="00DB6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71"/>
  </w:style>
  <w:style w:type="paragraph" w:styleId="Footer">
    <w:name w:val="footer"/>
    <w:basedOn w:val="Normal"/>
    <w:link w:val="FooterChar"/>
    <w:uiPriority w:val="99"/>
    <w:unhideWhenUsed/>
    <w:rsid w:val="0094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71"/>
  </w:style>
  <w:style w:type="paragraph" w:styleId="NormalWeb">
    <w:name w:val="Normal (Web)"/>
    <w:basedOn w:val="Normal"/>
    <w:uiPriority w:val="99"/>
    <w:semiHidden/>
    <w:unhideWhenUsed/>
    <w:rsid w:val="0071520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5578"/>
    <w:rPr>
      <w:color w:val="800080" w:themeColor="followedHyperlink"/>
      <w:u w:val="single"/>
    </w:rPr>
  </w:style>
  <w:style w:type="paragraph" w:customStyle="1" w:styleId="Default">
    <w:name w:val="Default"/>
    <w:rsid w:val="00FD04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6377">
      <w:bodyDiv w:val="1"/>
      <w:marLeft w:val="0"/>
      <w:marRight w:val="0"/>
      <w:marTop w:val="0"/>
      <w:marBottom w:val="0"/>
      <w:divBdr>
        <w:top w:val="none" w:sz="0" w:space="0" w:color="auto"/>
        <w:left w:val="none" w:sz="0" w:space="0" w:color="auto"/>
        <w:bottom w:val="none" w:sz="0" w:space="0" w:color="auto"/>
        <w:right w:val="none" w:sz="0" w:space="0" w:color="auto"/>
      </w:divBdr>
    </w:div>
    <w:div w:id="10272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aw.vba.va.gov/VBMS/Resources_Technical_Informatio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acoappbva2.dva.va.gov/lsa/cgi-bin/query-meta.e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DAE7-DC71-4446-BB5B-207E99D5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Endocrine Conditions VASRD Change Introduction</vt:lpstr>
    </vt:vector>
  </TitlesOfParts>
  <Company>Veterans Benefits Administration</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Conditions VASRD Change Introduction</dc:title>
  <dc:subject>RVSR, RQRS, Special Ops RVSR, DRO</dc:subject>
  <dc:creator>Department of Veterans Affairs, Veterans Benefits Administration, Compensation Service, STAFF</dc:creator>
  <cp:keywords>Endocrine, rating schedule, VASRD, introduction, future exam, 7900, 7903, 7904,7905,7906,7907,7908,7909,7912,7916,7919</cp:keywords>
  <dc:description>This lesson introduces changes to the Rating Schedule for Endocrine Conditions and reviews important considerations.</dc:description>
  <cp:lastModifiedBy>Poole, Kathleen</cp:lastModifiedBy>
  <cp:revision>5</cp:revision>
  <cp:lastPrinted>2017-06-22T15:18:00Z</cp:lastPrinted>
  <dcterms:created xsi:type="dcterms:W3CDTF">2017-10-20T21:51:00Z</dcterms:created>
  <dcterms:modified xsi:type="dcterms:W3CDTF">2017-11-30T16:24:00Z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