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67615" w14:textId="77777777" w:rsidR="0046043F" w:rsidRPr="00DB68F4" w:rsidRDefault="00BA10ED" w:rsidP="00DB68F4">
      <w:pPr>
        <w:jc w:val="center"/>
        <w:rPr>
          <w:rFonts w:ascii="Candara" w:hAnsi="Candara"/>
          <w:b/>
          <w:sz w:val="32"/>
          <w:szCs w:val="24"/>
        </w:rPr>
      </w:pPr>
      <w:bookmarkStart w:id="0" w:name="_GoBack"/>
      <w:bookmarkEnd w:id="0"/>
      <w:r w:rsidRPr="00DB68F4">
        <w:rPr>
          <w:rFonts w:ascii="Candara" w:hAnsi="Candara"/>
          <w:b/>
          <w:sz w:val="32"/>
          <w:szCs w:val="24"/>
        </w:rPr>
        <w:t>Gyn</w:t>
      </w:r>
      <w:r w:rsidR="00DB68F4" w:rsidRPr="00DB68F4">
        <w:rPr>
          <w:rFonts w:ascii="Candara" w:hAnsi="Candara"/>
          <w:b/>
          <w:sz w:val="32"/>
          <w:szCs w:val="24"/>
        </w:rPr>
        <w:t>ecological and Breast Conditions</w:t>
      </w:r>
      <w:r w:rsidRPr="00DB68F4">
        <w:rPr>
          <w:rFonts w:ascii="Candara" w:hAnsi="Candara"/>
          <w:b/>
          <w:sz w:val="32"/>
          <w:szCs w:val="24"/>
        </w:rPr>
        <w:t xml:space="preserve"> VASRD Change Introduction</w:t>
      </w:r>
    </w:p>
    <w:p w14:paraId="01E67616" w14:textId="77777777" w:rsidR="00DB68F4" w:rsidRPr="00DB68F4" w:rsidRDefault="00BA10ED" w:rsidP="00DB68F4">
      <w:pPr>
        <w:spacing w:after="0" w:line="240" w:lineRule="auto"/>
        <w:rPr>
          <w:rFonts w:ascii="Candara" w:hAnsi="Candara"/>
          <w:b/>
          <w:sz w:val="24"/>
          <w:szCs w:val="24"/>
        </w:rPr>
      </w:pPr>
      <w:r w:rsidRPr="00DB68F4">
        <w:rPr>
          <w:rFonts w:ascii="Candara" w:hAnsi="Candara"/>
          <w:b/>
          <w:sz w:val="24"/>
          <w:szCs w:val="24"/>
        </w:rPr>
        <w:t>Exciting new updates to the rating schedule</w:t>
      </w:r>
      <w:r w:rsidR="00E04E2B">
        <w:rPr>
          <w:rFonts w:ascii="Candara" w:hAnsi="Candara"/>
          <w:b/>
          <w:sz w:val="24"/>
          <w:szCs w:val="24"/>
        </w:rPr>
        <w:t xml:space="preserve"> (using this and the currently published VA Rating Schedule, you should be able to answer all quiz questions in the video)</w:t>
      </w:r>
      <w:r w:rsidRPr="00DB68F4">
        <w:rPr>
          <w:rFonts w:ascii="Candara" w:hAnsi="Candara"/>
          <w:b/>
          <w:sz w:val="24"/>
          <w:szCs w:val="24"/>
        </w:rPr>
        <w:t xml:space="preserve"> …</w:t>
      </w:r>
    </w:p>
    <w:p w14:paraId="01E67617" w14:textId="77777777" w:rsidR="00DB68F4" w:rsidRDefault="00DB68F4" w:rsidP="00DB68F4">
      <w:pPr>
        <w:spacing w:after="0" w:line="240" w:lineRule="auto"/>
        <w:rPr>
          <w:rFonts w:ascii="Candara" w:hAnsi="Candara"/>
          <w:sz w:val="24"/>
          <w:szCs w:val="24"/>
        </w:rPr>
      </w:pPr>
    </w:p>
    <w:tbl>
      <w:tblPr>
        <w:tblStyle w:val="TableGrid"/>
        <w:tblW w:w="0" w:type="auto"/>
        <w:tblInd w:w="288" w:type="dxa"/>
        <w:tblLook w:val="04A0" w:firstRow="1" w:lastRow="0" w:firstColumn="1" w:lastColumn="0" w:noHBand="0" w:noVBand="1"/>
      </w:tblPr>
      <w:tblGrid>
        <w:gridCol w:w="738"/>
        <w:gridCol w:w="8172"/>
      </w:tblGrid>
      <w:tr w:rsidR="00DB68F4" w14:paraId="01E6761A" w14:textId="77777777" w:rsidTr="00DB68F4">
        <w:tc>
          <w:tcPr>
            <w:tcW w:w="738" w:type="dxa"/>
            <w:shd w:val="clear" w:color="auto" w:fill="BFBFBF" w:themeFill="background1" w:themeFillShade="BF"/>
          </w:tcPr>
          <w:p w14:paraId="01E67618" w14:textId="77777777" w:rsidR="00DB68F4" w:rsidRPr="00334AE2" w:rsidRDefault="00DB68F4" w:rsidP="00664DBA">
            <w:pPr>
              <w:rPr>
                <w:rFonts w:ascii="Candara" w:hAnsi="Candara"/>
                <w:b/>
                <w:sz w:val="24"/>
                <w:szCs w:val="24"/>
              </w:rPr>
            </w:pPr>
            <w:r w:rsidRPr="00334AE2">
              <w:rPr>
                <w:rFonts w:ascii="Candara" w:hAnsi="Candara"/>
                <w:b/>
                <w:sz w:val="24"/>
                <w:szCs w:val="24"/>
              </w:rPr>
              <w:t>Code</w:t>
            </w:r>
          </w:p>
        </w:tc>
        <w:tc>
          <w:tcPr>
            <w:tcW w:w="8172" w:type="dxa"/>
            <w:shd w:val="clear" w:color="auto" w:fill="BFBFBF" w:themeFill="background1" w:themeFillShade="BF"/>
          </w:tcPr>
          <w:p w14:paraId="01E67619" w14:textId="77777777" w:rsidR="00DB68F4" w:rsidRPr="00334AE2" w:rsidRDefault="00DB68F4" w:rsidP="00664DBA">
            <w:pPr>
              <w:rPr>
                <w:rFonts w:ascii="Candara" w:hAnsi="Candara"/>
                <w:b/>
                <w:sz w:val="24"/>
                <w:szCs w:val="24"/>
              </w:rPr>
            </w:pPr>
            <w:r w:rsidRPr="00334AE2">
              <w:rPr>
                <w:rFonts w:ascii="Candara" w:hAnsi="Candara"/>
                <w:b/>
                <w:sz w:val="24"/>
                <w:szCs w:val="24"/>
              </w:rPr>
              <w:t>Change Description</w:t>
            </w:r>
          </w:p>
        </w:tc>
      </w:tr>
      <w:tr w:rsidR="0071520B" w14:paraId="01E6761D" w14:textId="77777777" w:rsidTr="00DB68F4">
        <w:tc>
          <w:tcPr>
            <w:tcW w:w="738" w:type="dxa"/>
          </w:tcPr>
          <w:p w14:paraId="01E6761B" w14:textId="77777777" w:rsidR="0071520B" w:rsidRPr="00FD3532" w:rsidRDefault="0071520B" w:rsidP="00664DBA">
            <w:pPr>
              <w:rPr>
                <w:rFonts w:ascii="Candara" w:hAnsi="Candara"/>
                <w:b/>
                <w:sz w:val="24"/>
                <w:szCs w:val="24"/>
              </w:rPr>
            </w:pPr>
            <w:r>
              <w:rPr>
                <w:rFonts w:ascii="Candara" w:hAnsi="Candara"/>
                <w:b/>
                <w:sz w:val="24"/>
                <w:szCs w:val="24"/>
              </w:rPr>
              <w:t>7610</w:t>
            </w:r>
          </w:p>
        </w:tc>
        <w:tc>
          <w:tcPr>
            <w:tcW w:w="8172" w:type="dxa"/>
          </w:tcPr>
          <w:p w14:paraId="01E6761C" w14:textId="77777777" w:rsidR="0071520B" w:rsidRPr="0071520B" w:rsidRDefault="0071520B" w:rsidP="00664DBA">
            <w:pPr>
              <w:rPr>
                <w:rFonts w:ascii="Candara" w:hAnsi="Candara"/>
              </w:rPr>
            </w:pPr>
            <w:r>
              <w:rPr>
                <w:rFonts w:ascii="Candara" w:hAnsi="Candara"/>
                <w:sz w:val="24"/>
                <w:szCs w:val="24"/>
              </w:rPr>
              <w:t xml:space="preserve">Title change – now reads </w:t>
            </w:r>
            <w:r w:rsidRPr="0071520B">
              <w:rPr>
                <w:rFonts w:ascii="Candara" w:hAnsi="Candara"/>
                <w:sz w:val="24"/>
                <w:szCs w:val="24"/>
              </w:rPr>
              <w:t>“Vulva or clitoris, disease or injury of (including vulvovaginitis)”</w:t>
            </w:r>
          </w:p>
        </w:tc>
      </w:tr>
      <w:tr w:rsidR="0071520B" w14:paraId="01E67620" w14:textId="77777777" w:rsidTr="00DB68F4">
        <w:tc>
          <w:tcPr>
            <w:tcW w:w="738" w:type="dxa"/>
          </w:tcPr>
          <w:p w14:paraId="01E6761E" w14:textId="77777777" w:rsidR="0071520B" w:rsidRPr="00FD3532" w:rsidRDefault="0071520B" w:rsidP="00664DBA">
            <w:pPr>
              <w:rPr>
                <w:rFonts w:ascii="Candara" w:hAnsi="Candara"/>
                <w:b/>
                <w:sz w:val="24"/>
                <w:szCs w:val="24"/>
              </w:rPr>
            </w:pPr>
            <w:r>
              <w:rPr>
                <w:rFonts w:ascii="Candara" w:hAnsi="Candara"/>
                <w:b/>
                <w:sz w:val="24"/>
                <w:szCs w:val="24"/>
              </w:rPr>
              <w:t>7615</w:t>
            </w:r>
          </w:p>
        </w:tc>
        <w:tc>
          <w:tcPr>
            <w:tcW w:w="8172" w:type="dxa"/>
          </w:tcPr>
          <w:p w14:paraId="01E6761F" w14:textId="77777777" w:rsidR="0071520B" w:rsidRPr="0071520B" w:rsidRDefault="0071520B" w:rsidP="00ED65D6">
            <w:pPr>
              <w:rPr>
                <w:rFonts w:ascii="Candara" w:hAnsi="Candara"/>
              </w:rPr>
            </w:pPr>
            <w:r>
              <w:rPr>
                <w:rFonts w:ascii="Candara" w:hAnsi="Candara"/>
                <w:sz w:val="24"/>
                <w:szCs w:val="24"/>
              </w:rPr>
              <w:t xml:space="preserve">New </w:t>
            </w:r>
            <w:r w:rsidR="00ED65D6">
              <w:rPr>
                <w:rFonts w:ascii="Candara" w:hAnsi="Candara"/>
                <w:sz w:val="24"/>
                <w:szCs w:val="24"/>
              </w:rPr>
              <w:t>n</w:t>
            </w:r>
            <w:r>
              <w:rPr>
                <w:rFonts w:ascii="Candara" w:hAnsi="Candara"/>
                <w:sz w:val="24"/>
                <w:szCs w:val="24"/>
              </w:rPr>
              <w:t xml:space="preserve">ote - </w:t>
            </w:r>
            <w:r w:rsidRPr="0071520B">
              <w:rPr>
                <w:rFonts w:ascii="Candara" w:hAnsi="Candara"/>
                <w:sz w:val="24"/>
                <w:szCs w:val="24"/>
              </w:rPr>
              <w:t>states that for the purpose of disability evaluation, the disease, injury, or adhesions of the ovaries resulting in ovarian dysfunction affecting the menstrual cycle, such as dysmenorrhea and secondary amenorrhea, shall be rated under diagnostic code 7615.</w:t>
            </w:r>
            <w:r w:rsidRPr="0071520B">
              <w:rPr>
                <w:rFonts w:ascii="Candara" w:hAnsi="Candara"/>
              </w:rPr>
              <w:t xml:space="preserve"> </w:t>
            </w:r>
          </w:p>
        </w:tc>
      </w:tr>
      <w:tr w:rsidR="00DB68F4" w14:paraId="01E67623" w14:textId="77777777" w:rsidTr="00DB68F4">
        <w:tc>
          <w:tcPr>
            <w:tcW w:w="738" w:type="dxa"/>
          </w:tcPr>
          <w:p w14:paraId="01E67621" w14:textId="77777777" w:rsidR="00DB68F4" w:rsidRDefault="00DB68F4" w:rsidP="00664DBA">
            <w:r w:rsidRPr="00FD3532">
              <w:rPr>
                <w:rFonts w:ascii="Candara" w:hAnsi="Candara"/>
                <w:b/>
                <w:sz w:val="24"/>
                <w:szCs w:val="24"/>
              </w:rPr>
              <w:t>7619</w:t>
            </w:r>
          </w:p>
        </w:tc>
        <w:tc>
          <w:tcPr>
            <w:tcW w:w="8172" w:type="dxa"/>
          </w:tcPr>
          <w:p w14:paraId="01E67622" w14:textId="77777777" w:rsidR="00DB68F4" w:rsidRDefault="00DB68F4" w:rsidP="00ED65D6">
            <w:r w:rsidRPr="0071520B">
              <w:rPr>
                <w:rFonts w:ascii="Candara" w:hAnsi="Candara"/>
                <w:sz w:val="24"/>
                <w:szCs w:val="24"/>
              </w:rPr>
              <w:t xml:space="preserve">New </w:t>
            </w:r>
            <w:r w:rsidR="00ED65D6">
              <w:rPr>
                <w:rFonts w:ascii="Candara" w:hAnsi="Candara"/>
                <w:sz w:val="24"/>
                <w:szCs w:val="24"/>
              </w:rPr>
              <w:t>n</w:t>
            </w:r>
            <w:r w:rsidRPr="0071520B">
              <w:rPr>
                <w:rFonts w:ascii="Candara" w:hAnsi="Candara"/>
                <w:sz w:val="24"/>
                <w:szCs w:val="24"/>
              </w:rPr>
              <w:t>ote</w:t>
            </w:r>
            <w:r w:rsidRPr="00334AE2">
              <w:rPr>
                <w:rFonts w:ascii="Candara" w:hAnsi="Candara"/>
                <w:sz w:val="24"/>
                <w:szCs w:val="24"/>
              </w:rPr>
              <w:t xml:space="preserve"> – directs 30% evaluation for SC ovarian loss in cases where one ovary removal is SC and the other is NSC. </w:t>
            </w:r>
          </w:p>
        </w:tc>
      </w:tr>
      <w:tr w:rsidR="00DB68F4" w:rsidRPr="00BD56D8" w14:paraId="01E6762A" w14:textId="77777777" w:rsidTr="00DB68F4">
        <w:tc>
          <w:tcPr>
            <w:tcW w:w="738" w:type="dxa"/>
          </w:tcPr>
          <w:p w14:paraId="01E67624" w14:textId="77777777" w:rsidR="00DB68F4" w:rsidRPr="00BD56D8" w:rsidRDefault="00DB68F4" w:rsidP="00664DBA">
            <w:r w:rsidRPr="00BD56D8">
              <w:rPr>
                <w:rFonts w:ascii="Candara" w:hAnsi="Candara"/>
                <w:b/>
                <w:sz w:val="24"/>
                <w:szCs w:val="24"/>
              </w:rPr>
              <w:t>7621</w:t>
            </w:r>
          </w:p>
        </w:tc>
        <w:tc>
          <w:tcPr>
            <w:tcW w:w="8172" w:type="dxa"/>
          </w:tcPr>
          <w:p w14:paraId="01E67625" w14:textId="77777777" w:rsidR="00DB68F4" w:rsidRPr="00BD56D8" w:rsidRDefault="00DB68F4" w:rsidP="00664DBA">
            <w:pPr>
              <w:rPr>
                <w:rFonts w:ascii="Candara" w:hAnsi="Candara"/>
                <w:sz w:val="24"/>
                <w:szCs w:val="24"/>
              </w:rPr>
            </w:pPr>
            <w:r w:rsidRPr="00BD56D8">
              <w:rPr>
                <w:rFonts w:ascii="Candara" w:hAnsi="Candara"/>
                <w:sz w:val="24"/>
                <w:szCs w:val="24"/>
              </w:rPr>
              <w:t xml:space="preserve">Pelvic organ prolapse updated and now includes 7622 &amp; 7623 </w:t>
            </w:r>
          </w:p>
          <w:p w14:paraId="01E67626" w14:textId="77777777" w:rsidR="00DB68F4" w:rsidRPr="00BD56D8" w:rsidRDefault="00DB68F4" w:rsidP="00664DBA">
            <w:pPr>
              <w:pStyle w:val="ListParagraph"/>
              <w:numPr>
                <w:ilvl w:val="2"/>
                <w:numId w:val="1"/>
              </w:numPr>
              <w:ind w:left="702"/>
              <w:rPr>
                <w:rFonts w:ascii="Candara" w:hAnsi="Candara"/>
                <w:sz w:val="24"/>
                <w:szCs w:val="24"/>
              </w:rPr>
            </w:pPr>
            <w:r w:rsidRPr="00BD56D8">
              <w:rPr>
                <w:rFonts w:ascii="Candara" w:hAnsi="Candara"/>
                <w:sz w:val="24"/>
                <w:szCs w:val="24"/>
              </w:rPr>
              <w:t xml:space="preserve">Previously uterus prolapse, uterus displacement of, and pregnancy surgical complications of </w:t>
            </w:r>
          </w:p>
          <w:p w14:paraId="01E67627" w14:textId="77777777" w:rsidR="00DB68F4" w:rsidRPr="00BD56D8" w:rsidRDefault="00B46618" w:rsidP="00664DBA">
            <w:pPr>
              <w:pStyle w:val="ListParagraph"/>
              <w:numPr>
                <w:ilvl w:val="2"/>
                <w:numId w:val="1"/>
              </w:numPr>
              <w:ind w:left="702"/>
              <w:rPr>
                <w:rFonts w:ascii="Candara" w:hAnsi="Candara"/>
                <w:sz w:val="24"/>
                <w:szCs w:val="24"/>
              </w:rPr>
            </w:pPr>
            <w:r w:rsidRPr="00BD56D8">
              <w:rPr>
                <w:rFonts w:ascii="Times New Roman" w:hAnsi="Times New Roman" w:cs="Times New Roman"/>
                <w:b/>
                <w:noProof/>
                <w:sz w:val="32"/>
              </w:rPr>
              <mc:AlternateContent>
                <mc:Choice Requires="wps">
                  <w:drawing>
                    <wp:anchor distT="0" distB="0" distL="114300" distR="114300" simplePos="0" relativeHeight="251659264" behindDoc="0" locked="0" layoutInCell="1" allowOverlap="1" wp14:anchorId="01E67647" wp14:editId="01E67648">
                      <wp:simplePos x="0" y="0"/>
                      <wp:positionH relativeFrom="column">
                        <wp:posOffset>1572895</wp:posOffset>
                      </wp:positionH>
                      <wp:positionV relativeFrom="paragraph">
                        <wp:posOffset>278130</wp:posOffset>
                      </wp:positionV>
                      <wp:extent cx="7856855" cy="478790"/>
                      <wp:effectExtent l="0" t="6667" r="23177" b="23178"/>
                      <wp:wrapNone/>
                      <wp:docPr id="1" name="Rectangle 1"/>
                      <wp:cNvGraphicFramePr/>
                      <a:graphic xmlns:a="http://schemas.openxmlformats.org/drawingml/2006/main">
                        <a:graphicData uri="http://schemas.microsoft.com/office/word/2010/wordprocessingShape">
                          <wps:wsp>
                            <wps:cNvSpPr/>
                            <wps:spPr>
                              <a:xfrm rot="16200000">
                                <a:off x="0" y="0"/>
                                <a:ext cx="7856855" cy="47879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E6764E" w14:textId="77777777" w:rsidR="00885F81" w:rsidRPr="003F5A9B" w:rsidRDefault="00885F81" w:rsidP="00885F81">
                                  <w:pPr>
                                    <w:spacing w:after="0" w:line="240" w:lineRule="auto"/>
                                    <w:jc w:val="center"/>
                                    <w:rPr>
                                      <w:b/>
                                      <w:color w:val="C00000"/>
                                      <w:sz w:val="52"/>
                                      <w:szCs w:val="52"/>
                                      <w14:textOutline w14:w="12700" w14:cap="rnd" w14:cmpd="sng" w14:algn="ctr">
                                        <w14:solidFill>
                                          <w14:schemeClr w14:val="tx2">
                                            <w14:lumMod w14:val="75000"/>
                                          </w14:schemeClr>
                                        </w14:solidFill>
                                        <w14:prstDash w14:val="solid"/>
                                        <w14:bevel/>
                                      </w14:textOutline>
                                    </w:rPr>
                                  </w:pPr>
                                  <w:r w:rsidRPr="00B46618">
                                    <w:rPr>
                                      <w:b/>
                                      <w:color w:val="C00000"/>
                                      <w:sz w:val="52"/>
                                      <w:szCs w:val="52"/>
                                      <w14:textOutline w14:w="12700" w14:cap="rnd" w14:cmpd="sng" w14:algn="ctr">
                                        <w14:solidFill>
                                          <w14:schemeClr w14:val="tx2">
                                            <w14:lumMod w14:val="75000"/>
                                          </w14:schemeClr>
                                        </w14:solidFill>
                                        <w14:prstDash w14:val="solid"/>
                                        <w14:bevel/>
                                      </w14:textOutline>
                                    </w:rPr>
                                    <w:t xml:space="preserve">Law Change Effective </w:t>
                                  </w:r>
                                  <w:r w:rsidR="00B46618" w:rsidRPr="00B46618">
                                    <w:rPr>
                                      <w:b/>
                                      <w:color w:val="C00000"/>
                                      <w:sz w:val="52"/>
                                      <w:szCs w:val="52"/>
                                      <w14:textOutline w14:w="12700" w14:cap="rnd" w14:cmpd="sng" w14:algn="ctr">
                                        <w14:solidFill>
                                          <w14:schemeClr w14:val="tx2">
                                            <w14:lumMod w14:val="75000"/>
                                          </w14:schemeClr>
                                        </w14:solidFill>
                                        <w14:prstDash w14:val="solid"/>
                                        <w14:bevel/>
                                      </w14:textOutline>
                                    </w:rPr>
                                    <w:t>May 13</w:t>
                                  </w:r>
                                  <w:r w:rsidRPr="00B46618">
                                    <w:rPr>
                                      <w:b/>
                                      <w:color w:val="C00000"/>
                                      <w:sz w:val="52"/>
                                      <w:szCs w:val="52"/>
                                      <w14:textOutline w14:w="12700" w14:cap="rnd" w14:cmpd="sng" w14:algn="ctr">
                                        <w14:solidFill>
                                          <w14:schemeClr w14:val="tx2">
                                            <w14:lumMod w14:val="75000"/>
                                          </w14:schemeClr>
                                        </w14:solidFill>
                                        <w14:prstDash w14:val="solid"/>
                                        <w14:bevel/>
                                      </w14:textOutline>
                                    </w:rPr>
                                    <w:t>,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67647" id="Rectangle 1" o:spid="_x0000_s1026" style="position:absolute;left:0;text-align:left;margin-left:123.85pt;margin-top:21.9pt;width:618.65pt;height:37.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" fillcolor="#b8cce4 [1300]" strokecolor="#243f60 [1604]" strokeweight="2pt">
                      <v:textbox>
                        <w:txbxContent>
                          <w:p w14:paraId="01E6764E" w14:textId="77777777" w:rsidR="00885F81" w:rsidRPr="003F5A9B" w:rsidRDefault="00885F81" w:rsidP="00885F81">
                            <w:pPr>
                              <w:spacing w:after="0" w:line="240" w:lineRule="auto"/>
                              <w:jc w:val="center"/>
                              <w:rPr>
                                <w:b/>
                                <w:color w:val="C00000"/>
                                <w:sz w:val="52"/>
                                <w:szCs w:val="52"/>
                                <w14:textOutline w14:w="12700" w14:cap="rnd" w14:cmpd="sng" w14:algn="ctr">
                                  <w14:solidFill>
                                    <w14:schemeClr w14:val="tx2">
                                      <w14:lumMod w14:val="75000"/>
                                    </w14:schemeClr>
                                  </w14:solidFill>
                                  <w14:prstDash w14:val="solid"/>
                                  <w14:bevel/>
                                </w14:textOutline>
                              </w:rPr>
                            </w:pPr>
                            <w:r w:rsidRPr="00B46618">
                              <w:rPr>
                                <w:b/>
                                <w:color w:val="C00000"/>
                                <w:sz w:val="52"/>
                                <w:szCs w:val="52"/>
                                <w14:textOutline w14:w="12700" w14:cap="rnd" w14:cmpd="sng" w14:algn="ctr">
                                  <w14:solidFill>
                                    <w14:schemeClr w14:val="tx2">
                                      <w14:lumMod w14:val="75000"/>
                                    </w14:schemeClr>
                                  </w14:solidFill>
                                  <w14:prstDash w14:val="solid"/>
                                  <w14:bevel/>
                                </w14:textOutline>
                              </w:rPr>
                              <w:t xml:space="preserve">Law Change Effective </w:t>
                            </w:r>
                            <w:r w:rsidR="00B46618" w:rsidRPr="00B46618">
                              <w:rPr>
                                <w:b/>
                                <w:color w:val="C00000"/>
                                <w:sz w:val="52"/>
                                <w:szCs w:val="52"/>
                                <w14:textOutline w14:w="12700" w14:cap="rnd" w14:cmpd="sng" w14:algn="ctr">
                                  <w14:solidFill>
                                    <w14:schemeClr w14:val="tx2">
                                      <w14:lumMod w14:val="75000"/>
                                    </w14:schemeClr>
                                  </w14:solidFill>
                                  <w14:prstDash w14:val="solid"/>
                                  <w14:bevel/>
                                </w14:textOutline>
                              </w:rPr>
                              <w:t>May 13</w:t>
                            </w:r>
                            <w:r w:rsidRPr="00B46618">
                              <w:rPr>
                                <w:b/>
                                <w:color w:val="C00000"/>
                                <w:sz w:val="52"/>
                                <w:szCs w:val="52"/>
                                <w14:textOutline w14:w="12700" w14:cap="rnd" w14:cmpd="sng" w14:algn="ctr">
                                  <w14:solidFill>
                                    <w14:schemeClr w14:val="tx2">
                                      <w14:lumMod w14:val="75000"/>
                                    </w14:schemeClr>
                                  </w14:solidFill>
                                  <w14:prstDash w14:val="solid"/>
                                  <w14:bevel/>
                                </w14:textOutline>
                              </w:rPr>
                              <w:t>, 2018</w:t>
                            </w:r>
                          </w:p>
                        </w:txbxContent>
                      </v:textbox>
                    </v:rect>
                  </w:pict>
                </mc:Fallback>
              </mc:AlternateContent>
            </w:r>
            <w:r w:rsidR="00DB68F4" w:rsidRPr="00BD56D8">
              <w:rPr>
                <w:rFonts w:ascii="Candara" w:hAnsi="Candara"/>
                <w:sz w:val="24"/>
                <w:szCs w:val="24"/>
              </w:rPr>
              <w:t xml:space="preserve">Now specifies pelvic organ prolapse due to injury, disease or surgical complications of pregnancy, including uterine or vaginal vault prolapse, cystocele, urethrocele, rectocele, enterocele, or combination. </w:t>
            </w:r>
          </w:p>
          <w:p w14:paraId="01E67628" w14:textId="77777777" w:rsidR="00DB68F4" w:rsidRPr="00BD56D8" w:rsidRDefault="00B46618" w:rsidP="00664DBA">
            <w:pPr>
              <w:pStyle w:val="ListParagraph"/>
              <w:numPr>
                <w:ilvl w:val="2"/>
                <w:numId w:val="1"/>
              </w:numPr>
              <w:ind w:left="702"/>
              <w:rPr>
                <w:rFonts w:ascii="Candara" w:hAnsi="Candara"/>
                <w:sz w:val="24"/>
                <w:szCs w:val="24"/>
              </w:rPr>
            </w:pPr>
            <w:r w:rsidRPr="00BD56D8">
              <w:rPr>
                <w:rFonts w:ascii="Candara" w:hAnsi="Candara"/>
                <w:sz w:val="24"/>
                <w:szCs w:val="24"/>
              </w:rPr>
              <w:t>30% and 50% evaluations have been removed from this DC</w:t>
            </w:r>
            <w:r w:rsidR="00DB68F4" w:rsidRPr="00BD56D8">
              <w:rPr>
                <w:rFonts w:ascii="Candara" w:hAnsi="Candara"/>
                <w:sz w:val="24"/>
                <w:szCs w:val="24"/>
              </w:rPr>
              <w:t xml:space="preserve"> </w:t>
            </w:r>
          </w:p>
          <w:p w14:paraId="01E67629" w14:textId="77777777" w:rsidR="000202C2" w:rsidRPr="00BD56D8" w:rsidRDefault="000202C2" w:rsidP="00664DBA">
            <w:pPr>
              <w:pStyle w:val="ListParagraph"/>
              <w:numPr>
                <w:ilvl w:val="2"/>
                <w:numId w:val="1"/>
              </w:numPr>
              <w:ind w:left="702"/>
              <w:rPr>
                <w:rFonts w:ascii="Candara" w:hAnsi="Candara"/>
                <w:sz w:val="24"/>
                <w:szCs w:val="24"/>
              </w:rPr>
            </w:pPr>
            <w:r w:rsidRPr="00BD56D8">
              <w:rPr>
                <w:rFonts w:ascii="Candara" w:hAnsi="Candara"/>
                <w:sz w:val="24"/>
                <w:szCs w:val="24"/>
              </w:rPr>
              <w:t xml:space="preserve">May now grant separate evaluations for both 7621 </w:t>
            </w:r>
            <w:r w:rsidRPr="00BD56D8">
              <w:rPr>
                <w:rFonts w:ascii="Candara" w:hAnsi="Candara"/>
                <w:b/>
                <w:i/>
                <w:sz w:val="24"/>
                <w:szCs w:val="24"/>
              </w:rPr>
              <w:t>and</w:t>
            </w:r>
            <w:r w:rsidRPr="00BD56D8">
              <w:rPr>
                <w:rFonts w:ascii="Candara" w:hAnsi="Candara"/>
                <w:sz w:val="24"/>
                <w:szCs w:val="24"/>
              </w:rPr>
              <w:t xml:space="preserve"> related conditions under other body systems (for example incontinence, skin conditions, etc.).</w:t>
            </w:r>
          </w:p>
        </w:tc>
      </w:tr>
      <w:tr w:rsidR="00DB68F4" w:rsidRPr="00BD56D8" w14:paraId="01E6762D" w14:textId="77777777" w:rsidTr="00DB68F4">
        <w:tc>
          <w:tcPr>
            <w:tcW w:w="738" w:type="dxa"/>
          </w:tcPr>
          <w:p w14:paraId="01E6762B" w14:textId="77777777" w:rsidR="00DB68F4" w:rsidRPr="00BD56D8" w:rsidRDefault="00DB68F4" w:rsidP="00664DBA">
            <w:r w:rsidRPr="00BD56D8">
              <w:rPr>
                <w:rFonts w:ascii="Candara" w:hAnsi="Candara"/>
                <w:b/>
                <w:sz w:val="24"/>
                <w:szCs w:val="24"/>
              </w:rPr>
              <w:t>7622</w:t>
            </w:r>
          </w:p>
        </w:tc>
        <w:tc>
          <w:tcPr>
            <w:tcW w:w="8172" w:type="dxa"/>
          </w:tcPr>
          <w:p w14:paraId="01E6762C" w14:textId="42510571" w:rsidR="00DB68F4" w:rsidRPr="00BD56D8" w:rsidRDefault="00DB68F4" w:rsidP="00BD56D8">
            <w:r w:rsidRPr="00BD56D8">
              <w:rPr>
                <w:rFonts w:ascii="Candara" w:hAnsi="Candara"/>
                <w:sz w:val="24"/>
                <w:szCs w:val="24"/>
              </w:rPr>
              <w:t xml:space="preserve">deleted </w:t>
            </w:r>
            <w:r w:rsidR="00BD56D8" w:rsidRPr="00BD56D8">
              <w:rPr>
                <w:rFonts w:ascii="Candara" w:hAnsi="Candara"/>
                <w:sz w:val="24"/>
                <w:szCs w:val="24"/>
              </w:rPr>
              <w:t>–</w:t>
            </w:r>
            <w:r w:rsidRPr="00BD56D8">
              <w:rPr>
                <w:rFonts w:ascii="Candara" w:hAnsi="Candara"/>
                <w:sz w:val="24"/>
                <w:szCs w:val="24"/>
              </w:rPr>
              <w:t xml:space="preserve"> now</w:t>
            </w:r>
            <w:r w:rsidR="00BD56D8" w:rsidRPr="00BD56D8">
              <w:rPr>
                <w:rFonts w:ascii="Candara" w:hAnsi="Candara"/>
                <w:sz w:val="24"/>
                <w:szCs w:val="24"/>
              </w:rPr>
              <w:t xml:space="preserve"> evaluated under 7621</w:t>
            </w:r>
            <w:r w:rsidRPr="00BD56D8">
              <w:rPr>
                <w:rFonts w:ascii="Candara" w:hAnsi="Candara"/>
                <w:sz w:val="24"/>
                <w:szCs w:val="24"/>
              </w:rPr>
              <w:t xml:space="preserve"> </w:t>
            </w:r>
          </w:p>
        </w:tc>
      </w:tr>
      <w:tr w:rsidR="00DB68F4" w:rsidRPr="00BD56D8" w14:paraId="01E67630" w14:textId="77777777" w:rsidTr="00DB68F4">
        <w:tc>
          <w:tcPr>
            <w:tcW w:w="738" w:type="dxa"/>
          </w:tcPr>
          <w:p w14:paraId="01E6762E" w14:textId="77777777" w:rsidR="00DB68F4" w:rsidRPr="00BD56D8" w:rsidRDefault="00DB68F4" w:rsidP="00664DBA">
            <w:r w:rsidRPr="00BD56D8">
              <w:rPr>
                <w:rFonts w:ascii="Candara" w:hAnsi="Candara"/>
                <w:b/>
                <w:sz w:val="24"/>
                <w:szCs w:val="24"/>
              </w:rPr>
              <w:t>7623</w:t>
            </w:r>
          </w:p>
        </w:tc>
        <w:tc>
          <w:tcPr>
            <w:tcW w:w="8172" w:type="dxa"/>
          </w:tcPr>
          <w:p w14:paraId="01E6762F" w14:textId="4C661AD1" w:rsidR="00DB68F4" w:rsidRPr="00BD56D8" w:rsidRDefault="00DB68F4" w:rsidP="00BD56D8">
            <w:pPr>
              <w:rPr>
                <w:b/>
              </w:rPr>
            </w:pPr>
            <w:r w:rsidRPr="00BD56D8">
              <w:rPr>
                <w:rFonts w:ascii="Candara" w:hAnsi="Candara"/>
                <w:sz w:val="24"/>
                <w:szCs w:val="24"/>
              </w:rPr>
              <w:t xml:space="preserve">deleted </w:t>
            </w:r>
            <w:r w:rsidR="00BD56D8" w:rsidRPr="00BD56D8">
              <w:rPr>
                <w:rFonts w:ascii="Candara" w:hAnsi="Candara"/>
                <w:sz w:val="24"/>
                <w:szCs w:val="24"/>
              </w:rPr>
              <w:t>–</w:t>
            </w:r>
            <w:r w:rsidRPr="00BD56D8">
              <w:rPr>
                <w:rFonts w:ascii="Candara" w:hAnsi="Candara"/>
                <w:sz w:val="24"/>
                <w:szCs w:val="24"/>
              </w:rPr>
              <w:t xml:space="preserve"> now</w:t>
            </w:r>
            <w:r w:rsidR="00BD56D8" w:rsidRPr="00BD56D8">
              <w:rPr>
                <w:rFonts w:ascii="Candara" w:hAnsi="Candara"/>
                <w:sz w:val="24"/>
                <w:szCs w:val="24"/>
              </w:rPr>
              <w:t xml:space="preserve"> evaluated under 7621</w:t>
            </w:r>
          </w:p>
        </w:tc>
      </w:tr>
      <w:tr w:rsidR="00DB68F4" w:rsidRPr="00BD56D8" w14:paraId="01E67633" w14:textId="77777777" w:rsidTr="00DB68F4">
        <w:tc>
          <w:tcPr>
            <w:tcW w:w="738" w:type="dxa"/>
          </w:tcPr>
          <w:p w14:paraId="01E67631" w14:textId="77777777" w:rsidR="00DB68F4" w:rsidRPr="00BD56D8" w:rsidRDefault="00DB68F4" w:rsidP="00664DBA">
            <w:r w:rsidRPr="00BD56D8">
              <w:rPr>
                <w:rFonts w:ascii="Candara" w:hAnsi="Candara"/>
                <w:b/>
                <w:sz w:val="24"/>
                <w:szCs w:val="24"/>
              </w:rPr>
              <w:t>7627</w:t>
            </w:r>
          </w:p>
        </w:tc>
        <w:tc>
          <w:tcPr>
            <w:tcW w:w="8172" w:type="dxa"/>
          </w:tcPr>
          <w:p w14:paraId="01E67632" w14:textId="77777777" w:rsidR="00DB68F4" w:rsidRPr="00BD56D8" w:rsidRDefault="00DB68F4" w:rsidP="00664DBA">
            <w:r w:rsidRPr="00BD56D8">
              <w:rPr>
                <w:rFonts w:ascii="Candara" w:hAnsi="Candara"/>
                <w:sz w:val="24"/>
                <w:szCs w:val="24"/>
              </w:rPr>
              <w:t>Malignant neoplasms of the gynecological system (formerly of gynecological system and breast; these are now separated)</w:t>
            </w:r>
          </w:p>
        </w:tc>
      </w:tr>
      <w:tr w:rsidR="00DB68F4" w:rsidRPr="00BD56D8" w14:paraId="01E67636" w14:textId="77777777" w:rsidTr="00DB68F4">
        <w:tc>
          <w:tcPr>
            <w:tcW w:w="738" w:type="dxa"/>
          </w:tcPr>
          <w:p w14:paraId="01E67634" w14:textId="77777777" w:rsidR="00DB68F4" w:rsidRPr="00BD56D8" w:rsidRDefault="00DB68F4" w:rsidP="00664DBA">
            <w:r w:rsidRPr="00BD56D8">
              <w:rPr>
                <w:rFonts w:ascii="Candara" w:hAnsi="Candara"/>
                <w:b/>
                <w:sz w:val="24"/>
                <w:szCs w:val="24"/>
              </w:rPr>
              <w:t>7628</w:t>
            </w:r>
          </w:p>
        </w:tc>
        <w:tc>
          <w:tcPr>
            <w:tcW w:w="8172" w:type="dxa"/>
          </w:tcPr>
          <w:p w14:paraId="01E67635" w14:textId="77777777" w:rsidR="00DB68F4" w:rsidRPr="00BD56D8" w:rsidRDefault="00DB68F4" w:rsidP="00664DBA">
            <w:r w:rsidRPr="00BD56D8">
              <w:rPr>
                <w:rFonts w:ascii="Candara" w:hAnsi="Candara"/>
                <w:sz w:val="24"/>
                <w:szCs w:val="24"/>
              </w:rPr>
              <w:t>Benign neoplasms of the gynecological system (formerly of gynecological system and breast; these are now separated)</w:t>
            </w:r>
          </w:p>
        </w:tc>
      </w:tr>
      <w:tr w:rsidR="00DB68F4" w:rsidRPr="00BD56D8" w14:paraId="01E67639" w14:textId="77777777" w:rsidTr="00DB68F4">
        <w:tc>
          <w:tcPr>
            <w:tcW w:w="738" w:type="dxa"/>
          </w:tcPr>
          <w:p w14:paraId="01E67637" w14:textId="77777777" w:rsidR="00DB68F4" w:rsidRPr="00BD56D8" w:rsidRDefault="00DB68F4" w:rsidP="00664DBA">
            <w:r w:rsidRPr="00BD56D8">
              <w:rPr>
                <w:rFonts w:ascii="Candara" w:hAnsi="Candara"/>
                <w:b/>
                <w:sz w:val="24"/>
                <w:szCs w:val="24"/>
              </w:rPr>
              <w:t>7630</w:t>
            </w:r>
          </w:p>
        </w:tc>
        <w:tc>
          <w:tcPr>
            <w:tcW w:w="8172" w:type="dxa"/>
          </w:tcPr>
          <w:p w14:paraId="01E67638" w14:textId="77777777" w:rsidR="00DB68F4" w:rsidRPr="00BD56D8" w:rsidRDefault="00DB68F4" w:rsidP="00664DBA">
            <w:pPr>
              <w:rPr>
                <w:rFonts w:ascii="Candara" w:hAnsi="Candara"/>
                <w:sz w:val="24"/>
                <w:szCs w:val="24"/>
              </w:rPr>
            </w:pPr>
            <w:r w:rsidRPr="00BD56D8">
              <w:rPr>
                <w:rFonts w:ascii="Candara" w:hAnsi="Candara"/>
                <w:sz w:val="24"/>
                <w:szCs w:val="24"/>
              </w:rPr>
              <w:t xml:space="preserve">Malignant neoplasms of the breast – new code </w:t>
            </w:r>
          </w:p>
        </w:tc>
      </w:tr>
      <w:tr w:rsidR="00DB68F4" w:rsidRPr="00BD56D8" w14:paraId="01E6763C" w14:textId="77777777" w:rsidTr="00DB68F4">
        <w:tc>
          <w:tcPr>
            <w:tcW w:w="738" w:type="dxa"/>
          </w:tcPr>
          <w:p w14:paraId="01E6763A" w14:textId="77777777" w:rsidR="00DB68F4" w:rsidRPr="00BD56D8" w:rsidRDefault="00DB68F4" w:rsidP="00664DBA">
            <w:pPr>
              <w:rPr>
                <w:rFonts w:ascii="Candara" w:hAnsi="Candara"/>
                <w:b/>
                <w:sz w:val="24"/>
                <w:szCs w:val="24"/>
              </w:rPr>
            </w:pPr>
            <w:r w:rsidRPr="00BD56D8">
              <w:rPr>
                <w:rFonts w:ascii="Candara" w:hAnsi="Candara"/>
                <w:b/>
                <w:sz w:val="24"/>
                <w:szCs w:val="24"/>
              </w:rPr>
              <w:t>7631</w:t>
            </w:r>
          </w:p>
        </w:tc>
        <w:tc>
          <w:tcPr>
            <w:tcW w:w="8172" w:type="dxa"/>
          </w:tcPr>
          <w:p w14:paraId="01E6763B" w14:textId="77777777" w:rsidR="00DB68F4" w:rsidRPr="00BD56D8" w:rsidRDefault="00DB68F4" w:rsidP="00664DBA">
            <w:r w:rsidRPr="00BD56D8">
              <w:rPr>
                <w:rFonts w:ascii="Candara" w:hAnsi="Candara"/>
                <w:sz w:val="24"/>
                <w:szCs w:val="24"/>
              </w:rPr>
              <w:t>Benign neoplasms of the breast – new code</w:t>
            </w:r>
          </w:p>
        </w:tc>
      </w:tr>
      <w:tr w:rsidR="00DB68F4" w:rsidRPr="00BD56D8" w14:paraId="01E6763F" w14:textId="77777777" w:rsidTr="00DB68F4">
        <w:tc>
          <w:tcPr>
            <w:tcW w:w="738" w:type="dxa"/>
          </w:tcPr>
          <w:p w14:paraId="01E6763D" w14:textId="77777777" w:rsidR="00DB68F4" w:rsidRPr="00BD56D8" w:rsidRDefault="00DB68F4" w:rsidP="00664DBA">
            <w:pPr>
              <w:rPr>
                <w:rFonts w:ascii="Candara" w:hAnsi="Candara"/>
                <w:b/>
                <w:sz w:val="24"/>
                <w:szCs w:val="24"/>
              </w:rPr>
            </w:pPr>
            <w:r w:rsidRPr="00BD56D8">
              <w:rPr>
                <w:rFonts w:ascii="Candara" w:hAnsi="Candara"/>
                <w:b/>
                <w:sz w:val="24"/>
                <w:szCs w:val="24"/>
              </w:rPr>
              <w:t>7632</w:t>
            </w:r>
          </w:p>
        </w:tc>
        <w:tc>
          <w:tcPr>
            <w:tcW w:w="8172" w:type="dxa"/>
          </w:tcPr>
          <w:p w14:paraId="01E6763E" w14:textId="77777777" w:rsidR="00DB68F4" w:rsidRPr="00BD56D8" w:rsidRDefault="00DB68F4" w:rsidP="00664DBA">
            <w:r w:rsidRPr="00BD56D8">
              <w:rPr>
                <w:rFonts w:ascii="Candara" w:hAnsi="Candara"/>
                <w:sz w:val="24"/>
                <w:szCs w:val="24"/>
              </w:rPr>
              <w:t>Female Sexual Arousal Disorder (FSAD) – new code formerly rated analogous under 7699-7611</w:t>
            </w:r>
            <w:r w:rsidR="00ED275C" w:rsidRPr="00BD56D8">
              <w:rPr>
                <w:rFonts w:ascii="Candara" w:hAnsi="Candara"/>
                <w:sz w:val="24"/>
                <w:szCs w:val="24"/>
              </w:rPr>
              <w:t xml:space="preserve"> (remember to grant SMC  K)</w:t>
            </w:r>
          </w:p>
        </w:tc>
      </w:tr>
    </w:tbl>
    <w:p w14:paraId="01E67640" w14:textId="77777777" w:rsidR="00DB68F4" w:rsidRPr="00BD56D8" w:rsidRDefault="00DB68F4" w:rsidP="00DB68F4">
      <w:pPr>
        <w:spacing w:after="0" w:line="240" w:lineRule="auto"/>
        <w:rPr>
          <w:rFonts w:ascii="Candara" w:hAnsi="Candara"/>
          <w:sz w:val="24"/>
          <w:szCs w:val="24"/>
        </w:rPr>
      </w:pPr>
    </w:p>
    <w:p w14:paraId="01E67641" w14:textId="77777777" w:rsidR="00F31007" w:rsidRPr="00BD56D8" w:rsidRDefault="00BA10ED" w:rsidP="00DB68F4">
      <w:pPr>
        <w:spacing w:after="0" w:line="240" w:lineRule="auto"/>
        <w:rPr>
          <w:rFonts w:ascii="Candara" w:hAnsi="Candara"/>
          <w:b/>
          <w:sz w:val="24"/>
          <w:szCs w:val="24"/>
        </w:rPr>
      </w:pPr>
      <w:r w:rsidRPr="00BD56D8">
        <w:rPr>
          <w:rFonts w:ascii="Candara" w:hAnsi="Candara"/>
          <w:b/>
          <w:sz w:val="24"/>
          <w:szCs w:val="24"/>
        </w:rPr>
        <w:t xml:space="preserve">Important considerations – </w:t>
      </w:r>
      <w:r w:rsidR="00F31007" w:rsidRPr="00BD56D8">
        <w:rPr>
          <w:rFonts w:ascii="Candara" w:hAnsi="Candara"/>
          <w:sz w:val="24"/>
          <w:szCs w:val="24"/>
        </w:rPr>
        <w:t>Now that we’ve previewed our shiny new criteria… Consider</w:t>
      </w:r>
    </w:p>
    <w:p w14:paraId="01E67642" w14:textId="77777777" w:rsidR="00BA10ED" w:rsidRPr="00BD56D8" w:rsidRDefault="008F03A2" w:rsidP="00DB68F4">
      <w:pPr>
        <w:pStyle w:val="ListParagraph"/>
        <w:numPr>
          <w:ilvl w:val="0"/>
          <w:numId w:val="1"/>
        </w:numPr>
        <w:spacing w:after="0" w:line="240" w:lineRule="auto"/>
        <w:rPr>
          <w:rFonts w:ascii="Candara" w:hAnsi="Candara"/>
          <w:sz w:val="24"/>
          <w:szCs w:val="24"/>
        </w:rPr>
      </w:pPr>
      <w:r w:rsidRPr="00BD56D8">
        <w:rPr>
          <w:rFonts w:ascii="Candara" w:hAnsi="Candara"/>
          <w:sz w:val="24"/>
          <w:szCs w:val="24"/>
        </w:rPr>
        <w:t>D</w:t>
      </w:r>
      <w:r w:rsidR="00BA10ED" w:rsidRPr="00BD56D8">
        <w:rPr>
          <w:rFonts w:ascii="Candara" w:hAnsi="Candara"/>
          <w:sz w:val="24"/>
          <w:szCs w:val="24"/>
        </w:rPr>
        <w:t>epending on dates… what criteria apply?</w:t>
      </w:r>
    </w:p>
    <w:p w14:paraId="01E67643" w14:textId="77777777" w:rsidR="00215F18" w:rsidRPr="00BD56D8" w:rsidRDefault="00215F18" w:rsidP="00DB68F4">
      <w:pPr>
        <w:pStyle w:val="ListParagraph"/>
        <w:numPr>
          <w:ilvl w:val="1"/>
          <w:numId w:val="1"/>
        </w:numPr>
        <w:spacing w:after="0" w:line="240" w:lineRule="auto"/>
        <w:rPr>
          <w:rFonts w:ascii="Candara" w:hAnsi="Candara"/>
          <w:sz w:val="24"/>
          <w:szCs w:val="24"/>
        </w:rPr>
      </w:pPr>
      <w:r w:rsidRPr="00BD56D8">
        <w:rPr>
          <w:rFonts w:ascii="Candara" w:hAnsi="Candara"/>
          <w:sz w:val="24"/>
          <w:szCs w:val="24"/>
        </w:rPr>
        <w:t xml:space="preserve">When filling in </w:t>
      </w:r>
      <w:r w:rsidR="00921241" w:rsidRPr="00BD56D8">
        <w:rPr>
          <w:rFonts w:ascii="Candara" w:hAnsi="Candara"/>
          <w:sz w:val="24"/>
          <w:szCs w:val="24"/>
        </w:rPr>
        <w:t>evaluation builder and VBMS pay attention to when you should be using the historical or current criteria</w:t>
      </w:r>
    </w:p>
    <w:p w14:paraId="01E67644" w14:textId="77777777" w:rsidR="00BA10ED" w:rsidRPr="00BD56D8" w:rsidRDefault="00BA10ED" w:rsidP="00DB68F4">
      <w:pPr>
        <w:pStyle w:val="ListParagraph"/>
        <w:numPr>
          <w:ilvl w:val="0"/>
          <w:numId w:val="1"/>
        </w:numPr>
        <w:spacing w:after="0" w:line="240" w:lineRule="auto"/>
        <w:rPr>
          <w:rFonts w:ascii="Candara" w:hAnsi="Candara"/>
          <w:sz w:val="24"/>
          <w:szCs w:val="24"/>
        </w:rPr>
      </w:pPr>
      <w:r w:rsidRPr="00BD56D8">
        <w:rPr>
          <w:rFonts w:ascii="Candara" w:hAnsi="Candara"/>
          <w:sz w:val="24"/>
          <w:szCs w:val="24"/>
        </w:rPr>
        <w:t xml:space="preserve">Watch the </w:t>
      </w:r>
      <w:r w:rsidR="008F03A2" w:rsidRPr="00BD56D8">
        <w:rPr>
          <w:rFonts w:ascii="Candara" w:hAnsi="Candara"/>
          <w:sz w:val="24"/>
          <w:szCs w:val="24"/>
        </w:rPr>
        <w:t>DBQs</w:t>
      </w:r>
      <w:r w:rsidRPr="00BD56D8">
        <w:rPr>
          <w:rFonts w:ascii="Candara" w:hAnsi="Candara"/>
          <w:sz w:val="24"/>
          <w:szCs w:val="24"/>
        </w:rPr>
        <w:t>…</w:t>
      </w:r>
      <w:r w:rsidR="00DB68F4" w:rsidRPr="00BD56D8">
        <w:rPr>
          <w:rFonts w:ascii="Candara" w:hAnsi="Candara"/>
          <w:sz w:val="24"/>
          <w:szCs w:val="24"/>
        </w:rPr>
        <w:t>ensure we have all the information we need. If not, can we grant something now while asking for clarification?</w:t>
      </w:r>
    </w:p>
    <w:p w14:paraId="01E67645" w14:textId="77777777" w:rsidR="00BA10ED" w:rsidRPr="00BD56D8" w:rsidRDefault="00BA10ED" w:rsidP="00DB68F4">
      <w:pPr>
        <w:pStyle w:val="ListParagraph"/>
        <w:numPr>
          <w:ilvl w:val="0"/>
          <w:numId w:val="1"/>
        </w:numPr>
        <w:spacing w:after="0" w:line="240" w:lineRule="auto"/>
        <w:rPr>
          <w:rFonts w:ascii="Candara" w:hAnsi="Candara"/>
          <w:sz w:val="24"/>
          <w:szCs w:val="24"/>
        </w:rPr>
      </w:pPr>
      <w:r w:rsidRPr="00BD56D8">
        <w:rPr>
          <w:rFonts w:ascii="Candara" w:hAnsi="Candara"/>
          <w:sz w:val="24"/>
          <w:szCs w:val="24"/>
        </w:rPr>
        <w:t>VBMS updates</w:t>
      </w:r>
      <w:r w:rsidR="00F31007" w:rsidRPr="00BD56D8">
        <w:rPr>
          <w:rFonts w:ascii="Candara" w:hAnsi="Candara"/>
          <w:sz w:val="24"/>
          <w:szCs w:val="24"/>
        </w:rPr>
        <w:t xml:space="preserve"> </w:t>
      </w:r>
      <w:r w:rsidR="00215F18" w:rsidRPr="00BD56D8">
        <w:rPr>
          <w:rFonts w:ascii="Candara" w:hAnsi="Candara"/>
          <w:sz w:val="24"/>
          <w:szCs w:val="24"/>
        </w:rPr>
        <w:t xml:space="preserve">– watch the VBMS Release Information and User Guides page </w:t>
      </w:r>
      <w:hyperlink r:id="rId12" w:history="1">
        <w:r w:rsidR="00625578" w:rsidRPr="00BD56D8">
          <w:rPr>
            <w:rStyle w:val="Hyperlink"/>
            <w:rFonts w:ascii="Candara" w:hAnsi="Candara"/>
            <w:sz w:val="24"/>
            <w:szCs w:val="24"/>
          </w:rPr>
          <w:t>here</w:t>
        </w:r>
      </w:hyperlink>
      <w:r w:rsidR="00625578" w:rsidRPr="00BD56D8">
        <w:rPr>
          <w:rFonts w:ascii="Candara" w:hAnsi="Candara"/>
          <w:sz w:val="24"/>
          <w:szCs w:val="24"/>
        </w:rPr>
        <w:t xml:space="preserve">. </w:t>
      </w:r>
    </w:p>
    <w:p w14:paraId="01E67646" w14:textId="77777777" w:rsidR="00885F81" w:rsidRPr="00BD56D8" w:rsidRDefault="000202C2" w:rsidP="00885F81">
      <w:pPr>
        <w:pStyle w:val="ListParagraph"/>
        <w:numPr>
          <w:ilvl w:val="0"/>
          <w:numId w:val="1"/>
        </w:numPr>
        <w:spacing w:before="240" w:after="0" w:line="240" w:lineRule="auto"/>
        <w:rPr>
          <w:rFonts w:ascii="Candara" w:hAnsi="Candara"/>
          <w:sz w:val="24"/>
          <w:szCs w:val="24"/>
        </w:rPr>
      </w:pPr>
      <w:r w:rsidRPr="00BD56D8">
        <w:rPr>
          <w:rFonts w:ascii="Candara" w:hAnsi="Candara"/>
          <w:sz w:val="24"/>
          <w:szCs w:val="24"/>
        </w:rPr>
        <w:t xml:space="preserve">Reminder, for historical rating schedules, access the CFR through the manual website. </w:t>
      </w:r>
    </w:p>
    <w:sectPr w:rsidR="00885F81" w:rsidRPr="00BD56D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99BF2" w14:textId="77777777" w:rsidR="00FF5A16" w:rsidRDefault="00FF5A16" w:rsidP="00941671">
      <w:pPr>
        <w:spacing w:after="0" w:line="240" w:lineRule="auto"/>
      </w:pPr>
      <w:r>
        <w:separator/>
      </w:r>
    </w:p>
  </w:endnote>
  <w:endnote w:type="continuationSeparator" w:id="0">
    <w:p w14:paraId="384B0A82" w14:textId="77777777" w:rsidR="00FF5A16" w:rsidRDefault="00FF5A16" w:rsidP="0094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64D" w14:textId="77777777" w:rsidR="00941671" w:rsidRDefault="00941671" w:rsidP="00941671">
    <w:pPr>
      <w:pStyle w:val="Footer"/>
      <w:jc w:val="right"/>
    </w:pPr>
    <w:r>
      <w:t>Gynecological &amp; Breast Conditions VASRD Change Handout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5E39A" w14:textId="77777777" w:rsidR="00FF5A16" w:rsidRDefault="00FF5A16" w:rsidP="00941671">
      <w:pPr>
        <w:spacing w:after="0" w:line="240" w:lineRule="auto"/>
      </w:pPr>
      <w:r>
        <w:separator/>
      </w:r>
    </w:p>
  </w:footnote>
  <w:footnote w:type="continuationSeparator" w:id="0">
    <w:p w14:paraId="2A951A38" w14:textId="77777777" w:rsidR="00FF5A16" w:rsidRDefault="00FF5A16" w:rsidP="00941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510B2"/>
    <w:multiLevelType w:val="hybridMultilevel"/>
    <w:tmpl w:val="9A4E3058"/>
    <w:lvl w:ilvl="0" w:tplc="5106CD6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A76"/>
    <w:rsid w:val="000202C2"/>
    <w:rsid w:val="00145A76"/>
    <w:rsid w:val="00215F18"/>
    <w:rsid w:val="00224786"/>
    <w:rsid w:val="002B1661"/>
    <w:rsid w:val="0040141D"/>
    <w:rsid w:val="00447A05"/>
    <w:rsid w:val="00500256"/>
    <w:rsid w:val="00625578"/>
    <w:rsid w:val="006A0641"/>
    <w:rsid w:val="006D098D"/>
    <w:rsid w:val="0071520B"/>
    <w:rsid w:val="00720CE0"/>
    <w:rsid w:val="00885F81"/>
    <w:rsid w:val="008B5F03"/>
    <w:rsid w:val="008C0B3E"/>
    <w:rsid w:val="008D3D7A"/>
    <w:rsid w:val="008F03A2"/>
    <w:rsid w:val="00921241"/>
    <w:rsid w:val="00941671"/>
    <w:rsid w:val="009B3A66"/>
    <w:rsid w:val="00AB24BE"/>
    <w:rsid w:val="00B46618"/>
    <w:rsid w:val="00BA10ED"/>
    <w:rsid w:val="00BB48C8"/>
    <w:rsid w:val="00BB609B"/>
    <w:rsid w:val="00BD56D8"/>
    <w:rsid w:val="00BF5BFF"/>
    <w:rsid w:val="00C70573"/>
    <w:rsid w:val="00C845C0"/>
    <w:rsid w:val="00CF5851"/>
    <w:rsid w:val="00DB68F4"/>
    <w:rsid w:val="00DD4D72"/>
    <w:rsid w:val="00E04E2B"/>
    <w:rsid w:val="00EA60D3"/>
    <w:rsid w:val="00ED275C"/>
    <w:rsid w:val="00ED65D6"/>
    <w:rsid w:val="00EE0B3F"/>
    <w:rsid w:val="00F31007"/>
    <w:rsid w:val="00FB215E"/>
    <w:rsid w:val="00FD3532"/>
    <w:rsid w:val="00F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7615"/>
  <w15:docId w15:val="{E24BC2ED-9E8E-4147-8DE5-319E9399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0ED"/>
    <w:pPr>
      <w:ind w:left="720"/>
      <w:contextualSpacing/>
    </w:pPr>
  </w:style>
  <w:style w:type="character" w:styleId="Hyperlink">
    <w:name w:val="Hyperlink"/>
    <w:basedOn w:val="DefaultParagraphFont"/>
    <w:uiPriority w:val="99"/>
    <w:unhideWhenUsed/>
    <w:rsid w:val="00215F18"/>
    <w:rPr>
      <w:color w:val="0000FF" w:themeColor="hyperlink"/>
      <w:u w:val="single"/>
    </w:rPr>
  </w:style>
  <w:style w:type="table" w:styleId="TableGrid">
    <w:name w:val="Table Grid"/>
    <w:basedOn w:val="TableNormal"/>
    <w:uiPriority w:val="59"/>
    <w:rsid w:val="00DB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671"/>
  </w:style>
  <w:style w:type="paragraph" w:styleId="Footer">
    <w:name w:val="footer"/>
    <w:basedOn w:val="Normal"/>
    <w:link w:val="FooterChar"/>
    <w:uiPriority w:val="99"/>
    <w:unhideWhenUsed/>
    <w:rsid w:val="0094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671"/>
  </w:style>
  <w:style w:type="paragraph" w:styleId="NormalWeb">
    <w:name w:val="Normal (Web)"/>
    <w:basedOn w:val="Normal"/>
    <w:uiPriority w:val="99"/>
    <w:semiHidden/>
    <w:unhideWhenUsed/>
    <w:rsid w:val="0071520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25578"/>
    <w:rPr>
      <w:color w:val="800080" w:themeColor="followedHyperlink"/>
      <w:u w:val="single"/>
    </w:rPr>
  </w:style>
  <w:style w:type="paragraph" w:styleId="BalloonText">
    <w:name w:val="Balloon Text"/>
    <w:basedOn w:val="Normal"/>
    <w:link w:val="BalloonTextChar"/>
    <w:uiPriority w:val="99"/>
    <w:semiHidden/>
    <w:unhideWhenUsed/>
    <w:rsid w:val="00ED6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5D6"/>
    <w:rPr>
      <w:rFonts w:ascii="Tahoma" w:hAnsi="Tahoma" w:cs="Tahoma"/>
      <w:sz w:val="16"/>
      <w:szCs w:val="16"/>
    </w:rPr>
  </w:style>
  <w:style w:type="character" w:styleId="CommentReference">
    <w:name w:val="annotation reference"/>
    <w:basedOn w:val="DefaultParagraphFont"/>
    <w:uiPriority w:val="99"/>
    <w:semiHidden/>
    <w:unhideWhenUsed/>
    <w:rsid w:val="009B3A66"/>
    <w:rPr>
      <w:sz w:val="16"/>
      <w:szCs w:val="16"/>
    </w:rPr>
  </w:style>
  <w:style w:type="paragraph" w:styleId="CommentText">
    <w:name w:val="annotation text"/>
    <w:basedOn w:val="Normal"/>
    <w:link w:val="CommentTextChar"/>
    <w:uiPriority w:val="99"/>
    <w:semiHidden/>
    <w:unhideWhenUsed/>
    <w:rsid w:val="009B3A66"/>
    <w:pPr>
      <w:spacing w:line="240" w:lineRule="auto"/>
    </w:pPr>
    <w:rPr>
      <w:sz w:val="20"/>
      <w:szCs w:val="20"/>
    </w:rPr>
  </w:style>
  <w:style w:type="character" w:customStyle="1" w:styleId="CommentTextChar">
    <w:name w:val="Comment Text Char"/>
    <w:basedOn w:val="DefaultParagraphFont"/>
    <w:link w:val="CommentText"/>
    <w:uiPriority w:val="99"/>
    <w:semiHidden/>
    <w:rsid w:val="009B3A66"/>
    <w:rPr>
      <w:sz w:val="20"/>
      <w:szCs w:val="20"/>
    </w:rPr>
  </w:style>
  <w:style w:type="paragraph" w:styleId="CommentSubject">
    <w:name w:val="annotation subject"/>
    <w:basedOn w:val="CommentText"/>
    <w:next w:val="CommentText"/>
    <w:link w:val="CommentSubjectChar"/>
    <w:uiPriority w:val="99"/>
    <w:semiHidden/>
    <w:unhideWhenUsed/>
    <w:rsid w:val="009B3A66"/>
    <w:rPr>
      <w:b/>
      <w:bCs/>
    </w:rPr>
  </w:style>
  <w:style w:type="character" w:customStyle="1" w:styleId="CommentSubjectChar">
    <w:name w:val="Comment Subject Char"/>
    <w:basedOn w:val="CommentTextChar"/>
    <w:link w:val="CommentSubject"/>
    <w:uiPriority w:val="99"/>
    <w:semiHidden/>
    <w:rsid w:val="009B3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86377">
      <w:bodyDiv w:val="1"/>
      <w:marLeft w:val="0"/>
      <w:marRight w:val="0"/>
      <w:marTop w:val="0"/>
      <w:marBottom w:val="0"/>
      <w:divBdr>
        <w:top w:val="none" w:sz="0" w:space="0" w:color="auto"/>
        <w:left w:val="none" w:sz="0" w:space="0" w:color="auto"/>
        <w:bottom w:val="none" w:sz="0" w:space="0" w:color="auto"/>
        <w:right w:val="none" w:sz="0" w:space="0" w:color="auto"/>
      </w:divBdr>
    </w:div>
    <w:div w:id="10272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vbaw.vba.va.gov/VBMS/Resources_Technical_Information.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RO317-839076992-11135</_dlc_DocId>
    <_dlc_DocIdUrl xmlns="b62c6c12-24c5-4d47-ac4d-c5cc93bcdf7b">
      <Url>https://vaww.vashare.vba.va.gov/sites/SPTNCIO/focusedveterans/training/VSRvirtualtraining/_layouts/15/DocIdRedir.aspx?ID=RO317-839076992-11135</Url>
      <Description>RO317-839076992-11135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DC12-5B74-432A-8DD8-4998E410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2482E-C718-4F3F-8EEB-312F9E9B7646}">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58A75074-F041-4105-8864-B39786F2E05A}">
  <ds:schemaRefs>
    <ds:schemaRef ds:uri="http://schemas.microsoft.com/sharepoint/v3/contenttype/forms"/>
  </ds:schemaRefs>
</ds:datastoreItem>
</file>

<file path=customXml/itemProps4.xml><?xml version="1.0" encoding="utf-8"?>
<ds:datastoreItem xmlns:ds="http://schemas.openxmlformats.org/officeDocument/2006/customXml" ds:itemID="{EDADFC6C-3129-4A05-BEC6-F93BE9B8F514}">
  <ds:schemaRefs>
    <ds:schemaRef ds:uri="http://schemas.microsoft.com/sharepoint/events"/>
  </ds:schemaRefs>
</ds:datastoreItem>
</file>

<file path=customXml/itemProps5.xml><?xml version="1.0" encoding="utf-8"?>
<ds:datastoreItem xmlns:ds="http://schemas.openxmlformats.org/officeDocument/2006/customXml" ds:itemID="{484771AF-B900-40D2-B61F-93B2E297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Introduction to Gynecological &amp; Breast Conditions Rating Schedule Changes Handout</vt:lpstr>
    </vt:vector>
  </TitlesOfParts>
  <Company>Veteran Affairs</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Gynecological &amp; Breast Conditions Rating Schedule Changes Handout</dc:title>
  <dc:subject>RVSR, RQRS, DRO</dc:subject>
  <dc:creator>Denver Training Facility, C. Lee</dc:creator>
  <cp:keywords>VASRD, Gyn, gynecological, III.iv.4.J, III.iv.3.A, breast, FSAD, female sexual arousal disorder</cp:keywords>
  <dc:description>This lesson introduces changes to the Rating Schedule for Gynecological and Breast Conditions and reviews important considerations.</dc:description>
  <cp:lastModifiedBy>Kathy Poole</cp:lastModifiedBy>
  <cp:revision>3</cp:revision>
  <cp:lastPrinted>2017-06-22T15:18:00Z</cp:lastPrinted>
  <dcterms:created xsi:type="dcterms:W3CDTF">2018-04-18T20:41:00Z</dcterms:created>
  <dcterms:modified xsi:type="dcterms:W3CDTF">2018-04-24T17:08:00Z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486cf8c1-270f-48bb-a5dd-926f0808383d</vt:lpwstr>
  </property>
  <property fmtid="{D5CDD505-2E9C-101B-9397-08002B2CF9AE}" pid="4" name="Language">
    <vt:lpwstr>en</vt:lpwstr>
  </property>
  <property fmtid="{D5CDD505-2E9C-101B-9397-08002B2CF9AE}" pid="5" name="Type">
    <vt:lpwstr>Guide</vt:lpwstr>
  </property>
</Properties>
</file>