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D4B5A" w14:textId="260BEA2F" w:rsidR="007A5600" w:rsidRPr="00B21AE7" w:rsidRDefault="00A22945">
      <w:pPr>
        <w:pStyle w:val="VBALessonPlanName"/>
        <w:rPr>
          <w:color w:val="auto"/>
        </w:rPr>
      </w:pPr>
      <w:bookmarkStart w:id="0" w:name="_GoBack"/>
      <w:bookmarkEnd w:id="0"/>
      <w:r>
        <w:rPr>
          <w:color w:val="auto"/>
        </w:rPr>
        <w:t xml:space="preserve">Contaminants in Water Supply: Camp Lejeune </w:t>
      </w:r>
      <w:r w:rsidR="00AB6B37">
        <w:rPr>
          <w:color w:val="auto"/>
        </w:rPr>
        <w:t>P</w:t>
      </w:r>
      <w:r>
        <w:rPr>
          <w:color w:val="auto"/>
        </w:rPr>
        <w:t xml:space="preserve">resumptive </w:t>
      </w:r>
      <w:r w:rsidR="00AB6B37">
        <w:rPr>
          <w:color w:val="auto"/>
        </w:rPr>
        <w:t>R</w:t>
      </w:r>
      <w:r>
        <w:rPr>
          <w:color w:val="auto"/>
        </w:rPr>
        <w:t>egulation (RVSR)</w:t>
      </w:r>
    </w:p>
    <w:p w14:paraId="56ED4B5B" w14:textId="77777777" w:rsidR="007A5600" w:rsidRDefault="007A5600" w:rsidP="00AD7CBE">
      <w:pPr>
        <w:pStyle w:val="VBALessonPlanTitle"/>
        <w:spacing w:after="240"/>
        <w:rPr>
          <w:color w:val="auto"/>
        </w:rPr>
      </w:pPr>
      <w:bookmarkStart w:id="1" w:name="_Toc276556863"/>
      <w:r>
        <w:rPr>
          <w:color w:val="auto"/>
        </w:rPr>
        <w:t>Trainee Handout</w:t>
      </w:r>
      <w:bookmarkEnd w:id="1"/>
    </w:p>
    <w:p w14:paraId="6FC4DDA8" w14:textId="77777777" w:rsidR="000B0FEC" w:rsidRDefault="000B0FEC" w:rsidP="00AD7CBE">
      <w:pPr>
        <w:pStyle w:val="VBALessonPlanTitle"/>
        <w:spacing w:after="240"/>
        <w:rPr>
          <w:color w:val="auto"/>
        </w:rPr>
      </w:pPr>
    </w:p>
    <w:p w14:paraId="6E7856D6" w14:textId="77777777" w:rsidR="000B0FEC" w:rsidRDefault="000B0FEC" w:rsidP="00AD7CBE">
      <w:pPr>
        <w:pStyle w:val="VBALessonPlanTitle"/>
        <w:spacing w:after="240"/>
        <w:rPr>
          <w:color w:val="auto"/>
        </w:rPr>
      </w:pPr>
    </w:p>
    <w:p w14:paraId="56ED4B5D" w14:textId="77777777" w:rsidR="007A5600" w:rsidRDefault="007A5600">
      <w:pPr>
        <w:jc w:val="center"/>
        <w:textAlignment w:val="baseline"/>
        <w:rPr>
          <w:rFonts w:ascii="Times New Roman Bold" w:hAnsi="Times New Roman Bold"/>
          <w:b/>
          <w:sz w:val="28"/>
          <w:szCs w:val="28"/>
        </w:rPr>
      </w:pPr>
      <w:bookmarkStart w:id="2" w:name="_Toc276556864"/>
      <w:r>
        <w:rPr>
          <w:rFonts w:ascii="Times New Roman Bold" w:hAnsi="Times New Roman Bold"/>
          <w:b/>
          <w:sz w:val="28"/>
          <w:szCs w:val="28"/>
        </w:rPr>
        <w:t>Table of Contents</w:t>
      </w:r>
      <w:bookmarkEnd w:id="2"/>
    </w:p>
    <w:p w14:paraId="56ED4B5E" w14:textId="77777777" w:rsidR="007A5600" w:rsidRDefault="007A5600"/>
    <w:p w14:paraId="03BE6373" w14:textId="77777777" w:rsidR="00F56C4A" w:rsidRPr="00531018" w:rsidRDefault="007A5600">
      <w:pPr>
        <w:pStyle w:val="TOC1"/>
        <w:rPr>
          <w:rFonts w:eastAsiaTheme="minorEastAsia"/>
          <w:szCs w:val="24"/>
        </w:rPr>
      </w:pPr>
      <w:r w:rsidRPr="00531018">
        <w:rPr>
          <w:rStyle w:val="BookTitle"/>
          <w:b w:val="0"/>
          <w:smallCaps w:val="0"/>
          <w:szCs w:val="24"/>
        </w:rPr>
        <w:fldChar w:fldCharType="begin"/>
      </w:r>
      <w:r w:rsidRPr="00531018">
        <w:rPr>
          <w:rStyle w:val="BookTitle"/>
          <w:b w:val="0"/>
          <w:smallCaps w:val="0"/>
          <w:szCs w:val="24"/>
        </w:rPr>
        <w:instrText xml:space="preserve"> TOC \o "1-1" \h \z \u </w:instrText>
      </w:r>
      <w:r w:rsidRPr="00531018">
        <w:rPr>
          <w:rStyle w:val="BookTitle"/>
          <w:b w:val="0"/>
          <w:smallCaps w:val="0"/>
          <w:szCs w:val="24"/>
        </w:rPr>
        <w:fldChar w:fldCharType="separate"/>
      </w:r>
      <w:hyperlink w:anchor="_Toc485284767" w:history="1">
        <w:r w:rsidR="00F56C4A" w:rsidRPr="00531018">
          <w:rPr>
            <w:rStyle w:val="Hyperlink"/>
            <w:szCs w:val="24"/>
          </w:rPr>
          <w:t>Objectives</w:t>
        </w:r>
        <w:r w:rsidR="00F56C4A" w:rsidRPr="00531018">
          <w:rPr>
            <w:webHidden/>
            <w:szCs w:val="24"/>
          </w:rPr>
          <w:tab/>
        </w:r>
        <w:r w:rsidR="00F56C4A" w:rsidRPr="00531018">
          <w:rPr>
            <w:webHidden/>
            <w:szCs w:val="24"/>
          </w:rPr>
          <w:fldChar w:fldCharType="begin"/>
        </w:r>
        <w:r w:rsidR="00F56C4A" w:rsidRPr="00531018">
          <w:rPr>
            <w:webHidden/>
            <w:szCs w:val="24"/>
          </w:rPr>
          <w:instrText xml:space="preserve"> PAGEREF _Toc485284767 \h </w:instrText>
        </w:r>
        <w:r w:rsidR="00F56C4A" w:rsidRPr="00531018">
          <w:rPr>
            <w:webHidden/>
            <w:szCs w:val="24"/>
          </w:rPr>
        </w:r>
        <w:r w:rsidR="00F56C4A" w:rsidRPr="00531018">
          <w:rPr>
            <w:webHidden/>
            <w:szCs w:val="24"/>
          </w:rPr>
          <w:fldChar w:fldCharType="separate"/>
        </w:r>
        <w:r w:rsidR="0052058A">
          <w:rPr>
            <w:webHidden/>
            <w:szCs w:val="24"/>
          </w:rPr>
          <w:t>2</w:t>
        </w:r>
        <w:r w:rsidR="00F56C4A" w:rsidRPr="00531018">
          <w:rPr>
            <w:webHidden/>
            <w:szCs w:val="24"/>
          </w:rPr>
          <w:fldChar w:fldCharType="end"/>
        </w:r>
      </w:hyperlink>
    </w:p>
    <w:p w14:paraId="39F9DFF6" w14:textId="77777777" w:rsidR="00F56C4A" w:rsidRPr="00531018" w:rsidRDefault="005457F5">
      <w:pPr>
        <w:pStyle w:val="TOC1"/>
        <w:rPr>
          <w:rFonts w:eastAsiaTheme="minorEastAsia"/>
          <w:szCs w:val="24"/>
        </w:rPr>
      </w:pPr>
      <w:hyperlink w:anchor="_Toc485284768" w:history="1">
        <w:r w:rsidR="00F56C4A" w:rsidRPr="00531018">
          <w:rPr>
            <w:rStyle w:val="Hyperlink"/>
            <w:szCs w:val="24"/>
          </w:rPr>
          <w:t>References</w:t>
        </w:r>
        <w:r w:rsidR="00F56C4A" w:rsidRPr="00531018">
          <w:rPr>
            <w:webHidden/>
            <w:szCs w:val="24"/>
          </w:rPr>
          <w:tab/>
        </w:r>
        <w:r w:rsidR="00F56C4A" w:rsidRPr="00531018">
          <w:rPr>
            <w:webHidden/>
            <w:szCs w:val="24"/>
          </w:rPr>
          <w:fldChar w:fldCharType="begin"/>
        </w:r>
        <w:r w:rsidR="00F56C4A" w:rsidRPr="00531018">
          <w:rPr>
            <w:webHidden/>
            <w:szCs w:val="24"/>
          </w:rPr>
          <w:instrText xml:space="preserve"> PAGEREF _Toc485284768 \h </w:instrText>
        </w:r>
        <w:r w:rsidR="00F56C4A" w:rsidRPr="00531018">
          <w:rPr>
            <w:webHidden/>
            <w:szCs w:val="24"/>
          </w:rPr>
        </w:r>
        <w:r w:rsidR="00F56C4A" w:rsidRPr="00531018">
          <w:rPr>
            <w:webHidden/>
            <w:szCs w:val="24"/>
          </w:rPr>
          <w:fldChar w:fldCharType="separate"/>
        </w:r>
        <w:r w:rsidR="0052058A">
          <w:rPr>
            <w:webHidden/>
            <w:szCs w:val="24"/>
          </w:rPr>
          <w:t>2</w:t>
        </w:r>
        <w:r w:rsidR="00F56C4A" w:rsidRPr="00531018">
          <w:rPr>
            <w:webHidden/>
            <w:szCs w:val="24"/>
          </w:rPr>
          <w:fldChar w:fldCharType="end"/>
        </w:r>
      </w:hyperlink>
    </w:p>
    <w:p w14:paraId="4211A826" w14:textId="77777777" w:rsidR="00F56C4A" w:rsidRPr="00531018" w:rsidRDefault="005457F5">
      <w:pPr>
        <w:pStyle w:val="TOC1"/>
        <w:rPr>
          <w:rFonts w:eastAsiaTheme="minorEastAsia"/>
          <w:szCs w:val="24"/>
        </w:rPr>
      </w:pPr>
      <w:hyperlink w:anchor="_Toc485284769" w:history="1">
        <w:r w:rsidR="00F56C4A" w:rsidRPr="00531018">
          <w:rPr>
            <w:rStyle w:val="Hyperlink"/>
            <w:szCs w:val="24"/>
          </w:rPr>
          <w:t>Topic 1: Background and Regulation</w:t>
        </w:r>
        <w:r w:rsidR="00F56C4A" w:rsidRPr="00531018">
          <w:rPr>
            <w:webHidden/>
            <w:szCs w:val="24"/>
          </w:rPr>
          <w:tab/>
        </w:r>
        <w:r w:rsidR="00F56C4A" w:rsidRPr="00531018">
          <w:rPr>
            <w:webHidden/>
            <w:szCs w:val="24"/>
          </w:rPr>
          <w:fldChar w:fldCharType="begin"/>
        </w:r>
        <w:r w:rsidR="00F56C4A" w:rsidRPr="00531018">
          <w:rPr>
            <w:webHidden/>
            <w:szCs w:val="24"/>
          </w:rPr>
          <w:instrText xml:space="preserve"> PAGEREF _Toc485284769 \h </w:instrText>
        </w:r>
        <w:r w:rsidR="00F56C4A" w:rsidRPr="00531018">
          <w:rPr>
            <w:webHidden/>
            <w:szCs w:val="24"/>
          </w:rPr>
        </w:r>
        <w:r w:rsidR="00F56C4A" w:rsidRPr="00531018">
          <w:rPr>
            <w:webHidden/>
            <w:szCs w:val="24"/>
          </w:rPr>
          <w:fldChar w:fldCharType="separate"/>
        </w:r>
        <w:r w:rsidR="0052058A">
          <w:rPr>
            <w:webHidden/>
            <w:szCs w:val="24"/>
          </w:rPr>
          <w:t>3</w:t>
        </w:r>
        <w:r w:rsidR="00F56C4A" w:rsidRPr="00531018">
          <w:rPr>
            <w:webHidden/>
            <w:szCs w:val="24"/>
          </w:rPr>
          <w:fldChar w:fldCharType="end"/>
        </w:r>
      </w:hyperlink>
    </w:p>
    <w:p w14:paraId="3A6C9418" w14:textId="77777777" w:rsidR="00F56C4A" w:rsidRPr="00531018" w:rsidRDefault="005457F5">
      <w:pPr>
        <w:pStyle w:val="TOC1"/>
        <w:rPr>
          <w:rFonts w:eastAsiaTheme="minorEastAsia"/>
          <w:szCs w:val="24"/>
        </w:rPr>
      </w:pPr>
      <w:hyperlink w:anchor="_Toc485284770" w:history="1">
        <w:r w:rsidR="00F56C4A" w:rsidRPr="00531018">
          <w:rPr>
            <w:rStyle w:val="Hyperlink"/>
            <w:szCs w:val="24"/>
          </w:rPr>
          <w:t>Topic 2: Claim Processing</w:t>
        </w:r>
        <w:r w:rsidR="00F56C4A" w:rsidRPr="00531018">
          <w:rPr>
            <w:webHidden/>
            <w:szCs w:val="24"/>
          </w:rPr>
          <w:tab/>
        </w:r>
        <w:r w:rsidR="00F56C4A" w:rsidRPr="00531018">
          <w:rPr>
            <w:webHidden/>
            <w:szCs w:val="24"/>
          </w:rPr>
          <w:fldChar w:fldCharType="begin"/>
        </w:r>
        <w:r w:rsidR="00F56C4A" w:rsidRPr="00531018">
          <w:rPr>
            <w:webHidden/>
            <w:szCs w:val="24"/>
          </w:rPr>
          <w:instrText xml:space="preserve"> PAGEREF _Toc485284770 \h </w:instrText>
        </w:r>
        <w:r w:rsidR="00F56C4A" w:rsidRPr="00531018">
          <w:rPr>
            <w:webHidden/>
            <w:szCs w:val="24"/>
          </w:rPr>
        </w:r>
        <w:r w:rsidR="00F56C4A" w:rsidRPr="00531018">
          <w:rPr>
            <w:webHidden/>
            <w:szCs w:val="24"/>
          </w:rPr>
          <w:fldChar w:fldCharType="separate"/>
        </w:r>
        <w:r w:rsidR="0052058A">
          <w:rPr>
            <w:webHidden/>
            <w:szCs w:val="24"/>
          </w:rPr>
          <w:t>5</w:t>
        </w:r>
        <w:r w:rsidR="00F56C4A" w:rsidRPr="00531018">
          <w:rPr>
            <w:webHidden/>
            <w:szCs w:val="24"/>
          </w:rPr>
          <w:fldChar w:fldCharType="end"/>
        </w:r>
      </w:hyperlink>
    </w:p>
    <w:p w14:paraId="727A31D6" w14:textId="77777777" w:rsidR="00F56C4A" w:rsidRPr="00531018" w:rsidRDefault="005457F5">
      <w:pPr>
        <w:pStyle w:val="TOC1"/>
        <w:rPr>
          <w:rFonts w:eastAsiaTheme="minorEastAsia"/>
          <w:szCs w:val="24"/>
        </w:rPr>
      </w:pPr>
      <w:hyperlink w:anchor="_Toc485284771" w:history="1">
        <w:r w:rsidR="00F56C4A" w:rsidRPr="00531018">
          <w:rPr>
            <w:rStyle w:val="Hyperlink"/>
            <w:szCs w:val="24"/>
          </w:rPr>
          <w:t>Topic 3: Presumptive Disabilities – Schedule of Ratings</w:t>
        </w:r>
        <w:r w:rsidR="00F56C4A" w:rsidRPr="00531018">
          <w:rPr>
            <w:webHidden/>
            <w:szCs w:val="24"/>
          </w:rPr>
          <w:tab/>
        </w:r>
        <w:r w:rsidR="00F56C4A" w:rsidRPr="00531018">
          <w:rPr>
            <w:webHidden/>
            <w:szCs w:val="24"/>
          </w:rPr>
          <w:fldChar w:fldCharType="begin"/>
        </w:r>
        <w:r w:rsidR="00F56C4A" w:rsidRPr="00531018">
          <w:rPr>
            <w:webHidden/>
            <w:szCs w:val="24"/>
          </w:rPr>
          <w:instrText xml:space="preserve"> PAGEREF _Toc485284771 \h </w:instrText>
        </w:r>
        <w:r w:rsidR="00F56C4A" w:rsidRPr="00531018">
          <w:rPr>
            <w:webHidden/>
            <w:szCs w:val="24"/>
          </w:rPr>
        </w:r>
        <w:r w:rsidR="00F56C4A" w:rsidRPr="00531018">
          <w:rPr>
            <w:webHidden/>
            <w:szCs w:val="24"/>
          </w:rPr>
          <w:fldChar w:fldCharType="separate"/>
        </w:r>
        <w:r w:rsidR="0052058A">
          <w:rPr>
            <w:webHidden/>
            <w:szCs w:val="24"/>
          </w:rPr>
          <w:t>10</w:t>
        </w:r>
        <w:r w:rsidR="00F56C4A" w:rsidRPr="00531018">
          <w:rPr>
            <w:webHidden/>
            <w:szCs w:val="24"/>
          </w:rPr>
          <w:fldChar w:fldCharType="end"/>
        </w:r>
      </w:hyperlink>
    </w:p>
    <w:p w14:paraId="54D6C5C5" w14:textId="77777777" w:rsidR="00F56C4A" w:rsidRPr="00531018" w:rsidRDefault="005457F5">
      <w:pPr>
        <w:pStyle w:val="TOC1"/>
        <w:rPr>
          <w:rFonts w:eastAsiaTheme="minorEastAsia"/>
          <w:szCs w:val="24"/>
        </w:rPr>
      </w:pPr>
      <w:hyperlink w:anchor="_Toc485284772" w:history="1">
        <w:r w:rsidR="00F56C4A" w:rsidRPr="00531018">
          <w:rPr>
            <w:rStyle w:val="Hyperlink"/>
            <w:szCs w:val="24"/>
          </w:rPr>
          <w:t>Topic 4: Effective Date</w:t>
        </w:r>
        <w:r w:rsidR="00F56C4A" w:rsidRPr="00531018">
          <w:rPr>
            <w:webHidden/>
            <w:szCs w:val="24"/>
          </w:rPr>
          <w:tab/>
        </w:r>
        <w:r w:rsidR="00F56C4A" w:rsidRPr="00531018">
          <w:rPr>
            <w:webHidden/>
            <w:szCs w:val="24"/>
          </w:rPr>
          <w:fldChar w:fldCharType="begin"/>
        </w:r>
        <w:r w:rsidR="00F56C4A" w:rsidRPr="00531018">
          <w:rPr>
            <w:webHidden/>
            <w:szCs w:val="24"/>
          </w:rPr>
          <w:instrText xml:space="preserve"> PAGEREF _Toc485284772 \h </w:instrText>
        </w:r>
        <w:r w:rsidR="00F56C4A" w:rsidRPr="00531018">
          <w:rPr>
            <w:webHidden/>
            <w:szCs w:val="24"/>
          </w:rPr>
        </w:r>
        <w:r w:rsidR="00F56C4A" w:rsidRPr="00531018">
          <w:rPr>
            <w:webHidden/>
            <w:szCs w:val="24"/>
          </w:rPr>
          <w:fldChar w:fldCharType="separate"/>
        </w:r>
        <w:r w:rsidR="0052058A">
          <w:rPr>
            <w:webHidden/>
            <w:szCs w:val="24"/>
          </w:rPr>
          <w:t>20</w:t>
        </w:r>
        <w:r w:rsidR="00F56C4A" w:rsidRPr="00531018">
          <w:rPr>
            <w:webHidden/>
            <w:szCs w:val="24"/>
          </w:rPr>
          <w:fldChar w:fldCharType="end"/>
        </w:r>
      </w:hyperlink>
    </w:p>
    <w:p w14:paraId="4E6DE71D" w14:textId="77777777" w:rsidR="00F56C4A" w:rsidRPr="00531018" w:rsidRDefault="005457F5">
      <w:pPr>
        <w:pStyle w:val="TOC1"/>
        <w:rPr>
          <w:rFonts w:eastAsiaTheme="minorEastAsia"/>
          <w:szCs w:val="24"/>
        </w:rPr>
      </w:pPr>
      <w:hyperlink w:anchor="_Toc485284773" w:history="1">
        <w:r w:rsidR="00F56C4A" w:rsidRPr="00531018">
          <w:rPr>
            <w:rStyle w:val="Hyperlink"/>
            <w:szCs w:val="24"/>
          </w:rPr>
          <w:t>Topic 5: Rating Requirements</w:t>
        </w:r>
        <w:r w:rsidR="00F56C4A" w:rsidRPr="00531018">
          <w:rPr>
            <w:webHidden/>
            <w:szCs w:val="24"/>
          </w:rPr>
          <w:tab/>
        </w:r>
        <w:r w:rsidR="00F56C4A" w:rsidRPr="00531018">
          <w:rPr>
            <w:webHidden/>
            <w:szCs w:val="24"/>
          </w:rPr>
          <w:fldChar w:fldCharType="begin"/>
        </w:r>
        <w:r w:rsidR="00F56C4A" w:rsidRPr="00531018">
          <w:rPr>
            <w:webHidden/>
            <w:szCs w:val="24"/>
          </w:rPr>
          <w:instrText xml:space="preserve"> PAGEREF _Toc485284773 \h </w:instrText>
        </w:r>
        <w:r w:rsidR="00F56C4A" w:rsidRPr="00531018">
          <w:rPr>
            <w:webHidden/>
            <w:szCs w:val="24"/>
          </w:rPr>
        </w:r>
        <w:r w:rsidR="00F56C4A" w:rsidRPr="00531018">
          <w:rPr>
            <w:webHidden/>
            <w:szCs w:val="24"/>
          </w:rPr>
          <w:fldChar w:fldCharType="separate"/>
        </w:r>
        <w:r w:rsidR="0052058A">
          <w:rPr>
            <w:webHidden/>
            <w:szCs w:val="24"/>
          </w:rPr>
          <w:t>21</w:t>
        </w:r>
        <w:r w:rsidR="00F56C4A" w:rsidRPr="00531018">
          <w:rPr>
            <w:webHidden/>
            <w:szCs w:val="24"/>
          </w:rPr>
          <w:fldChar w:fldCharType="end"/>
        </w:r>
      </w:hyperlink>
    </w:p>
    <w:p w14:paraId="184116B8" w14:textId="77777777" w:rsidR="00A83634" w:rsidRDefault="007A5600" w:rsidP="00CF0F66">
      <w:pPr>
        <w:pStyle w:val="VBATopicHeading1"/>
        <w:rPr>
          <w:rStyle w:val="BookTitle"/>
        </w:rPr>
      </w:pPr>
      <w:r w:rsidRPr="00531018">
        <w:rPr>
          <w:rStyle w:val="BookTitle"/>
          <w:rFonts w:ascii="Times New Roman" w:hAnsi="Times New Roman"/>
          <w:sz w:val="24"/>
          <w:szCs w:val="24"/>
        </w:rPr>
        <w:fldChar w:fldCharType="end"/>
      </w:r>
      <w:bookmarkStart w:id="3" w:name="_Toc269888405"/>
      <w:bookmarkStart w:id="4" w:name="_Toc269888748"/>
      <w:bookmarkStart w:id="5" w:name="_Toc278291133"/>
    </w:p>
    <w:p w14:paraId="78A44ADC" w14:textId="77777777" w:rsidR="00A83634" w:rsidRDefault="00A83634" w:rsidP="00CF0F66">
      <w:pPr>
        <w:pStyle w:val="VBATopicHeading1"/>
        <w:rPr>
          <w:rStyle w:val="BookTitle"/>
        </w:rPr>
      </w:pPr>
    </w:p>
    <w:p w14:paraId="51D8CA50" w14:textId="77777777" w:rsidR="00A83634" w:rsidRDefault="00A83634" w:rsidP="00CF0F66">
      <w:pPr>
        <w:pStyle w:val="VBATopicHeading1"/>
        <w:rPr>
          <w:rStyle w:val="BookTitle"/>
        </w:rPr>
      </w:pPr>
    </w:p>
    <w:p w14:paraId="04D64A97" w14:textId="77777777" w:rsidR="00A83634" w:rsidRDefault="00A83634" w:rsidP="00CF0F66">
      <w:pPr>
        <w:pStyle w:val="VBATopicHeading1"/>
        <w:rPr>
          <w:rStyle w:val="BookTitle"/>
        </w:rPr>
      </w:pPr>
    </w:p>
    <w:p w14:paraId="2BF82912" w14:textId="77777777" w:rsidR="00A83634" w:rsidRDefault="00A83634" w:rsidP="00CF0F66">
      <w:pPr>
        <w:pStyle w:val="VBATopicHeading1"/>
        <w:rPr>
          <w:rStyle w:val="BookTitle"/>
        </w:rPr>
      </w:pPr>
    </w:p>
    <w:p w14:paraId="6A4C6370" w14:textId="77777777" w:rsidR="00A83634" w:rsidRDefault="00A83634" w:rsidP="00CF0F66">
      <w:pPr>
        <w:pStyle w:val="VBATopicHeading1"/>
        <w:rPr>
          <w:rStyle w:val="BookTitle"/>
        </w:rPr>
      </w:pPr>
    </w:p>
    <w:p w14:paraId="0F8FBFF8" w14:textId="77777777" w:rsidR="00A83634" w:rsidRDefault="00A83634" w:rsidP="00CF0F66">
      <w:pPr>
        <w:pStyle w:val="VBATopicHeading1"/>
        <w:rPr>
          <w:rStyle w:val="BookTitle"/>
        </w:rPr>
      </w:pPr>
    </w:p>
    <w:p w14:paraId="18C43F60" w14:textId="77777777" w:rsidR="00A83634" w:rsidRDefault="00A83634" w:rsidP="00CF0F66">
      <w:pPr>
        <w:pStyle w:val="VBATopicHeading1"/>
        <w:rPr>
          <w:rStyle w:val="BookTitle"/>
        </w:rPr>
      </w:pPr>
    </w:p>
    <w:p w14:paraId="3BBFF4C8" w14:textId="77777777" w:rsidR="00A83634" w:rsidRDefault="00A83634" w:rsidP="00CF0F66">
      <w:pPr>
        <w:pStyle w:val="VBATopicHeading1"/>
        <w:rPr>
          <w:rStyle w:val="BookTitle"/>
        </w:rPr>
      </w:pPr>
    </w:p>
    <w:p w14:paraId="56ED4B72" w14:textId="14115987" w:rsidR="000E3279" w:rsidRDefault="007A5600" w:rsidP="00CF0F66">
      <w:pPr>
        <w:pStyle w:val="VBATopicHeading1"/>
        <w:rPr>
          <w:rFonts w:ascii="Times New Roman" w:hAnsi="Times New Roman"/>
          <w:b w:val="0"/>
          <w:smallCaps w:val="0"/>
          <w:sz w:val="24"/>
          <w:szCs w:val="20"/>
        </w:rPr>
      </w:pPr>
      <w:bookmarkStart w:id="6" w:name="_Toc485284767"/>
      <w:r>
        <w:lastRenderedPageBreak/>
        <w:t>Objectives</w:t>
      </w:r>
      <w:bookmarkEnd w:id="6"/>
    </w:p>
    <w:tbl>
      <w:tblPr>
        <w:tblW w:w="9540" w:type="dxa"/>
        <w:tblInd w:w="25" w:type="dxa"/>
        <w:tblLayout w:type="fixed"/>
        <w:tblCellMar>
          <w:left w:w="115" w:type="dxa"/>
          <w:right w:w="115" w:type="dxa"/>
        </w:tblCellMar>
        <w:tblLook w:val="0000" w:firstRow="0" w:lastRow="0" w:firstColumn="0" w:lastColumn="0" w:noHBand="0" w:noVBand="0"/>
      </w:tblPr>
      <w:tblGrid>
        <w:gridCol w:w="9540"/>
      </w:tblGrid>
      <w:tr w:rsidR="00B21AE7" w:rsidRPr="00B21AE7" w14:paraId="5C870954" w14:textId="77777777" w:rsidTr="00FB11ED">
        <w:trPr>
          <w:trHeight w:val="1075"/>
        </w:trPr>
        <w:tc>
          <w:tcPr>
            <w:tcW w:w="9540" w:type="dxa"/>
          </w:tcPr>
          <w:p w14:paraId="0B17AE93" w14:textId="733B7283" w:rsidR="00B21AE7" w:rsidRDefault="00B21AE7" w:rsidP="008C37AF">
            <w:pPr>
              <w:pStyle w:val="VBABodyText0"/>
            </w:pPr>
            <w:r w:rsidRPr="00B21AE7">
              <w:t xml:space="preserve">This lesson is intended to provide </w:t>
            </w:r>
            <w:r w:rsidR="00450CFC">
              <w:t>decision makers</w:t>
            </w:r>
            <w:r w:rsidRPr="00B21AE7">
              <w:t xml:space="preserve"> with </w:t>
            </w:r>
            <w:r w:rsidR="005F2E88">
              <w:t xml:space="preserve">instruction regarding the </w:t>
            </w:r>
            <w:r w:rsidR="0083226A">
              <w:t xml:space="preserve">Camp </w:t>
            </w:r>
            <w:proofErr w:type="spellStart"/>
            <w:r w:rsidR="0083226A">
              <w:t>Legeune</w:t>
            </w:r>
            <w:proofErr w:type="spellEnd"/>
            <w:r w:rsidR="0083226A">
              <w:t xml:space="preserve"> contaminated water presumptive regulation</w:t>
            </w:r>
            <w:r w:rsidRPr="00B21AE7">
              <w:t>.</w:t>
            </w:r>
            <w:r w:rsidR="00291BB1">
              <w:t xml:space="preserve"> </w:t>
            </w:r>
            <w:r w:rsidRPr="00B21AE7">
              <w:t xml:space="preserve">This lesson will contain discussions and exercises that will allow you to </w:t>
            </w:r>
            <w:r>
              <w:t xml:space="preserve">accomplish </w:t>
            </w:r>
            <w:r w:rsidR="005F2E88">
              <w:t>the following lesson objectives:</w:t>
            </w:r>
          </w:p>
          <w:p w14:paraId="7ECA1401" w14:textId="77777777" w:rsidR="00055389" w:rsidRPr="00657820" w:rsidRDefault="00055389" w:rsidP="005F2E88">
            <w:pPr>
              <w:pStyle w:val="VBABodyText0"/>
            </w:pPr>
          </w:p>
          <w:p w14:paraId="6FF2CFB6" w14:textId="62699C22" w:rsidR="00A83634" w:rsidRDefault="00A83634" w:rsidP="00C66621">
            <w:pPr>
              <w:pStyle w:val="ListParagraph"/>
              <w:numPr>
                <w:ilvl w:val="0"/>
                <w:numId w:val="12"/>
              </w:numPr>
              <w:spacing w:before="0"/>
            </w:pPr>
            <w:r w:rsidRPr="00A83634">
              <w:t>Demonstrate comprehension of the requirements for presumptive service connection (Diseases associated with exposure to contaminants in the water supply at Camp Lejeune)</w:t>
            </w:r>
          </w:p>
          <w:p w14:paraId="239B8954" w14:textId="77777777" w:rsidR="00450CFC" w:rsidRPr="00A83634" w:rsidRDefault="00450CFC" w:rsidP="00450CFC">
            <w:pPr>
              <w:pStyle w:val="ListParagraph"/>
              <w:spacing w:before="0"/>
              <w:ind w:left="360"/>
            </w:pPr>
          </w:p>
          <w:p w14:paraId="2D11F8C2" w14:textId="2DD9752E" w:rsidR="00450CFC" w:rsidRDefault="00A83634" w:rsidP="00C66621">
            <w:pPr>
              <w:pStyle w:val="ListParagraph"/>
              <w:numPr>
                <w:ilvl w:val="0"/>
                <w:numId w:val="12"/>
              </w:numPr>
              <w:spacing w:before="0"/>
            </w:pPr>
            <w:r w:rsidRPr="00A83634">
              <w:t>Understand the Regional Office and Centralized claims processing requirements</w:t>
            </w:r>
          </w:p>
          <w:p w14:paraId="54571D75" w14:textId="77777777" w:rsidR="00450CFC" w:rsidRPr="00A83634" w:rsidRDefault="00450CFC" w:rsidP="00450CFC">
            <w:pPr>
              <w:pStyle w:val="ListParagraph"/>
              <w:spacing w:before="0"/>
              <w:ind w:left="360"/>
            </w:pPr>
          </w:p>
          <w:p w14:paraId="521B3EFB" w14:textId="1FEBC170" w:rsidR="00A83634" w:rsidRDefault="00A83634" w:rsidP="00C66621">
            <w:pPr>
              <w:pStyle w:val="ListParagraph"/>
              <w:numPr>
                <w:ilvl w:val="0"/>
                <w:numId w:val="12"/>
              </w:numPr>
              <w:spacing w:before="0"/>
            </w:pPr>
            <w:r w:rsidRPr="00A83634">
              <w:t>Identify rating considerations and criteria for the eight presumptive disabilities</w:t>
            </w:r>
          </w:p>
          <w:p w14:paraId="1604DF7D" w14:textId="77777777" w:rsidR="00450CFC" w:rsidRPr="00A83634" w:rsidRDefault="00450CFC" w:rsidP="00450CFC">
            <w:pPr>
              <w:pStyle w:val="ListParagraph"/>
              <w:spacing w:before="0"/>
              <w:ind w:left="360"/>
            </w:pPr>
          </w:p>
          <w:p w14:paraId="51C90EBF" w14:textId="3268A6E0" w:rsidR="00A83634" w:rsidRDefault="00A83634" w:rsidP="00C66621">
            <w:pPr>
              <w:pStyle w:val="ListParagraph"/>
              <w:numPr>
                <w:ilvl w:val="0"/>
                <w:numId w:val="12"/>
              </w:numPr>
              <w:spacing w:before="0"/>
            </w:pPr>
            <w:r w:rsidRPr="00A83634">
              <w:t>Apply the liberalizing legislation effective date regulation</w:t>
            </w:r>
          </w:p>
          <w:p w14:paraId="53FE8CDC" w14:textId="77777777" w:rsidR="00450CFC" w:rsidRPr="00A83634" w:rsidRDefault="00450CFC" w:rsidP="00450CFC">
            <w:pPr>
              <w:pStyle w:val="ListParagraph"/>
              <w:spacing w:before="0"/>
              <w:ind w:left="360"/>
            </w:pPr>
          </w:p>
          <w:p w14:paraId="29478D48" w14:textId="77777777" w:rsidR="00A83634" w:rsidRPr="00A83634" w:rsidRDefault="00A83634" w:rsidP="00C66621">
            <w:pPr>
              <w:pStyle w:val="ListParagraph"/>
              <w:numPr>
                <w:ilvl w:val="0"/>
                <w:numId w:val="12"/>
              </w:numPr>
              <w:spacing w:before="0"/>
            </w:pPr>
            <w:r w:rsidRPr="00A83634">
              <w:t>Recognize and understand the rating decision and notification letter requirements</w:t>
            </w:r>
          </w:p>
          <w:p w14:paraId="79556816" w14:textId="19DB0CC8" w:rsidR="00450CFC" w:rsidRPr="00B21AE7" w:rsidRDefault="00450CFC" w:rsidP="005F2E88">
            <w:pPr>
              <w:pStyle w:val="ListParagraph"/>
              <w:spacing w:before="0"/>
              <w:ind w:left="360"/>
              <w:textAlignment w:val="baseline"/>
            </w:pPr>
          </w:p>
        </w:tc>
      </w:tr>
      <w:tr w:rsidR="00CF0F66" w:rsidRPr="00B21AE7" w14:paraId="243CECAD" w14:textId="77777777" w:rsidTr="00FB11ED">
        <w:trPr>
          <w:trHeight w:val="1075"/>
        </w:trPr>
        <w:tc>
          <w:tcPr>
            <w:tcW w:w="9540" w:type="dxa"/>
          </w:tcPr>
          <w:p w14:paraId="33DAD77C" w14:textId="77777777" w:rsidR="00CF0F66" w:rsidRDefault="00CF0F66" w:rsidP="00CF0F66">
            <w:pPr>
              <w:pStyle w:val="VBATopicHeading1"/>
            </w:pPr>
            <w:bookmarkStart w:id="7" w:name="_Toc485284768"/>
            <w:r>
              <w:t>References</w:t>
            </w:r>
            <w:bookmarkEnd w:id="7"/>
          </w:p>
          <w:p w14:paraId="5121A879" w14:textId="452C9BDB" w:rsidR="00A83634" w:rsidRPr="00A83634" w:rsidRDefault="00A83634" w:rsidP="00A83634">
            <w:pPr>
              <w:spacing w:before="0"/>
              <w:textAlignment w:val="baseline"/>
              <w:rPr>
                <w:noProof/>
              </w:rPr>
            </w:pPr>
            <w:r w:rsidRPr="00A83634">
              <w:rPr>
                <w:noProof/>
              </w:rPr>
              <w:t xml:space="preserve">All CFR references are found in the eCFR Website for </w:t>
            </w:r>
            <w:hyperlink r:id="rId11" w:history="1">
              <w:r w:rsidRPr="00A83634">
                <w:rPr>
                  <w:noProof/>
                  <w:color w:val="0000FF"/>
                  <w:u w:val="single"/>
                </w:rPr>
                <w:t>Part 3</w:t>
              </w:r>
            </w:hyperlink>
            <w:r w:rsidRPr="00A83634">
              <w:rPr>
                <w:noProof/>
              </w:rPr>
              <w:t xml:space="preserve">; </w:t>
            </w:r>
            <w:hyperlink r:id="rId12" w:history="1">
              <w:r w:rsidRPr="00A83634">
                <w:rPr>
                  <w:noProof/>
                  <w:color w:val="0000FF"/>
                  <w:u w:val="single"/>
                </w:rPr>
                <w:t>Part 4</w:t>
              </w:r>
            </w:hyperlink>
            <w:r w:rsidRPr="00A83634">
              <w:rPr>
                <w:noProof/>
              </w:rPr>
              <w:t xml:space="preserve">; and </w:t>
            </w:r>
            <w:hyperlink r:id="rId13" w:history="1">
              <w:r w:rsidRPr="00A83634">
                <w:rPr>
                  <w:noProof/>
                  <w:color w:val="0000FF"/>
                  <w:u w:val="single"/>
                </w:rPr>
                <w:t>Part 17</w:t>
              </w:r>
            </w:hyperlink>
            <w:r w:rsidRPr="00A83634">
              <w:rPr>
                <w:noProof/>
              </w:rPr>
              <w:t>.</w:t>
            </w:r>
          </w:p>
          <w:p w14:paraId="1348FAF5" w14:textId="77777777" w:rsidR="00A83634" w:rsidRPr="00A83634" w:rsidRDefault="00A83634" w:rsidP="00A83634">
            <w:pPr>
              <w:spacing w:before="0"/>
              <w:textAlignment w:val="baseline"/>
              <w:rPr>
                <w:noProof/>
              </w:rPr>
            </w:pPr>
            <w:r w:rsidRPr="00A83634">
              <w:rPr>
                <w:noProof/>
              </w:rPr>
              <w:t xml:space="preserve">All M21-1 references are found in the </w:t>
            </w:r>
            <w:hyperlink r:id="rId14" w:history="1">
              <w:r w:rsidRPr="00A83634">
                <w:rPr>
                  <w:noProof/>
                  <w:color w:val="FF0000"/>
                  <w:u w:val="single"/>
                </w:rPr>
                <w:t>Live Manual Website</w:t>
              </w:r>
            </w:hyperlink>
            <w:r w:rsidRPr="00A83634">
              <w:rPr>
                <w:noProof/>
              </w:rPr>
              <w:t>.</w:t>
            </w:r>
          </w:p>
          <w:p w14:paraId="71D04A0A" w14:textId="77777777" w:rsidR="00A83634" w:rsidRPr="00A83634" w:rsidRDefault="00A83634" w:rsidP="00A83634">
            <w:pPr>
              <w:spacing w:before="0"/>
              <w:textAlignment w:val="baseline"/>
              <w:rPr>
                <w:b/>
                <w:noProof/>
              </w:rPr>
            </w:pPr>
          </w:p>
          <w:p w14:paraId="5EB554F2" w14:textId="1EEAAE73" w:rsidR="00A83634" w:rsidRPr="00A83634" w:rsidRDefault="005457F5" w:rsidP="00C66621">
            <w:pPr>
              <w:pStyle w:val="ListParagraph"/>
              <w:numPr>
                <w:ilvl w:val="0"/>
                <w:numId w:val="11"/>
              </w:numPr>
              <w:spacing w:before="0"/>
              <w:textAlignment w:val="baseline"/>
            </w:pPr>
            <w:hyperlink r:id="rId15" w:history="1">
              <w:r w:rsidR="00A83634" w:rsidRPr="0083226A">
                <w:rPr>
                  <w:rStyle w:val="Hyperlink"/>
                </w:rPr>
                <w:t>38 CFR 3.307(a)(7): Diseases associated with exposure to contaminants in the water supply at Camp Lejeune</w:t>
              </w:r>
            </w:hyperlink>
          </w:p>
          <w:p w14:paraId="6D88B6BB" w14:textId="31BFF794" w:rsidR="00A83634" w:rsidRPr="00A83634" w:rsidRDefault="005457F5" w:rsidP="00C66621">
            <w:pPr>
              <w:pStyle w:val="ListParagraph"/>
              <w:numPr>
                <w:ilvl w:val="0"/>
                <w:numId w:val="11"/>
              </w:numPr>
              <w:spacing w:before="0"/>
              <w:jc w:val="both"/>
              <w:textAlignment w:val="baseline"/>
            </w:pPr>
            <w:hyperlink r:id="rId16" w:history="1">
              <w:r w:rsidR="00A83634" w:rsidRPr="0083226A">
                <w:rPr>
                  <w:rStyle w:val="Hyperlink"/>
                </w:rPr>
                <w:t>38 CFR 3.309(f): Diseases associated with contaminated water supply at Camp Lejeune</w:t>
              </w:r>
            </w:hyperlink>
          </w:p>
          <w:p w14:paraId="30D71693" w14:textId="58BCE00D" w:rsidR="00A83634" w:rsidRPr="00A83634" w:rsidRDefault="005457F5" w:rsidP="00C66621">
            <w:pPr>
              <w:pStyle w:val="ListParagraph"/>
              <w:numPr>
                <w:ilvl w:val="0"/>
                <w:numId w:val="11"/>
              </w:numPr>
              <w:spacing w:before="0"/>
              <w:textAlignment w:val="baseline"/>
            </w:pPr>
            <w:hyperlink r:id="rId17" w:history="1">
              <w:r w:rsidR="00A83634" w:rsidRPr="009A1E5F">
                <w:rPr>
                  <w:rStyle w:val="Hyperlink"/>
                </w:rPr>
                <w:t>38 CFR 3.114: Change of law or Department of Veterans Affairs issue</w:t>
              </w:r>
            </w:hyperlink>
          </w:p>
          <w:p w14:paraId="4689DBCB" w14:textId="15CBF528" w:rsidR="00A83634" w:rsidRPr="00A83634" w:rsidRDefault="005457F5" w:rsidP="00C66621">
            <w:pPr>
              <w:pStyle w:val="ListParagraph"/>
              <w:numPr>
                <w:ilvl w:val="0"/>
                <w:numId w:val="11"/>
              </w:numPr>
              <w:spacing w:before="0"/>
              <w:textAlignment w:val="baseline"/>
            </w:pPr>
            <w:hyperlink r:id="rId18" w:history="1">
              <w:r w:rsidR="00A83634" w:rsidRPr="009A1E5F">
                <w:rPr>
                  <w:rStyle w:val="Hyperlink"/>
                </w:rPr>
                <w:t>38 CFR 3.383: Special consideration for paired organs</w:t>
              </w:r>
            </w:hyperlink>
          </w:p>
          <w:p w14:paraId="31C1E525" w14:textId="221058C9" w:rsidR="00A83634" w:rsidRPr="00A83634" w:rsidRDefault="005457F5" w:rsidP="00C66621">
            <w:pPr>
              <w:pStyle w:val="ListParagraph"/>
              <w:numPr>
                <w:ilvl w:val="0"/>
                <w:numId w:val="11"/>
              </w:numPr>
              <w:spacing w:before="0"/>
              <w:textAlignment w:val="baseline"/>
            </w:pPr>
            <w:hyperlink r:id="rId19" w:history="1">
              <w:r w:rsidR="00A83634" w:rsidRPr="009A1E5F">
                <w:rPr>
                  <w:rStyle w:val="Hyperlink"/>
                </w:rPr>
                <w:t>38 CFR Part 4: Schedule for Rating Disabilities</w:t>
              </w:r>
            </w:hyperlink>
          </w:p>
          <w:p w14:paraId="76809394" w14:textId="4A8F28A9" w:rsidR="00A83634" w:rsidRPr="00A83634" w:rsidRDefault="005457F5" w:rsidP="00C66621">
            <w:pPr>
              <w:pStyle w:val="ListParagraph"/>
              <w:numPr>
                <w:ilvl w:val="0"/>
                <w:numId w:val="11"/>
              </w:numPr>
              <w:spacing w:before="0"/>
              <w:textAlignment w:val="baseline"/>
            </w:pPr>
            <w:hyperlink r:id="rId20" w:history="1">
              <w:r w:rsidR="00A83634" w:rsidRPr="009A1E5F">
                <w:rPr>
                  <w:rStyle w:val="Hyperlink"/>
                </w:rPr>
                <w:t>38 CFR 17.400 – Hospital care and medical services for Camp Lejeune Veterans</w:t>
              </w:r>
            </w:hyperlink>
          </w:p>
          <w:p w14:paraId="3DAA9E7C" w14:textId="77777777" w:rsidR="00A83634" w:rsidRPr="00A83634" w:rsidRDefault="00A83634" w:rsidP="00C66621">
            <w:pPr>
              <w:pStyle w:val="ListParagraph"/>
              <w:numPr>
                <w:ilvl w:val="0"/>
                <w:numId w:val="11"/>
              </w:numPr>
              <w:spacing w:before="0"/>
              <w:textAlignment w:val="baseline"/>
            </w:pPr>
            <w:r w:rsidRPr="00A83634">
              <w:t>M21-1 Part III, Subpart iv, 4 – Rating specific disabilities</w:t>
            </w:r>
          </w:p>
          <w:p w14:paraId="558ECF57" w14:textId="77777777" w:rsidR="00A83634" w:rsidRPr="00A83634" w:rsidRDefault="00A83634" w:rsidP="00C66621">
            <w:pPr>
              <w:pStyle w:val="ListParagraph"/>
              <w:numPr>
                <w:ilvl w:val="0"/>
                <w:numId w:val="11"/>
              </w:numPr>
              <w:spacing w:before="0"/>
              <w:textAlignment w:val="baseline"/>
            </w:pPr>
            <w:r w:rsidRPr="00A83634">
              <w:t>M21-1 Part IV, Subpart ii, 1.I.7 – Developing claims based on exposure to contaminants in the water supply at Camp Lejeune</w:t>
            </w:r>
          </w:p>
          <w:p w14:paraId="62B523B4" w14:textId="3C98DCF3" w:rsidR="00A83634" w:rsidRPr="00A83634" w:rsidRDefault="00A83634" w:rsidP="00C66621">
            <w:pPr>
              <w:pStyle w:val="ListParagraph"/>
              <w:numPr>
                <w:ilvl w:val="0"/>
                <w:numId w:val="11"/>
              </w:numPr>
              <w:spacing w:before="0"/>
              <w:textAlignment w:val="baseline"/>
            </w:pPr>
            <w:r w:rsidRPr="00A83634">
              <w:t xml:space="preserve">M21-1 Part IV, Subpart ii, 2.C.6 </w:t>
            </w:r>
            <w:r w:rsidR="00D1621F">
              <w:t>–</w:t>
            </w:r>
            <w:r w:rsidRPr="00A83634">
              <w:t xml:space="preserve"> Disabilities resulting from exposure to contaminants in the water supply at Camp Lejeune </w:t>
            </w:r>
          </w:p>
          <w:p w14:paraId="7661E28B" w14:textId="3B05F35F" w:rsidR="00CF0F66" w:rsidRDefault="00CF0F66" w:rsidP="00A83634">
            <w:pPr>
              <w:pStyle w:val="VBAFirstLevelBullet"/>
              <w:numPr>
                <w:ilvl w:val="0"/>
                <w:numId w:val="0"/>
              </w:numPr>
              <w:ind w:left="1080"/>
            </w:pPr>
          </w:p>
        </w:tc>
      </w:tr>
    </w:tbl>
    <w:p w14:paraId="594EC5AA" w14:textId="77777777" w:rsidR="00A83634" w:rsidRDefault="00A83634">
      <w:bookmarkStart w:id="8" w:name="_Toc475111610"/>
      <w:bookmarkStart w:id="9" w:name="_Toc269888406"/>
      <w:bookmarkStart w:id="10" w:name="_Toc269888749"/>
      <w:bookmarkStart w:id="11" w:name="_Toc269888789"/>
      <w:bookmarkStart w:id="12" w:name="_Toc442261209"/>
      <w:r>
        <w:rPr>
          <w:b/>
          <w:smallCaps/>
        </w:rPr>
        <w:br w:type="page"/>
      </w:r>
    </w:p>
    <w:tbl>
      <w:tblPr>
        <w:tblW w:w="9655" w:type="dxa"/>
        <w:tblLayout w:type="fixed"/>
        <w:tblCellMar>
          <w:left w:w="115" w:type="dxa"/>
          <w:right w:w="115" w:type="dxa"/>
        </w:tblCellMar>
        <w:tblLook w:val="0000" w:firstRow="0" w:lastRow="0" w:firstColumn="0" w:lastColumn="0" w:noHBand="0" w:noVBand="0"/>
      </w:tblPr>
      <w:tblGrid>
        <w:gridCol w:w="9565"/>
        <w:gridCol w:w="90"/>
      </w:tblGrid>
      <w:tr w:rsidR="00A22945" w14:paraId="3040CE2A" w14:textId="77777777" w:rsidTr="00F56C4A">
        <w:trPr>
          <w:gridAfter w:val="1"/>
          <w:wAfter w:w="90" w:type="dxa"/>
          <w:trHeight w:val="212"/>
        </w:trPr>
        <w:tc>
          <w:tcPr>
            <w:tcW w:w="9565" w:type="dxa"/>
            <w:vAlign w:val="center"/>
          </w:tcPr>
          <w:p w14:paraId="75148BB6" w14:textId="62889738" w:rsidR="00A22945" w:rsidRDefault="00A22945" w:rsidP="00A22945">
            <w:pPr>
              <w:pStyle w:val="VBALessonTopicTitle"/>
            </w:pPr>
            <w:bookmarkStart w:id="13" w:name="_Toc485284769"/>
            <w:r w:rsidRPr="002B3A23">
              <w:rPr>
                <w:color w:val="auto"/>
              </w:rPr>
              <w:lastRenderedPageBreak/>
              <w:t xml:space="preserve">Topic 1: </w:t>
            </w:r>
            <w:bookmarkEnd w:id="8"/>
            <w:r w:rsidR="00A83634">
              <w:rPr>
                <w:color w:val="auto"/>
              </w:rPr>
              <w:t>B</w:t>
            </w:r>
            <w:r w:rsidR="000B0FEC">
              <w:rPr>
                <w:color w:val="auto"/>
              </w:rPr>
              <w:t>ackground and Regulation</w:t>
            </w:r>
            <w:bookmarkEnd w:id="13"/>
          </w:p>
        </w:tc>
      </w:tr>
      <w:tr w:rsidR="000B0FEC" w14:paraId="0F3471BB" w14:textId="77777777" w:rsidTr="00F56C4A">
        <w:trPr>
          <w:gridAfter w:val="1"/>
          <w:wAfter w:w="90" w:type="dxa"/>
          <w:trHeight w:val="212"/>
        </w:trPr>
        <w:tc>
          <w:tcPr>
            <w:tcW w:w="9565" w:type="dxa"/>
          </w:tcPr>
          <w:p w14:paraId="1804E791" w14:textId="60353E3E" w:rsidR="000B0FEC" w:rsidRPr="00EB20EB" w:rsidRDefault="000B0FEC" w:rsidP="00450CFC">
            <w:pPr>
              <w:pStyle w:val="VBABodyText0"/>
            </w:pPr>
            <w:r>
              <w:t xml:space="preserve">In September </w:t>
            </w:r>
            <w:r w:rsidRPr="00AB2E17">
              <w:t>2016, V</w:t>
            </w:r>
            <w:r w:rsidR="00291BB1">
              <w:t xml:space="preserve">A published a rule proposing to </w:t>
            </w:r>
            <w:r w:rsidRPr="00AB2E17">
              <w:t>create a presumption of service connection for eight diseases associated with contaminants present in the base water supply at U.S. Marine Corps Base</w:t>
            </w:r>
            <w:r w:rsidR="00291BB1">
              <w:t xml:space="preserve"> Camp Lejeune, North Carolina.</w:t>
            </w:r>
          </w:p>
        </w:tc>
      </w:tr>
      <w:tr w:rsidR="000B0FEC" w14:paraId="4771FCBA" w14:textId="77777777" w:rsidTr="00F56C4A">
        <w:trPr>
          <w:gridAfter w:val="1"/>
          <w:wAfter w:w="90" w:type="dxa"/>
          <w:trHeight w:val="2610"/>
        </w:trPr>
        <w:tc>
          <w:tcPr>
            <w:tcW w:w="9565" w:type="dxa"/>
          </w:tcPr>
          <w:p w14:paraId="24D2DB6D" w14:textId="68E1BEB2" w:rsidR="000B0FEC" w:rsidRPr="00FE09C2" w:rsidRDefault="00450CFC" w:rsidP="00A22945">
            <w:pPr>
              <w:spacing w:before="240" w:after="240"/>
            </w:pPr>
            <w:r>
              <w:t>E</w:t>
            </w:r>
            <w:r w:rsidR="000B0FEC" w:rsidRPr="00FE09C2">
              <w:t>ffective March 14, 2017, eight presumptive diseases were added to 38 CFR 3.309(f), for</w:t>
            </w:r>
          </w:p>
          <w:p w14:paraId="48389FB7" w14:textId="375DA275" w:rsidR="000B0FEC" w:rsidRPr="00FE09C2" w:rsidRDefault="000B0FEC" w:rsidP="00F01C71">
            <w:pPr>
              <w:pStyle w:val="ListParagraph"/>
              <w:numPr>
                <w:ilvl w:val="0"/>
                <w:numId w:val="2"/>
              </w:numPr>
              <w:spacing w:before="0"/>
              <w:contextualSpacing w:val="0"/>
              <w:textAlignment w:val="baseline"/>
            </w:pPr>
            <w:r w:rsidRPr="00FE09C2">
              <w:t>service members, former reservists, National Guard members on official orders, who served</w:t>
            </w:r>
          </w:p>
          <w:p w14:paraId="3F541562" w14:textId="77777777" w:rsidR="000B0FEC" w:rsidRPr="00FE09C2" w:rsidRDefault="000B0FEC" w:rsidP="00F01C71">
            <w:pPr>
              <w:pStyle w:val="ListParagraph"/>
              <w:numPr>
                <w:ilvl w:val="0"/>
                <w:numId w:val="2"/>
              </w:numPr>
              <w:spacing w:before="0"/>
              <w:contextualSpacing w:val="0"/>
              <w:textAlignment w:val="baseline"/>
            </w:pPr>
            <w:r w:rsidRPr="00FE09C2">
              <w:t xml:space="preserve">30 days (consecutive or nonconsecutive) at Camp Lejeune, between </w:t>
            </w:r>
          </w:p>
          <w:p w14:paraId="17C52BA4" w14:textId="77777777" w:rsidR="000B0FEC" w:rsidRDefault="000B0FEC" w:rsidP="00F01C71">
            <w:pPr>
              <w:pStyle w:val="ListParagraph"/>
              <w:numPr>
                <w:ilvl w:val="0"/>
                <w:numId w:val="2"/>
              </w:numPr>
              <w:spacing w:before="0"/>
              <w:contextualSpacing w:val="0"/>
              <w:textAlignment w:val="baseline"/>
            </w:pPr>
            <w:r w:rsidRPr="00FE09C2">
              <w:t>August 1, 1953 to December 31, 1987</w:t>
            </w:r>
          </w:p>
          <w:p w14:paraId="372BFC03" w14:textId="77777777" w:rsidR="00606D97" w:rsidRDefault="00606D97" w:rsidP="00606D97">
            <w:pPr>
              <w:pStyle w:val="ListParagraph"/>
              <w:spacing w:before="0"/>
              <w:ind w:left="360"/>
              <w:contextualSpacing w:val="0"/>
              <w:textAlignment w:val="baseline"/>
            </w:pPr>
          </w:p>
          <w:p w14:paraId="18322258" w14:textId="77777777" w:rsidR="00602DC2" w:rsidRDefault="00602DC2" w:rsidP="00A22945">
            <w:pPr>
              <w:pStyle w:val="VBAFirstLevelBullet"/>
              <w:numPr>
                <w:ilvl w:val="0"/>
                <w:numId w:val="0"/>
              </w:numPr>
            </w:pPr>
          </w:p>
          <w:p w14:paraId="02CB60E7" w14:textId="7A846E7B" w:rsidR="00C85BE4" w:rsidRDefault="00C85BE4" w:rsidP="00606D97">
            <w:pPr>
              <w:pStyle w:val="VBAFirstLevelBullet"/>
              <w:numPr>
                <w:ilvl w:val="0"/>
                <w:numId w:val="0"/>
              </w:numPr>
              <w:jc w:val="center"/>
              <w:rPr>
                <w:b/>
                <w:u w:val="single"/>
              </w:rPr>
            </w:pPr>
            <w:r w:rsidRPr="00C85BE4">
              <w:rPr>
                <w:b/>
                <w:u w:val="single"/>
              </w:rPr>
              <w:t>Service Requirements:</w:t>
            </w:r>
          </w:p>
          <w:p w14:paraId="2799179F" w14:textId="77777777" w:rsidR="00606D97" w:rsidRPr="00C85BE4" w:rsidRDefault="00606D97" w:rsidP="00606D97">
            <w:pPr>
              <w:pStyle w:val="VBAFirstLevelBullet"/>
              <w:numPr>
                <w:ilvl w:val="0"/>
                <w:numId w:val="0"/>
              </w:numPr>
              <w:jc w:val="center"/>
              <w:rPr>
                <w:b/>
                <w:u w:val="single"/>
              </w:rPr>
            </w:pPr>
          </w:p>
          <w:p w14:paraId="4F513C55" w14:textId="77777777" w:rsidR="00C85BE4" w:rsidRDefault="00C85BE4" w:rsidP="00A22945">
            <w:pPr>
              <w:pStyle w:val="VBAFirstLevelBullet"/>
              <w:numPr>
                <w:ilvl w:val="0"/>
                <w:numId w:val="0"/>
              </w:numPr>
            </w:pPr>
          </w:p>
          <w:p w14:paraId="022800A8" w14:textId="07964464" w:rsidR="000B0FEC" w:rsidRPr="00F80C4B" w:rsidRDefault="00450CFC" w:rsidP="00A22945">
            <w:pPr>
              <w:pStyle w:val="VBAFirstLevelBullet"/>
              <w:numPr>
                <w:ilvl w:val="0"/>
                <w:numId w:val="0"/>
              </w:numPr>
            </w:pPr>
            <w:r w:rsidRPr="00F80C4B">
              <w:t>O</w:t>
            </w:r>
            <w:r w:rsidR="000B0FEC" w:rsidRPr="00F80C4B">
              <w:t>fficial orders include</w:t>
            </w:r>
            <w:r w:rsidR="00B05850">
              <w:t xml:space="preserve"> </w:t>
            </w:r>
            <w:r w:rsidR="000B0FEC" w:rsidRPr="00F80C4B">
              <w:t xml:space="preserve">any official service department records that confirm no less than 30 days at Camp Lejeune.  </w:t>
            </w:r>
          </w:p>
          <w:p w14:paraId="53ADEAD9" w14:textId="77777777" w:rsidR="000B0FEC" w:rsidRPr="00F80C4B" w:rsidRDefault="000B0FEC" w:rsidP="00A22945">
            <w:pPr>
              <w:pStyle w:val="VBAFirstLevelBullet"/>
              <w:numPr>
                <w:ilvl w:val="0"/>
                <w:numId w:val="0"/>
              </w:numPr>
            </w:pPr>
          </w:p>
          <w:p w14:paraId="1C3484B2" w14:textId="3755A73C" w:rsidR="000B0FEC" w:rsidRPr="00F80C4B" w:rsidRDefault="00F80C4B" w:rsidP="00602DC2">
            <w:r w:rsidRPr="00F80C4B">
              <w:t xml:space="preserve">Under 38 CFR 3.307(a)(7), former reservists and National Guard members are presumed to have been exposed to contaminants in the water supply between August 1, 1953, and December 31, 1987, if their </w:t>
            </w:r>
            <w:r>
              <w:t>official service department</w:t>
            </w:r>
            <w:r w:rsidRPr="00F80C4B">
              <w:t xml:space="preserve"> record</w:t>
            </w:r>
            <w:r>
              <w:t>s</w:t>
            </w:r>
            <w:r w:rsidRPr="00F80C4B">
              <w:t xml:space="preserve"> includes orders or other records of no less than 30 days service (consecutive or nonconsecutive) at Camp Lejeune during the contamination period.</w:t>
            </w:r>
            <w:r w:rsidR="00291BB1">
              <w:t xml:space="preserve"> </w:t>
            </w:r>
            <w:r w:rsidRPr="00F80C4B">
              <w:t>This presumption applies even if the only qualifying service at Camp Lejeune occurred during a period of training.</w:t>
            </w:r>
            <w:r w:rsidR="00291BB1">
              <w:t xml:space="preserve"> </w:t>
            </w:r>
            <w:r w:rsidRPr="00F80C4B">
              <w:t>If the claimant’s</w:t>
            </w:r>
            <w:r w:rsidR="009F463A">
              <w:t xml:space="preserve"> National Guard or Reserve duty </w:t>
            </w:r>
            <w:r w:rsidRPr="00F80C4B">
              <w:t>at Camp Lejeune does not meet the requirements under 38 CFR 3.307(a</w:t>
            </w:r>
            <w:proofErr w:type="gramStart"/>
            <w:r w:rsidRPr="00F80C4B">
              <w:t>)(</w:t>
            </w:r>
            <w:proofErr w:type="gramEnd"/>
            <w:r w:rsidRPr="00F80C4B">
              <w:t>7)(iii), there is no presumption of exposure; and therefore, Veteran status is not conferred.</w:t>
            </w:r>
            <w:r>
              <w:t xml:space="preserve">  </w:t>
            </w:r>
          </w:p>
          <w:p w14:paraId="25D3708A" w14:textId="77777777" w:rsidR="000B0FEC" w:rsidRPr="00F80C4B" w:rsidRDefault="000B0FEC" w:rsidP="00A22945">
            <w:pPr>
              <w:pStyle w:val="VBAFirstLevelBullet"/>
              <w:numPr>
                <w:ilvl w:val="0"/>
                <w:numId w:val="0"/>
              </w:numPr>
            </w:pPr>
          </w:p>
          <w:p w14:paraId="4F5554F0" w14:textId="74815BCD" w:rsidR="000B0FEC" w:rsidRDefault="000B0FEC" w:rsidP="00A22945">
            <w:pPr>
              <w:pStyle w:val="VBAFirstLevelBullet"/>
              <w:numPr>
                <w:ilvl w:val="0"/>
                <w:numId w:val="0"/>
              </w:numPr>
            </w:pPr>
            <w:r w:rsidRPr="00F80C4B">
              <w:t>Camp Lejeune includes the Marine Corps Air Sta</w:t>
            </w:r>
            <w:r w:rsidR="00291BB1">
              <w:t xml:space="preserve">tion New River. </w:t>
            </w:r>
            <w:r w:rsidR="00F01C71">
              <w:t>In addition, m</w:t>
            </w:r>
            <w:r w:rsidRPr="00F80C4B">
              <w:t xml:space="preserve">ilitary records may </w:t>
            </w:r>
            <w:r w:rsidR="00F80C4B" w:rsidRPr="00F80C4B">
              <w:t xml:space="preserve">also </w:t>
            </w:r>
            <w:r w:rsidRPr="00F80C4B">
              <w:t>show service in the following areas which are also considered within the borders of Camp Lejeune:</w:t>
            </w:r>
          </w:p>
          <w:p w14:paraId="29F5B246" w14:textId="77777777" w:rsidR="00D65B59" w:rsidRPr="00F80C4B" w:rsidRDefault="00D65B59" w:rsidP="00A22945">
            <w:pPr>
              <w:pStyle w:val="VBAFirstLevelBullet"/>
              <w:numPr>
                <w:ilvl w:val="0"/>
                <w:numId w:val="0"/>
              </w:numPr>
            </w:pPr>
          </w:p>
          <w:p w14:paraId="17A857E0" w14:textId="77777777" w:rsidR="000B0FEC" w:rsidRPr="00F80C4B" w:rsidRDefault="000B0FEC" w:rsidP="00C66621">
            <w:pPr>
              <w:pStyle w:val="VBAFirstLevelBullet"/>
              <w:numPr>
                <w:ilvl w:val="0"/>
                <w:numId w:val="6"/>
              </w:numPr>
            </w:pPr>
            <w:r w:rsidRPr="00F80C4B">
              <w:t>Camp Geiger</w:t>
            </w:r>
          </w:p>
          <w:p w14:paraId="303FFA4D" w14:textId="77777777" w:rsidR="000B0FEC" w:rsidRPr="00F80C4B" w:rsidRDefault="000B0FEC" w:rsidP="00C66621">
            <w:pPr>
              <w:pStyle w:val="VBAFirstLevelBullet"/>
              <w:numPr>
                <w:ilvl w:val="0"/>
                <w:numId w:val="6"/>
              </w:numPr>
            </w:pPr>
            <w:r w:rsidRPr="00F80C4B">
              <w:t>Camp Johnson</w:t>
            </w:r>
          </w:p>
          <w:p w14:paraId="21723238" w14:textId="77777777" w:rsidR="000B0FEC" w:rsidRPr="00F80C4B" w:rsidRDefault="000B0FEC" w:rsidP="00C66621">
            <w:pPr>
              <w:pStyle w:val="VBAFirstLevelBullet"/>
              <w:numPr>
                <w:ilvl w:val="0"/>
                <w:numId w:val="6"/>
              </w:numPr>
            </w:pPr>
            <w:r w:rsidRPr="00F80C4B">
              <w:t>Naval Hospital Camp Lejeune</w:t>
            </w:r>
          </w:p>
          <w:p w14:paraId="34FD4471" w14:textId="77777777" w:rsidR="000B0FEC" w:rsidRPr="00F80C4B" w:rsidRDefault="000B0FEC" w:rsidP="00C66621">
            <w:pPr>
              <w:pStyle w:val="VBAFirstLevelBullet"/>
              <w:numPr>
                <w:ilvl w:val="0"/>
                <w:numId w:val="6"/>
              </w:numPr>
            </w:pPr>
            <w:r w:rsidRPr="00F80C4B">
              <w:t>Tarawa Terrace</w:t>
            </w:r>
          </w:p>
          <w:p w14:paraId="7337826F" w14:textId="77777777" w:rsidR="000B0FEC" w:rsidRPr="00F80C4B" w:rsidRDefault="000B0FEC" w:rsidP="00C66621">
            <w:pPr>
              <w:pStyle w:val="VBAFirstLevelBullet"/>
              <w:numPr>
                <w:ilvl w:val="0"/>
                <w:numId w:val="6"/>
              </w:numPr>
            </w:pPr>
            <w:r w:rsidRPr="00F80C4B">
              <w:t>Camp Knox</w:t>
            </w:r>
          </w:p>
          <w:p w14:paraId="3393BEEE" w14:textId="77777777" w:rsidR="000B0FEC" w:rsidRPr="00F80C4B" w:rsidRDefault="000B0FEC" w:rsidP="00C66621">
            <w:pPr>
              <w:pStyle w:val="VBAFirstLevelBullet"/>
              <w:numPr>
                <w:ilvl w:val="0"/>
                <w:numId w:val="6"/>
              </w:numPr>
            </w:pPr>
            <w:proofErr w:type="spellStart"/>
            <w:r w:rsidRPr="00F80C4B">
              <w:t>Montford</w:t>
            </w:r>
            <w:proofErr w:type="spellEnd"/>
            <w:r w:rsidRPr="00F80C4B">
              <w:t xml:space="preserve"> Point</w:t>
            </w:r>
          </w:p>
          <w:p w14:paraId="46108BCC" w14:textId="77777777" w:rsidR="000B0FEC" w:rsidRPr="00F80C4B" w:rsidRDefault="000B0FEC" w:rsidP="00C66621">
            <w:pPr>
              <w:pStyle w:val="VBAFirstLevelBullet"/>
              <w:numPr>
                <w:ilvl w:val="0"/>
                <w:numId w:val="6"/>
              </w:numPr>
            </w:pPr>
            <w:r w:rsidRPr="00F80C4B">
              <w:t>Stone Bay / Rifle Range</w:t>
            </w:r>
          </w:p>
          <w:p w14:paraId="03CFFB10" w14:textId="77777777" w:rsidR="000B0FEC" w:rsidRPr="00F80C4B" w:rsidRDefault="000B0FEC" w:rsidP="00C66621">
            <w:pPr>
              <w:pStyle w:val="VBAFirstLevelBullet"/>
              <w:numPr>
                <w:ilvl w:val="0"/>
                <w:numId w:val="6"/>
              </w:numPr>
            </w:pPr>
            <w:r w:rsidRPr="00F80C4B">
              <w:t>Holcomb Boulevard, and</w:t>
            </w:r>
          </w:p>
          <w:p w14:paraId="5CDF4225" w14:textId="77777777" w:rsidR="000B0FEC" w:rsidRPr="00F80C4B" w:rsidRDefault="000B0FEC" w:rsidP="00C66621">
            <w:pPr>
              <w:pStyle w:val="VBAFirstLevelBullet"/>
              <w:numPr>
                <w:ilvl w:val="0"/>
                <w:numId w:val="6"/>
              </w:numPr>
            </w:pPr>
            <w:proofErr w:type="spellStart"/>
            <w:r w:rsidRPr="00F80C4B">
              <w:t>Hadnot</w:t>
            </w:r>
            <w:proofErr w:type="spellEnd"/>
            <w:r w:rsidRPr="00F80C4B">
              <w:t xml:space="preserve"> Point</w:t>
            </w:r>
          </w:p>
          <w:p w14:paraId="7BF95B28" w14:textId="77777777" w:rsidR="000B0FEC" w:rsidRPr="00F80C4B" w:rsidRDefault="000B0FEC" w:rsidP="00A22945">
            <w:pPr>
              <w:pStyle w:val="VBAFirstLevelBullet"/>
              <w:numPr>
                <w:ilvl w:val="0"/>
                <w:numId w:val="0"/>
              </w:numPr>
              <w:ind w:left="360" w:hanging="360"/>
            </w:pPr>
          </w:p>
          <w:p w14:paraId="282B05F1" w14:textId="3EC5F8E0" w:rsidR="000B0FEC" w:rsidRDefault="000B0FEC" w:rsidP="00A22945">
            <w:r w:rsidRPr="00F80C4B">
              <w:t>Camp Lejeune service does not include service at MCAS Cherry Point.</w:t>
            </w:r>
          </w:p>
          <w:p w14:paraId="145F7E6B" w14:textId="77777777" w:rsidR="00F56C4A" w:rsidRDefault="00F56C4A" w:rsidP="00A22945"/>
          <w:p w14:paraId="158FC47F" w14:textId="14D51AF9" w:rsidR="000B0FEC" w:rsidRPr="00FE09C2" w:rsidRDefault="00F56C4A" w:rsidP="00F56C4A">
            <w:pPr>
              <w:overflowPunct/>
              <w:autoSpaceDE/>
              <w:autoSpaceDN/>
              <w:adjustRightInd/>
              <w:spacing w:before="0" w:after="200" w:line="276" w:lineRule="auto"/>
              <w:rPr>
                <w:b/>
              </w:rPr>
            </w:pPr>
            <w:r w:rsidRPr="00F56C4A">
              <w:rPr>
                <w:rFonts w:eastAsia="Calibri"/>
                <w:b/>
                <w:szCs w:val="24"/>
              </w:rPr>
              <w:lastRenderedPageBreak/>
              <w:t>Important:</w:t>
            </w:r>
            <w:r>
              <w:rPr>
                <w:rFonts w:eastAsia="Calibri"/>
                <w:szCs w:val="24"/>
              </w:rPr>
              <w:t xml:space="preserve">  I</w:t>
            </w:r>
            <w:r w:rsidRPr="00F56C4A">
              <w:rPr>
                <w:rFonts w:eastAsia="Calibri"/>
                <w:szCs w:val="24"/>
              </w:rPr>
              <w:t xml:space="preserve">f service treatment records (STRs) document an official visit for medical treatment within the defined borders of Camp Lejeune, the episode of treatment counts as one day at Camp Lejeune.  For example, if a Veteran’s official service personnel records listed his/her official duty station as Marine Corps Air Station Cherry Point, NC, but STRs indicate he/she received medical treatment at Camp Lejeune, each date of treatment should be counted as a day served at Camp Lejeune for the purposes of processing a claim for service connection based on exposure to contaminants in the water supply at Camp Lejeune.  </w:t>
            </w:r>
          </w:p>
        </w:tc>
      </w:tr>
      <w:tr w:rsidR="000B0FEC" w14:paraId="549D5C5C" w14:textId="77777777" w:rsidTr="00F56C4A">
        <w:trPr>
          <w:gridAfter w:val="1"/>
          <w:wAfter w:w="90" w:type="dxa"/>
          <w:trHeight w:val="3960"/>
        </w:trPr>
        <w:tc>
          <w:tcPr>
            <w:tcW w:w="9565" w:type="dxa"/>
          </w:tcPr>
          <w:p w14:paraId="458F6137" w14:textId="2891507A" w:rsidR="00C85BE4" w:rsidRDefault="00C85BE4" w:rsidP="00606D97">
            <w:pPr>
              <w:jc w:val="center"/>
              <w:rPr>
                <w:b/>
                <w:u w:val="single"/>
              </w:rPr>
            </w:pPr>
            <w:r w:rsidRPr="00C85BE4">
              <w:rPr>
                <w:b/>
                <w:u w:val="single"/>
              </w:rPr>
              <w:lastRenderedPageBreak/>
              <w:t>Presumptive Disabilities:</w:t>
            </w:r>
          </w:p>
          <w:p w14:paraId="7A805064" w14:textId="77777777" w:rsidR="00606D97" w:rsidRPr="00C85BE4" w:rsidRDefault="00606D97" w:rsidP="00606D97">
            <w:pPr>
              <w:jc w:val="center"/>
              <w:rPr>
                <w:b/>
                <w:u w:val="single"/>
              </w:rPr>
            </w:pPr>
          </w:p>
          <w:p w14:paraId="7FA25844" w14:textId="77777777" w:rsidR="00602DC2" w:rsidRPr="00602DC2" w:rsidRDefault="00602DC2" w:rsidP="00602DC2">
            <w:r w:rsidRPr="00602DC2">
              <w:t xml:space="preserve">Under 38 CFR 3.309(f), VA acknowledges the following disabilities to have a relationship with exposure to contaminants in the Camp Lejeune water supply </w:t>
            </w:r>
            <w:r w:rsidRPr="00602DC2">
              <w:rPr>
                <w:color w:val="000000" w:themeColor="text1"/>
              </w:rPr>
              <w:t>during the period beginning on August 1, 1953, and ending on December 31, 1987</w:t>
            </w:r>
            <w:r w:rsidRPr="00602DC2">
              <w:t>:</w:t>
            </w:r>
          </w:p>
          <w:p w14:paraId="122128C2" w14:textId="77777777" w:rsidR="00602DC2" w:rsidRPr="00602DC2" w:rsidRDefault="00602DC2" w:rsidP="00602DC2"/>
          <w:p w14:paraId="1D255E4A" w14:textId="77777777" w:rsidR="00602DC2" w:rsidRPr="00602DC2" w:rsidRDefault="00602DC2" w:rsidP="00F01C71">
            <w:pPr>
              <w:pStyle w:val="ListParagraph"/>
              <w:numPr>
                <w:ilvl w:val="0"/>
                <w:numId w:val="13"/>
              </w:numPr>
              <w:overflowPunct/>
              <w:autoSpaceDE/>
              <w:autoSpaceDN/>
              <w:adjustRightInd/>
              <w:spacing w:before="0"/>
              <w:ind w:left="158" w:hanging="187"/>
            </w:pPr>
            <w:r w:rsidRPr="00602DC2">
              <w:t>kidney cancer</w:t>
            </w:r>
          </w:p>
          <w:p w14:paraId="3D9EFF1F" w14:textId="77777777" w:rsidR="00602DC2" w:rsidRPr="00602DC2" w:rsidRDefault="00602DC2" w:rsidP="00F01C71">
            <w:pPr>
              <w:pStyle w:val="ListParagraph"/>
              <w:numPr>
                <w:ilvl w:val="0"/>
                <w:numId w:val="13"/>
              </w:numPr>
              <w:overflowPunct/>
              <w:autoSpaceDE/>
              <w:autoSpaceDN/>
              <w:adjustRightInd/>
              <w:spacing w:before="0"/>
              <w:ind w:left="158" w:hanging="187"/>
            </w:pPr>
            <w:r w:rsidRPr="00602DC2">
              <w:t>liver cancer</w:t>
            </w:r>
          </w:p>
          <w:p w14:paraId="17AE119F" w14:textId="77777777" w:rsidR="00602DC2" w:rsidRPr="00602DC2" w:rsidRDefault="00602DC2" w:rsidP="00F01C71">
            <w:pPr>
              <w:pStyle w:val="ListParagraph"/>
              <w:numPr>
                <w:ilvl w:val="0"/>
                <w:numId w:val="13"/>
              </w:numPr>
              <w:overflowPunct/>
              <w:autoSpaceDE/>
              <w:autoSpaceDN/>
              <w:adjustRightInd/>
              <w:spacing w:before="0"/>
              <w:ind w:left="158" w:hanging="187"/>
            </w:pPr>
            <w:r w:rsidRPr="00602DC2">
              <w:t>non-Hodgkin’s lymphoma</w:t>
            </w:r>
          </w:p>
          <w:p w14:paraId="0BE6AD93" w14:textId="77777777" w:rsidR="00602DC2" w:rsidRPr="00602DC2" w:rsidRDefault="00602DC2" w:rsidP="00F01C71">
            <w:pPr>
              <w:pStyle w:val="ListParagraph"/>
              <w:numPr>
                <w:ilvl w:val="0"/>
                <w:numId w:val="13"/>
              </w:numPr>
              <w:overflowPunct/>
              <w:autoSpaceDE/>
              <w:autoSpaceDN/>
              <w:adjustRightInd/>
              <w:spacing w:before="0"/>
              <w:ind w:left="158" w:hanging="187"/>
            </w:pPr>
            <w:r w:rsidRPr="00602DC2">
              <w:t>adult leukemia</w:t>
            </w:r>
          </w:p>
          <w:p w14:paraId="2B9D8558" w14:textId="77777777" w:rsidR="00602DC2" w:rsidRPr="00602DC2" w:rsidRDefault="00602DC2" w:rsidP="00F01C71">
            <w:pPr>
              <w:pStyle w:val="ListParagraph"/>
              <w:numPr>
                <w:ilvl w:val="0"/>
                <w:numId w:val="13"/>
              </w:numPr>
              <w:overflowPunct/>
              <w:autoSpaceDE/>
              <w:autoSpaceDN/>
              <w:adjustRightInd/>
              <w:spacing w:before="0"/>
              <w:ind w:left="158" w:hanging="187"/>
            </w:pPr>
            <w:r w:rsidRPr="00602DC2">
              <w:t>multiple myeloma</w:t>
            </w:r>
          </w:p>
          <w:p w14:paraId="55114980" w14:textId="77777777" w:rsidR="00602DC2" w:rsidRPr="00602DC2" w:rsidRDefault="00602DC2" w:rsidP="00F01C71">
            <w:pPr>
              <w:pStyle w:val="ListParagraph"/>
              <w:numPr>
                <w:ilvl w:val="0"/>
                <w:numId w:val="13"/>
              </w:numPr>
              <w:overflowPunct/>
              <w:autoSpaceDE/>
              <w:autoSpaceDN/>
              <w:adjustRightInd/>
              <w:spacing w:before="0"/>
              <w:ind w:left="158" w:hanging="187"/>
            </w:pPr>
            <w:r w:rsidRPr="00602DC2">
              <w:t>Parkinson’s disease</w:t>
            </w:r>
          </w:p>
          <w:p w14:paraId="133D86C0" w14:textId="5FFE4397" w:rsidR="00602DC2" w:rsidRPr="00602DC2" w:rsidRDefault="00602DC2" w:rsidP="00F01C71">
            <w:pPr>
              <w:pStyle w:val="ListParagraph"/>
              <w:numPr>
                <w:ilvl w:val="0"/>
                <w:numId w:val="13"/>
              </w:numPr>
              <w:overflowPunct/>
              <w:autoSpaceDE/>
              <w:autoSpaceDN/>
              <w:adjustRightInd/>
              <w:spacing w:before="0"/>
              <w:ind w:left="158" w:hanging="187"/>
            </w:pPr>
            <w:r w:rsidRPr="00602DC2">
              <w:t xml:space="preserve">aplastic anemia and other </w:t>
            </w:r>
            <w:proofErr w:type="spellStart"/>
            <w:r w:rsidRPr="00602DC2">
              <w:t>myelodysplastic</w:t>
            </w:r>
            <w:proofErr w:type="spellEnd"/>
            <w:r w:rsidRPr="00602DC2">
              <w:t xml:space="preserve"> syndromes, and</w:t>
            </w:r>
          </w:p>
          <w:p w14:paraId="3A671FA9" w14:textId="77777777" w:rsidR="00602DC2" w:rsidRPr="00602DC2" w:rsidRDefault="00602DC2" w:rsidP="00F01C71">
            <w:pPr>
              <w:pStyle w:val="ListParagraph"/>
              <w:numPr>
                <w:ilvl w:val="0"/>
                <w:numId w:val="13"/>
              </w:numPr>
              <w:overflowPunct/>
              <w:autoSpaceDE/>
              <w:autoSpaceDN/>
              <w:adjustRightInd/>
              <w:spacing w:before="0"/>
              <w:ind w:left="158" w:hanging="187"/>
            </w:pPr>
            <w:proofErr w:type="gramStart"/>
            <w:r w:rsidRPr="00602DC2">
              <w:t>bladder</w:t>
            </w:r>
            <w:proofErr w:type="gramEnd"/>
            <w:r w:rsidRPr="00602DC2">
              <w:t xml:space="preserve"> cancer.</w:t>
            </w:r>
          </w:p>
          <w:p w14:paraId="21365ACE" w14:textId="77777777" w:rsidR="00602DC2" w:rsidRPr="00602DC2" w:rsidRDefault="00602DC2" w:rsidP="00F01C71">
            <w:pPr>
              <w:jc w:val="center"/>
              <w:rPr>
                <w:color w:val="000000" w:themeColor="text1"/>
              </w:rPr>
            </w:pPr>
          </w:p>
          <w:p w14:paraId="3DABB674" w14:textId="49B93296" w:rsidR="000B0FEC" w:rsidRPr="00FE09C2" w:rsidRDefault="00602DC2" w:rsidP="00602DC2">
            <w:r w:rsidRPr="00602DC2">
              <w:rPr>
                <w:bCs/>
                <w:color w:val="000000" w:themeColor="text1"/>
              </w:rPr>
              <w:t>A presumption of SC based on exposure to contaminants in the water supply at Camp Lejeune is not warranted for any other condition, but may be established on a direct basis, if warranted by the facts of the case.</w:t>
            </w:r>
          </w:p>
          <w:p w14:paraId="23BE3FAC" w14:textId="77777777" w:rsidR="000B0FEC" w:rsidRPr="00FE09C2" w:rsidRDefault="000B0FEC" w:rsidP="00602DC2">
            <w:pPr>
              <w:rPr>
                <w:b/>
              </w:rPr>
            </w:pPr>
          </w:p>
        </w:tc>
      </w:tr>
      <w:tr w:rsidR="000B0FEC" w14:paraId="15EA9D6E" w14:textId="77777777" w:rsidTr="00F56C4A">
        <w:trPr>
          <w:gridAfter w:val="1"/>
          <w:wAfter w:w="90" w:type="dxa"/>
          <w:trHeight w:val="3960"/>
        </w:trPr>
        <w:tc>
          <w:tcPr>
            <w:tcW w:w="9565" w:type="dxa"/>
          </w:tcPr>
          <w:p w14:paraId="2A5AD8E6" w14:textId="77777777" w:rsidR="000B0FEC" w:rsidRPr="00C0716F" w:rsidRDefault="000B0FEC" w:rsidP="00A22945">
            <w:pPr>
              <w:rPr>
                <w:i/>
              </w:rPr>
            </w:pPr>
            <w:r w:rsidRPr="00B44DFB">
              <w:rPr>
                <w:b/>
                <w:i/>
              </w:rPr>
              <w:t>Question:</w:t>
            </w:r>
            <w:r w:rsidRPr="00C0716F">
              <w:rPr>
                <w:i/>
              </w:rPr>
              <w:t xml:space="preserve">  </w:t>
            </w:r>
          </w:p>
          <w:p w14:paraId="7A3FBAC8" w14:textId="77777777" w:rsidR="000B0FEC" w:rsidRDefault="000B0FEC" w:rsidP="00A22945">
            <w:r>
              <w:t xml:space="preserve">A Veteran who served honorably in the Marine Corps filed a claim for service connection for multiple myeloma due to CLCW on April 1, 2017.  </w:t>
            </w:r>
          </w:p>
          <w:p w14:paraId="79ED7294" w14:textId="77777777" w:rsidR="000B0FEC" w:rsidRDefault="000B0FEC" w:rsidP="00A22945">
            <w:r>
              <w:t>Service department records showed service at Camp Geiger for a period in excess of 30 days from June 2010 through September 2013.</w:t>
            </w:r>
          </w:p>
          <w:p w14:paraId="25519592" w14:textId="77777777" w:rsidR="000B0FEC" w:rsidRDefault="000B0FEC" w:rsidP="00A22945">
            <w:r>
              <w:t>Treatment records confirm a diagnosis of multiple myeloma.</w:t>
            </w:r>
          </w:p>
          <w:p w14:paraId="45E3DAFB" w14:textId="77777777" w:rsidR="000B0FEC" w:rsidRDefault="000B0FEC" w:rsidP="00A22945">
            <w:r>
              <w:t>Is presumptive service connection warranted?</w:t>
            </w:r>
          </w:p>
          <w:p w14:paraId="60D681DA" w14:textId="77777777" w:rsidR="00B44DFB" w:rsidRDefault="00B44DFB" w:rsidP="00A22945"/>
          <w:p w14:paraId="515499F6" w14:textId="77777777" w:rsidR="000B0FEC" w:rsidRDefault="000B0FEC" w:rsidP="00C66621">
            <w:pPr>
              <w:pStyle w:val="ListParagraph"/>
              <w:numPr>
                <w:ilvl w:val="0"/>
                <w:numId w:val="7"/>
              </w:numPr>
              <w:contextualSpacing w:val="0"/>
              <w:textAlignment w:val="baseline"/>
            </w:pPr>
            <w:r>
              <w:t>Yes</w:t>
            </w:r>
          </w:p>
          <w:p w14:paraId="11E83FF7" w14:textId="4E7875C8" w:rsidR="000B0FEC" w:rsidRPr="00AB2E17" w:rsidRDefault="000B0FEC" w:rsidP="00F56C4A">
            <w:pPr>
              <w:pStyle w:val="ListParagraph"/>
              <w:numPr>
                <w:ilvl w:val="0"/>
                <w:numId w:val="7"/>
              </w:numPr>
              <w:contextualSpacing w:val="0"/>
              <w:textAlignment w:val="baseline"/>
            </w:pPr>
            <w:r>
              <w:t>No</w:t>
            </w:r>
          </w:p>
        </w:tc>
      </w:tr>
      <w:tr w:rsidR="00A22945" w14:paraId="5B3F8AC9" w14:textId="77777777" w:rsidTr="00F56C4A">
        <w:trPr>
          <w:trHeight w:val="212"/>
        </w:trPr>
        <w:tc>
          <w:tcPr>
            <w:tcW w:w="9655" w:type="dxa"/>
            <w:gridSpan w:val="2"/>
            <w:vAlign w:val="center"/>
          </w:tcPr>
          <w:p w14:paraId="64A64F5D" w14:textId="23955778" w:rsidR="00A22945" w:rsidRDefault="00A22945" w:rsidP="00A22945">
            <w:pPr>
              <w:pStyle w:val="VBALessonTopicTitle"/>
            </w:pPr>
            <w:bookmarkStart w:id="14" w:name="_Toc475111611"/>
            <w:bookmarkStart w:id="15" w:name="_Toc485284770"/>
            <w:r w:rsidRPr="0006334A">
              <w:rPr>
                <w:color w:val="auto"/>
              </w:rPr>
              <w:lastRenderedPageBreak/>
              <w:t xml:space="preserve">Topic 2: </w:t>
            </w:r>
            <w:r>
              <w:rPr>
                <w:color w:val="auto"/>
              </w:rPr>
              <w:t>Claim Processing</w:t>
            </w:r>
            <w:bookmarkEnd w:id="14"/>
            <w:bookmarkEnd w:id="15"/>
          </w:p>
        </w:tc>
      </w:tr>
      <w:tr w:rsidR="000B0FEC" w14:paraId="2D96F190" w14:textId="77777777" w:rsidTr="00F56C4A">
        <w:trPr>
          <w:trHeight w:val="212"/>
        </w:trPr>
        <w:tc>
          <w:tcPr>
            <w:tcW w:w="9655" w:type="dxa"/>
            <w:gridSpan w:val="2"/>
          </w:tcPr>
          <w:p w14:paraId="05C8B6DF" w14:textId="77777777" w:rsidR="00306C96" w:rsidRDefault="00306C96" w:rsidP="00855DAF"/>
          <w:p w14:paraId="2D6FE358" w14:textId="38718228" w:rsidR="00606D97" w:rsidRDefault="00606D97" w:rsidP="00606D97">
            <w:pPr>
              <w:jc w:val="center"/>
              <w:rPr>
                <w:b/>
                <w:u w:val="single"/>
              </w:rPr>
            </w:pPr>
            <w:r w:rsidRPr="00606D97">
              <w:rPr>
                <w:b/>
                <w:u w:val="single"/>
              </w:rPr>
              <w:t>ROJ Jurisdiction</w:t>
            </w:r>
          </w:p>
          <w:p w14:paraId="759B148A" w14:textId="77777777" w:rsidR="00606D97" w:rsidRPr="00606D97" w:rsidRDefault="00606D97" w:rsidP="00606D97">
            <w:pPr>
              <w:jc w:val="center"/>
              <w:rPr>
                <w:b/>
                <w:u w:val="single"/>
              </w:rPr>
            </w:pPr>
          </w:p>
          <w:p w14:paraId="396A8A48" w14:textId="560C8A1C" w:rsidR="00393E2E" w:rsidRPr="00393E2E" w:rsidRDefault="00393E2E" w:rsidP="00393E2E">
            <w:pPr>
              <w:textAlignment w:val="baseline"/>
            </w:pPr>
            <w:r w:rsidRPr="00393E2E">
              <w:t xml:space="preserve">All ROJs are responsible for verifying Veteran status and any service at Camp Lejeune during the contamination period between August </w:t>
            </w:r>
            <w:r w:rsidR="00291BB1">
              <w:t xml:space="preserve">1, 1953 and December 31, 1987. </w:t>
            </w:r>
            <w:r w:rsidRPr="00393E2E">
              <w:t>ROJs are also responsible for developing for a diagnosis, to include medical evidence, and sending a subsequent development letter identified in M21-1 IV.ii.1.I.7.j</w:t>
            </w:r>
          </w:p>
          <w:p w14:paraId="37011B5E" w14:textId="77777777" w:rsidR="00606D97" w:rsidRDefault="00606D97" w:rsidP="00855DAF">
            <w:pPr>
              <w:rPr>
                <w:b/>
                <w:i/>
              </w:rPr>
            </w:pPr>
          </w:p>
          <w:p w14:paraId="0FE7D2CE" w14:textId="77777777" w:rsidR="000B0FEC" w:rsidRPr="00FE09C2" w:rsidRDefault="000B0FEC" w:rsidP="00A22945">
            <w:r w:rsidRPr="00FE09C2">
              <w:t>The ROJ must retain jurisdiction of a Camp Lejeune claim when:</w:t>
            </w:r>
          </w:p>
          <w:p w14:paraId="6BDD1366" w14:textId="77777777" w:rsidR="00393E2E" w:rsidRPr="00393E2E" w:rsidRDefault="00393E2E" w:rsidP="00393E2E">
            <w:pPr>
              <w:numPr>
                <w:ilvl w:val="0"/>
                <w:numId w:val="3"/>
              </w:numPr>
              <w:textAlignment w:val="baseline"/>
            </w:pPr>
            <w:r w:rsidRPr="00393E2E">
              <w:t>the Veteran did not serve at Camp Lejeune between August 1, 1953, and December 31, 1987</w:t>
            </w:r>
          </w:p>
          <w:p w14:paraId="1B3E2745" w14:textId="77777777" w:rsidR="00393E2E" w:rsidRPr="00393E2E" w:rsidRDefault="00393E2E" w:rsidP="00393E2E">
            <w:pPr>
              <w:numPr>
                <w:ilvl w:val="0"/>
                <w:numId w:val="3"/>
              </w:numPr>
              <w:textAlignment w:val="baseline"/>
            </w:pPr>
            <w:r w:rsidRPr="00393E2E">
              <w:t xml:space="preserve">the claim is for a disability recognized under 38 CFR 3.309(f) </w:t>
            </w:r>
            <w:r w:rsidRPr="00393E2E">
              <w:rPr>
                <w:i/>
                <w:iCs/>
              </w:rPr>
              <w:t>and</w:t>
            </w:r>
          </w:p>
          <w:p w14:paraId="3A75353E" w14:textId="77777777" w:rsidR="00393E2E" w:rsidRPr="00393E2E" w:rsidRDefault="00393E2E" w:rsidP="00393E2E">
            <w:pPr>
              <w:numPr>
                <w:ilvl w:val="1"/>
                <w:numId w:val="3"/>
              </w:numPr>
              <w:textAlignment w:val="baseline"/>
            </w:pPr>
            <w:r w:rsidRPr="00393E2E">
              <w:t xml:space="preserve">the Veteran had at least 30 days of service at Camp Lejeune during the contamination period, </w:t>
            </w:r>
            <w:r w:rsidRPr="00393E2E">
              <w:rPr>
                <w:i/>
                <w:iCs/>
              </w:rPr>
              <w:t>or</w:t>
            </w:r>
          </w:p>
          <w:p w14:paraId="3D8867B0" w14:textId="77777777" w:rsidR="00393E2E" w:rsidRPr="00393E2E" w:rsidRDefault="00393E2E" w:rsidP="00393E2E">
            <w:pPr>
              <w:numPr>
                <w:ilvl w:val="1"/>
                <w:numId w:val="3"/>
              </w:numPr>
              <w:textAlignment w:val="baseline"/>
            </w:pPr>
            <w:r w:rsidRPr="00393E2E">
              <w:t>the evidence does not establish a diagnosis of the claimed condition</w:t>
            </w:r>
          </w:p>
          <w:p w14:paraId="34FE8E73" w14:textId="77777777" w:rsidR="00393E2E" w:rsidRPr="00393E2E" w:rsidRDefault="00393E2E" w:rsidP="00393E2E">
            <w:pPr>
              <w:numPr>
                <w:ilvl w:val="0"/>
                <w:numId w:val="3"/>
              </w:numPr>
              <w:textAlignment w:val="baseline"/>
            </w:pPr>
            <w:r w:rsidRPr="00393E2E">
              <w:t xml:space="preserve">no disability is specifically claimed as a result of exposure, such as claims stating “Camp Lejeune” or “exposure at Camp Lejeune” </w:t>
            </w:r>
          </w:p>
          <w:p w14:paraId="24AB9E82" w14:textId="77777777" w:rsidR="00393E2E" w:rsidRPr="00393E2E" w:rsidRDefault="00393E2E" w:rsidP="00393E2E">
            <w:pPr>
              <w:numPr>
                <w:ilvl w:val="0"/>
                <w:numId w:val="3"/>
              </w:numPr>
              <w:textAlignment w:val="baseline"/>
            </w:pPr>
            <w:r w:rsidRPr="00393E2E">
              <w:t xml:space="preserve">Veteran status needs to be established, such as a character of discharge determination, or </w:t>
            </w:r>
          </w:p>
          <w:p w14:paraId="66EC94B3" w14:textId="77777777" w:rsidR="00393E2E" w:rsidRPr="00393E2E" w:rsidRDefault="00393E2E" w:rsidP="00393E2E">
            <w:pPr>
              <w:numPr>
                <w:ilvl w:val="0"/>
                <w:numId w:val="3"/>
              </w:numPr>
              <w:textAlignment w:val="baseline"/>
            </w:pPr>
            <w:proofErr w:type="gramStart"/>
            <w:r w:rsidRPr="00393E2E">
              <w:t>the</w:t>
            </w:r>
            <w:proofErr w:type="gramEnd"/>
            <w:r w:rsidRPr="00393E2E">
              <w:t xml:space="preserve"> only claim is for a disability of a dependent, including birth defects.  </w:t>
            </w:r>
          </w:p>
          <w:p w14:paraId="55FB87D6" w14:textId="1A3156DA" w:rsidR="00606D97" w:rsidRPr="00606D97" w:rsidRDefault="00606D97" w:rsidP="00606D97">
            <w:pPr>
              <w:jc w:val="center"/>
              <w:rPr>
                <w:b/>
                <w:u w:val="single"/>
              </w:rPr>
            </w:pPr>
          </w:p>
        </w:tc>
      </w:tr>
      <w:tr w:rsidR="00231BE5" w14:paraId="3BF11D04" w14:textId="77777777" w:rsidTr="00F56C4A">
        <w:trPr>
          <w:trHeight w:val="1440"/>
        </w:trPr>
        <w:tc>
          <w:tcPr>
            <w:tcW w:w="9655" w:type="dxa"/>
            <w:gridSpan w:val="2"/>
          </w:tcPr>
          <w:p w14:paraId="537121FF" w14:textId="77777777" w:rsidR="00606D97" w:rsidRDefault="00606D97" w:rsidP="00606D97">
            <w:pPr>
              <w:jc w:val="center"/>
              <w:rPr>
                <w:b/>
                <w:u w:val="single"/>
              </w:rPr>
            </w:pPr>
            <w:r w:rsidRPr="00606D97">
              <w:rPr>
                <w:b/>
                <w:u w:val="single"/>
              </w:rPr>
              <w:t>Centralized Jurisdiction</w:t>
            </w:r>
          </w:p>
          <w:p w14:paraId="605D0FB7" w14:textId="77777777" w:rsidR="00606D97" w:rsidRDefault="00606D97" w:rsidP="00606D97">
            <w:pPr>
              <w:jc w:val="center"/>
              <w:rPr>
                <w:b/>
                <w:u w:val="single"/>
              </w:rPr>
            </w:pPr>
          </w:p>
          <w:p w14:paraId="34943D62" w14:textId="77777777" w:rsidR="00393E2E" w:rsidRPr="00393E2E" w:rsidRDefault="00393E2E" w:rsidP="00393E2E">
            <w:pPr>
              <w:textAlignment w:val="baseline"/>
            </w:pPr>
            <w:r w:rsidRPr="00393E2E">
              <w:t>The ROJ will route the following Camp Lejeune claims for centralized processing at Louisville:</w:t>
            </w:r>
          </w:p>
          <w:p w14:paraId="36039FA2" w14:textId="77777777" w:rsidR="00393E2E" w:rsidRPr="00393E2E" w:rsidRDefault="00393E2E" w:rsidP="00393E2E">
            <w:pPr>
              <w:numPr>
                <w:ilvl w:val="0"/>
                <w:numId w:val="25"/>
              </w:numPr>
              <w:textAlignment w:val="baseline"/>
            </w:pPr>
            <w:r w:rsidRPr="00393E2E">
              <w:t xml:space="preserve">a </w:t>
            </w:r>
            <w:r w:rsidRPr="00393E2E">
              <w:rPr>
                <w:b/>
                <w:bCs/>
                <w:u w:val="single"/>
              </w:rPr>
              <w:t>diagnosed</w:t>
            </w:r>
            <w:r w:rsidRPr="00393E2E">
              <w:t xml:space="preserve"> disability recognized under 38 CFR 3.309(f) with at least one, but less than 30 days of service at Camp Lejeune, OR</w:t>
            </w:r>
          </w:p>
          <w:p w14:paraId="440FEB2F" w14:textId="77777777" w:rsidR="00393E2E" w:rsidRPr="00393E2E" w:rsidRDefault="00393E2E" w:rsidP="00393E2E">
            <w:pPr>
              <w:numPr>
                <w:ilvl w:val="0"/>
                <w:numId w:val="25"/>
              </w:numPr>
              <w:textAlignment w:val="baseline"/>
            </w:pPr>
            <w:r w:rsidRPr="00393E2E">
              <w:t xml:space="preserve">a condition recognized under 38 CFR 17.400, with at least one day of Camp Lejeune service, OR  </w:t>
            </w:r>
          </w:p>
          <w:p w14:paraId="31BE420B" w14:textId="77777777" w:rsidR="00393E2E" w:rsidRPr="00393E2E" w:rsidRDefault="00393E2E" w:rsidP="00393E2E">
            <w:pPr>
              <w:numPr>
                <w:ilvl w:val="0"/>
                <w:numId w:val="25"/>
              </w:numPr>
              <w:textAlignment w:val="baseline"/>
            </w:pPr>
            <w:proofErr w:type="gramStart"/>
            <w:r w:rsidRPr="00393E2E">
              <w:t>any</w:t>
            </w:r>
            <w:proofErr w:type="gramEnd"/>
            <w:r w:rsidRPr="00393E2E">
              <w:t xml:space="preserve"> other disability specifically claimed as due to exposure at Camp Lejeune with at least one day of service during the contamination period.</w:t>
            </w:r>
          </w:p>
          <w:p w14:paraId="6AF85CE9" w14:textId="77777777" w:rsidR="00393E2E" w:rsidRPr="00393E2E" w:rsidRDefault="00393E2E" w:rsidP="00393E2E">
            <w:pPr>
              <w:textAlignment w:val="baseline"/>
            </w:pPr>
            <w:r w:rsidRPr="00393E2E">
              <w:rPr>
                <w:i/>
                <w:iCs/>
              </w:rPr>
              <w:t>Note:</w:t>
            </w:r>
            <w:r w:rsidRPr="00393E2E">
              <w:t xml:space="preserve"> If a claimed condition is listed at either 38 CFR 3.309(f) or at 38 CFR 17.400, service at Camp Lejeune during the contamination period does not have to be expressly claimed and may otherwise be established by the evidence of record.</w:t>
            </w:r>
          </w:p>
          <w:p w14:paraId="1F7F4C40" w14:textId="14A9B98E" w:rsidR="00A01A12" w:rsidRPr="00EC2EA1" w:rsidRDefault="00A01A12" w:rsidP="00606D97">
            <w:pPr>
              <w:pStyle w:val="ListParagraph"/>
              <w:ind w:left="360"/>
              <w:contextualSpacing w:val="0"/>
              <w:jc w:val="center"/>
              <w:textAlignment w:val="baseline"/>
              <w:rPr>
                <w:b/>
                <w:i/>
              </w:rPr>
            </w:pPr>
          </w:p>
          <w:p w14:paraId="7B7112F4" w14:textId="0705D5CA" w:rsidR="00306C96" w:rsidRPr="005C47B1" w:rsidRDefault="00306C96" w:rsidP="00606D97">
            <w:pPr>
              <w:rPr>
                <w:b/>
                <w:i/>
              </w:rPr>
            </w:pPr>
          </w:p>
        </w:tc>
      </w:tr>
      <w:tr w:rsidR="00231BE5" w14:paraId="650BC3D9" w14:textId="77777777" w:rsidTr="00F56C4A">
        <w:trPr>
          <w:trHeight w:val="1440"/>
        </w:trPr>
        <w:tc>
          <w:tcPr>
            <w:tcW w:w="9655" w:type="dxa"/>
            <w:gridSpan w:val="2"/>
          </w:tcPr>
          <w:tbl>
            <w:tblPr>
              <w:tblStyle w:val="TableGrid"/>
              <w:tblW w:w="9450" w:type="dxa"/>
              <w:tblInd w:w="18" w:type="dxa"/>
              <w:tblLayout w:type="fixed"/>
              <w:tblLook w:val="04A0" w:firstRow="1" w:lastRow="0" w:firstColumn="1" w:lastColumn="0" w:noHBand="0" w:noVBand="1"/>
            </w:tblPr>
            <w:tblGrid>
              <w:gridCol w:w="2070"/>
              <w:gridCol w:w="2250"/>
              <w:gridCol w:w="2970"/>
              <w:gridCol w:w="2160"/>
            </w:tblGrid>
            <w:tr w:rsidR="002D0898" w:rsidRPr="005766D4" w14:paraId="7BFFB711" w14:textId="77777777" w:rsidTr="00291BB1">
              <w:tc>
                <w:tcPr>
                  <w:tcW w:w="2070" w:type="dxa"/>
                </w:tcPr>
                <w:p w14:paraId="35503DAE" w14:textId="77777777" w:rsidR="002D0898" w:rsidRPr="005766D4" w:rsidRDefault="002D0898" w:rsidP="00291BB1">
                  <w:pPr>
                    <w:rPr>
                      <w:b/>
                    </w:rPr>
                  </w:pPr>
                  <w:r w:rsidRPr="005766D4">
                    <w:rPr>
                      <w:b/>
                    </w:rPr>
                    <w:lastRenderedPageBreak/>
                    <w:t>If the claim is for …</w:t>
                  </w:r>
                </w:p>
              </w:tc>
              <w:tc>
                <w:tcPr>
                  <w:tcW w:w="2250" w:type="dxa"/>
                </w:tcPr>
                <w:p w14:paraId="625B063D" w14:textId="77777777" w:rsidR="002D0898" w:rsidRPr="005766D4" w:rsidRDefault="002D0898" w:rsidP="00291BB1">
                  <w:pPr>
                    <w:rPr>
                      <w:b/>
                    </w:rPr>
                  </w:pPr>
                  <w:r w:rsidRPr="005766D4">
                    <w:rPr>
                      <w:b/>
                    </w:rPr>
                    <w:t>And evidence shows …</w:t>
                  </w:r>
                </w:p>
              </w:tc>
              <w:tc>
                <w:tcPr>
                  <w:tcW w:w="2970" w:type="dxa"/>
                </w:tcPr>
                <w:p w14:paraId="590B3DAE" w14:textId="77777777" w:rsidR="002D0898" w:rsidRPr="005766D4" w:rsidRDefault="002D0898" w:rsidP="00291BB1">
                  <w:pPr>
                    <w:rPr>
                      <w:b/>
                    </w:rPr>
                  </w:pPr>
                  <w:r w:rsidRPr="005766D4">
                    <w:rPr>
                      <w:b/>
                    </w:rPr>
                    <w:t>And military records document during the contamination period …</w:t>
                  </w:r>
                </w:p>
              </w:tc>
              <w:tc>
                <w:tcPr>
                  <w:tcW w:w="2160" w:type="dxa"/>
                </w:tcPr>
                <w:p w14:paraId="1F4A2F27" w14:textId="77777777" w:rsidR="002D0898" w:rsidRPr="005766D4" w:rsidRDefault="002D0898" w:rsidP="00291BB1">
                  <w:pPr>
                    <w:rPr>
                      <w:b/>
                    </w:rPr>
                  </w:pPr>
                  <w:r w:rsidRPr="005766D4">
                    <w:rPr>
                      <w:b/>
                    </w:rPr>
                    <w:t>Then the claim is decided by the …</w:t>
                  </w:r>
                </w:p>
              </w:tc>
            </w:tr>
            <w:tr w:rsidR="002D0898" w:rsidRPr="005766D4" w14:paraId="4CE23342" w14:textId="77777777" w:rsidTr="00291BB1">
              <w:tc>
                <w:tcPr>
                  <w:tcW w:w="2070" w:type="dxa"/>
                  <w:vMerge w:val="restart"/>
                </w:tcPr>
                <w:p w14:paraId="1C1F0775" w14:textId="77777777" w:rsidR="002D0898" w:rsidRPr="005766D4" w:rsidRDefault="002D0898" w:rsidP="00291BB1">
                  <w:r w:rsidRPr="005766D4">
                    <w:t xml:space="preserve">a condition recognized under 38 CFR 3.309(f) </w:t>
                  </w:r>
                </w:p>
              </w:tc>
              <w:tc>
                <w:tcPr>
                  <w:tcW w:w="2250" w:type="dxa"/>
                  <w:vMerge w:val="restart"/>
                </w:tcPr>
                <w:p w14:paraId="6D6DC5C7" w14:textId="77777777" w:rsidR="002D0898" w:rsidRPr="005766D4" w:rsidRDefault="002D0898" w:rsidP="00291BB1">
                  <w:r w:rsidRPr="005766D4">
                    <w:t>a diagnosis of a 3.309(f) condition</w:t>
                  </w:r>
                </w:p>
              </w:tc>
              <w:tc>
                <w:tcPr>
                  <w:tcW w:w="2970" w:type="dxa"/>
                </w:tcPr>
                <w:p w14:paraId="27495EED" w14:textId="77777777" w:rsidR="002D0898" w:rsidRPr="005766D4" w:rsidRDefault="002D0898" w:rsidP="00291BB1">
                  <w:r w:rsidRPr="005766D4">
                    <w:t>30 days or more of service at Camp Lejeune</w:t>
                  </w:r>
                </w:p>
              </w:tc>
              <w:tc>
                <w:tcPr>
                  <w:tcW w:w="2160" w:type="dxa"/>
                </w:tcPr>
                <w:p w14:paraId="44CB78B3" w14:textId="77777777" w:rsidR="002D0898" w:rsidRPr="005766D4" w:rsidRDefault="002D0898" w:rsidP="00291BB1">
                  <w:r w:rsidRPr="005766D4">
                    <w:t>ROJ.</w:t>
                  </w:r>
                </w:p>
              </w:tc>
            </w:tr>
            <w:tr w:rsidR="002D0898" w:rsidRPr="005766D4" w14:paraId="6C6D5383" w14:textId="77777777" w:rsidTr="00291BB1">
              <w:trPr>
                <w:trHeight w:val="555"/>
              </w:trPr>
              <w:tc>
                <w:tcPr>
                  <w:tcW w:w="2070" w:type="dxa"/>
                  <w:vMerge/>
                </w:tcPr>
                <w:p w14:paraId="1CD548B7" w14:textId="77777777" w:rsidR="002D0898" w:rsidRPr="005766D4" w:rsidRDefault="002D0898" w:rsidP="00291BB1"/>
              </w:tc>
              <w:tc>
                <w:tcPr>
                  <w:tcW w:w="2250" w:type="dxa"/>
                  <w:vMerge/>
                </w:tcPr>
                <w:p w14:paraId="3D5350E0" w14:textId="77777777" w:rsidR="002D0898" w:rsidRPr="005766D4" w:rsidRDefault="002D0898" w:rsidP="00291BB1"/>
              </w:tc>
              <w:tc>
                <w:tcPr>
                  <w:tcW w:w="2970" w:type="dxa"/>
                </w:tcPr>
                <w:p w14:paraId="40526449" w14:textId="77777777" w:rsidR="002D0898" w:rsidRPr="005766D4" w:rsidRDefault="002D0898" w:rsidP="00291BB1">
                  <w:r w:rsidRPr="005766D4">
                    <w:t>at least one, but less  than 30 days of service at Camp Lejeune</w:t>
                  </w:r>
                </w:p>
              </w:tc>
              <w:tc>
                <w:tcPr>
                  <w:tcW w:w="2160" w:type="dxa"/>
                </w:tcPr>
                <w:p w14:paraId="33DE263A" w14:textId="77777777" w:rsidR="002D0898" w:rsidRPr="005766D4" w:rsidRDefault="002D0898" w:rsidP="00291BB1">
                  <w:r w:rsidRPr="005766D4">
                    <w:t xml:space="preserve">Louisville RO. </w:t>
                  </w:r>
                </w:p>
              </w:tc>
            </w:tr>
            <w:tr w:rsidR="002D0898" w:rsidRPr="005766D4" w14:paraId="467D8F73" w14:textId="77777777" w:rsidTr="00291BB1">
              <w:trPr>
                <w:trHeight w:val="555"/>
              </w:trPr>
              <w:tc>
                <w:tcPr>
                  <w:tcW w:w="2070" w:type="dxa"/>
                  <w:vMerge/>
                </w:tcPr>
                <w:p w14:paraId="3929BDA1" w14:textId="77777777" w:rsidR="002D0898" w:rsidRPr="005766D4" w:rsidRDefault="002D0898" w:rsidP="00291BB1"/>
              </w:tc>
              <w:tc>
                <w:tcPr>
                  <w:tcW w:w="2250" w:type="dxa"/>
                  <w:vMerge/>
                </w:tcPr>
                <w:p w14:paraId="115C98B1" w14:textId="77777777" w:rsidR="002D0898" w:rsidRPr="005766D4" w:rsidRDefault="002D0898" w:rsidP="00291BB1"/>
              </w:tc>
              <w:tc>
                <w:tcPr>
                  <w:tcW w:w="2970" w:type="dxa"/>
                </w:tcPr>
                <w:p w14:paraId="285A718E" w14:textId="77777777" w:rsidR="002D0898" w:rsidRPr="005766D4" w:rsidRDefault="002D0898" w:rsidP="00291BB1">
                  <w:proofErr w:type="gramStart"/>
                  <w:r w:rsidRPr="005766D4">
                    <w:t>no</w:t>
                  </w:r>
                  <w:proofErr w:type="gramEnd"/>
                  <w:r w:rsidRPr="005766D4">
                    <w:t xml:space="preserve"> Camp Lejeune service.</w:t>
                  </w:r>
                </w:p>
              </w:tc>
              <w:tc>
                <w:tcPr>
                  <w:tcW w:w="2160" w:type="dxa"/>
                </w:tcPr>
                <w:p w14:paraId="30C3115B" w14:textId="77777777" w:rsidR="002D0898" w:rsidRPr="005766D4" w:rsidRDefault="002D0898" w:rsidP="00291BB1">
                  <w:r w:rsidRPr="005766D4">
                    <w:t xml:space="preserve">ROJ. </w:t>
                  </w:r>
                </w:p>
              </w:tc>
            </w:tr>
            <w:tr w:rsidR="002D0898" w:rsidRPr="005766D4" w14:paraId="73C8E4F5" w14:textId="77777777" w:rsidTr="00291BB1">
              <w:tc>
                <w:tcPr>
                  <w:tcW w:w="2070" w:type="dxa"/>
                  <w:vMerge/>
                </w:tcPr>
                <w:p w14:paraId="59F4FBE1" w14:textId="77777777" w:rsidR="002D0898" w:rsidRPr="005766D4" w:rsidRDefault="002D0898" w:rsidP="00291BB1"/>
              </w:tc>
              <w:tc>
                <w:tcPr>
                  <w:tcW w:w="2250" w:type="dxa"/>
                </w:tcPr>
                <w:p w14:paraId="266FBD0F" w14:textId="77777777" w:rsidR="002D0898" w:rsidRPr="005766D4" w:rsidRDefault="002D0898" w:rsidP="00291BB1">
                  <w:r w:rsidRPr="005766D4">
                    <w:t>no diagnosis</w:t>
                  </w:r>
                </w:p>
              </w:tc>
              <w:tc>
                <w:tcPr>
                  <w:tcW w:w="2970" w:type="dxa"/>
                </w:tcPr>
                <w:p w14:paraId="27B4A585" w14:textId="77777777" w:rsidR="002D0898" w:rsidRPr="005766D4" w:rsidRDefault="002D0898" w:rsidP="00291BB1">
                  <w:r w:rsidRPr="005766D4">
                    <w:t>n/a</w:t>
                  </w:r>
                </w:p>
              </w:tc>
              <w:tc>
                <w:tcPr>
                  <w:tcW w:w="2160" w:type="dxa"/>
                </w:tcPr>
                <w:p w14:paraId="583E9437" w14:textId="77777777" w:rsidR="002D0898" w:rsidRPr="005766D4" w:rsidRDefault="002D0898" w:rsidP="00291BB1">
                  <w:r w:rsidRPr="005766D4">
                    <w:t xml:space="preserve">ROJ. </w:t>
                  </w:r>
                </w:p>
              </w:tc>
            </w:tr>
            <w:tr w:rsidR="002D0898" w:rsidRPr="005766D4" w14:paraId="397BFAE5" w14:textId="77777777" w:rsidTr="00291BB1">
              <w:trPr>
                <w:trHeight w:val="825"/>
              </w:trPr>
              <w:tc>
                <w:tcPr>
                  <w:tcW w:w="2070" w:type="dxa"/>
                  <w:vMerge w:val="restart"/>
                </w:tcPr>
                <w:p w14:paraId="7D04892E" w14:textId="77777777" w:rsidR="002D0898" w:rsidRPr="005766D4" w:rsidRDefault="002D0898" w:rsidP="00291BB1">
                  <w:r w:rsidRPr="005766D4">
                    <w:t>a condition not recognized under 38 CFR 3.309(f), but recognized for healthcare purposes under 38 CFR 17.400</w:t>
                  </w:r>
                </w:p>
              </w:tc>
              <w:tc>
                <w:tcPr>
                  <w:tcW w:w="2250" w:type="dxa"/>
                  <w:vMerge w:val="restart"/>
                </w:tcPr>
                <w:p w14:paraId="320FA56B" w14:textId="77777777" w:rsidR="002D0898" w:rsidRPr="005766D4" w:rsidRDefault="002D0898" w:rsidP="00291BB1">
                  <w:r w:rsidRPr="005766D4">
                    <w:t>n/a</w:t>
                  </w:r>
                </w:p>
              </w:tc>
              <w:tc>
                <w:tcPr>
                  <w:tcW w:w="2970" w:type="dxa"/>
                </w:tcPr>
                <w:p w14:paraId="1D49CF84" w14:textId="77777777" w:rsidR="002D0898" w:rsidRPr="005766D4" w:rsidRDefault="002D0898" w:rsidP="00291BB1">
                  <w:r w:rsidRPr="005766D4">
                    <w:t>no Camp Lejeune service</w:t>
                  </w:r>
                </w:p>
              </w:tc>
              <w:tc>
                <w:tcPr>
                  <w:tcW w:w="2160" w:type="dxa"/>
                </w:tcPr>
                <w:p w14:paraId="33AAC608" w14:textId="77777777" w:rsidR="002D0898" w:rsidRPr="005766D4" w:rsidRDefault="002D0898" w:rsidP="00291BB1">
                  <w:r w:rsidRPr="005766D4">
                    <w:t>ROJ.</w:t>
                  </w:r>
                </w:p>
              </w:tc>
            </w:tr>
            <w:tr w:rsidR="002D0898" w:rsidRPr="005766D4" w14:paraId="1EE5E1B8" w14:textId="77777777" w:rsidTr="00291BB1">
              <w:trPr>
                <w:trHeight w:val="825"/>
              </w:trPr>
              <w:tc>
                <w:tcPr>
                  <w:tcW w:w="2070" w:type="dxa"/>
                  <w:vMerge/>
                </w:tcPr>
                <w:p w14:paraId="645502CC" w14:textId="77777777" w:rsidR="002D0898" w:rsidRPr="005766D4" w:rsidRDefault="002D0898" w:rsidP="00291BB1"/>
              </w:tc>
              <w:tc>
                <w:tcPr>
                  <w:tcW w:w="2250" w:type="dxa"/>
                  <w:vMerge/>
                </w:tcPr>
                <w:p w14:paraId="2C59439F" w14:textId="77777777" w:rsidR="002D0898" w:rsidRPr="005766D4" w:rsidRDefault="002D0898" w:rsidP="00291BB1"/>
              </w:tc>
              <w:tc>
                <w:tcPr>
                  <w:tcW w:w="2970" w:type="dxa"/>
                </w:tcPr>
                <w:p w14:paraId="7783F9BC" w14:textId="77777777" w:rsidR="002D0898" w:rsidRPr="005766D4" w:rsidRDefault="002D0898" w:rsidP="00291BB1">
                  <w:r w:rsidRPr="005766D4">
                    <w:t>at least one day of Camp Lejeune service</w:t>
                  </w:r>
                </w:p>
              </w:tc>
              <w:tc>
                <w:tcPr>
                  <w:tcW w:w="2160" w:type="dxa"/>
                </w:tcPr>
                <w:p w14:paraId="1D108C5F" w14:textId="77777777" w:rsidR="002D0898" w:rsidRPr="005766D4" w:rsidRDefault="002D0898" w:rsidP="00291BB1">
                  <w:r w:rsidRPr="005766D4">
                    <w:t>Louisville RO.</w:t>
                  </w:r>
                </w:p>
              </w:tc>
            </w:tr>
            <w:tr w:rsidR="002D0898" w:rsidRPr="005766D4" w14:paraId="0EFBCEFD" w14:textId="77777777" w:rsidTr="00291BB1">
              <w:trPr>
                <w:trHeight w:val="690"/>
              </w:trPr>
              <w:tc>
                <w:tcPr>
                  <w:tcW w:w="2070" w:type="dxa"/>
                  <w:vMerge w:val="restart"/>
                </w:tcPr>
                <w:p w14:paraId="74111513" w14:textId="77777777" w:rsidR="002D0898" w:rsidRPr="005766D4" w:rsidRDefault="002D0898" w:rsidP="00291BB1">
                  <w:r w:rsidRPr="005766D4">
                    <w:t>any other disability claimed specifically as due to exposure at Camp Lejeune</w:t>
                  </w:r>
                </w:p>
              </w:tc>
              <w:tc>
                <w:tcPr>
                  <w:tcW w:w="2250" w:type="dxa"/>
                  <w:vMerge w:val="restart"/>
                </w:tcPr>
                <w:p w14:paraId="4E6273CF" w14:textId="77777777" w:rsidR="002D0898" w:rsidRPr="005766D4" w:rsidRDefault="002D0898" w:rsidP="00291BB1">
                  <w:r w:rsidRPr="005766D4">
                    <w:t>n/a</w:t>
                  </w:r>
                </w:p>
              </w:tc>
              <w:tc>
                <w:tcPr>
                  <w:tcW w:w="2970" w:type="dxa"/>
                </w:tcPr>
                <w:p w14:paraId="3201BA6B" w14:textId="77777777" w:rsidR="002D0898" w:rsidRPr="005766D4" w:rsidRDefault="002D0898" w:rsidP="00291BB1">
                  <w:r w:rsidRPr="005766D4">
                    <w:t>no Camp Lejeune service</w:t>
                  </w:r>
                </w:p>
              </w:tc>
              <w:tc>
                <w:tcPr>
                  <w:tcW w:w="2160" w:type="dxa"/>
                </w:tcPr>
                <w:p w14:paraId="07597C22" w14:textId="77777777" w:rsidR="002D0898" w:rsidRPr="005766D4" w:rsidRDefault="002D0898" w:rsidP="00291BB1">
                  <w:r w:rsidRPr="005766D4">
                    <w:t>ROJ.</w:t>
                  </w:r>
                </w:p>
              </w:tc>
            </w:tr>
            <w:tr w:rsidR="002D0898" w:rsidRPr="005766D4" w14:paraId="443E0733" w14:textId="77777777" w:rsidTr="00291BB1">
              <w:trPr>
                <w:trHeight w:val="690"/>
              </w:trPr>
              <w:tc>
                <w:tcPr>
                  <w:tcW w:w="2070" w:type="dxa"/>
                  <w:vMerge/>
                </w:tcPr>
                <w:p w14:paraId="6D4080F2" w14:textId="77777777" w:rsidR="002D0898" w:rsidRPr="005766D4" w:rsidRDefault="002D0898" w:rsidP="00291BB1"/>
              </w:tc>
              <w:tc>
                <w:tcPr>
                  <w:tcW w:w="2250" w:type="dxa"/>
                  <w:vMerge/>
                </w:tcPr>
                <w:p w14:paraId="5E9FB73A" w14:textId="77777777" w:rsidR="002D0898" w:rsidRPr="005766D4" w:rsidRDefault="002D0898" w:rsidP="00291BB1"/>
              </w:tc>
              <w:tc>
                <w:tcPr>
                  <w:tcW w:w="2970" w:type="dxa"/>
                </w:tcPr>
                <w:p w14:paraId="30451AE4" w14:textId="77777777" w:rsidR="002D0898" w:rsidRPr="005766D4" w:rsidRDefault="002D0898" w:rsidP="00291BB1">
                  <w:r w:rsidRPr="005766D4">
                    <w:t>at least one day of Camp Lejeune service</w:t>
                  </w:r>
                </w:p>
              </w:tc>
              <w:tc>
                <w:tcPr>
                  <w:tcW w:w="2160" w:type="dxa"/>
                </w:tcPr>
                <w:p w14:paraId="6625691A" w14:textId="77777777" w:rsidR="002D0898" w:rsidRPr="005766D4" w:rsidRDefault="002D0898" w:rsidP="00291BB1">
                  <w:r w:rsidRPr="005766D4">
                    <w:t xml:space="preserve">Louisville RO. </w:t>
                  </w:r>
                </w:p>
              </w:tc>
            </w:tr>
          </w:tbl>
          <w:p w14:paraId="1AD0B785" w14:textId="77777777" w:rsidR="002D0898" w:rsidRDefault="002D0898" w:rsidP="00A22945"/>
          <w:p w14:paraId="593086BE" w14:textId="1E5775EF" w:rsidR="00231BE5" w:rsidRDefault="00231BE5" w:rsidP="00A22945">
            <w:r w:rsidRPr="007F11AC">
              <w:t xml:space="preserve">Once a claim has been </w:t>
            </w:r>
            <w:r w:rsidR="007F11AC">
              <w:t xml:space="preserve">flashed and routed </w:t>
            </w:r>
            <w:r w:rsidRPr="007F11AC">
              <w:t>for centralized processing</w:t>
            </w:r>
            <w:r w:rsidR="007F11AC">
              <w:t xml:space="preserve"> by the NWQ</w:t>
            </w:r>
            <w:r w:rsidRPr="007F11AC">
              <w:t xml:space="preserve">, the centralized processing </w:t>
            </w:r>
            <w:r w:rsidR="007F11AC">
              <w:t>site</w:t>
            </w:r>
            <w:r w:rsidRPr="007F11AC">
              <w:t xml:space="preserve"> is responsible for all additional development, rating, authorization, and appeal activity.</w:t>
            </w:r>
          </w:p>
          <w:p w14:paraId="737A30AB" w14:textId="77777777" w:rsidR="00606D97" w:rsidRDefault="00606D97" w:rsidP="00210817">
            <w:pPr>
              <w:rPr>
                <w:szCs w:val="24"/>
              </w:rPr>
            </w:pPr>
          </w:p>
          <w:p w14:paraId="31AA150C" w14:textId="64F629AD" w:rsidR="00606D97" w:rsidRPr="00606D97" w:rsidRDefault="00606D97" w:rsidP="00606D97">
            <w:pPr>
              <w:jc w:val="center"/>
              <w:rPr>
                <w:b/>
                <w:szCs w:val="24"/>
                <w:u w:val="single"/>
              </w:rPr>
            </w:pPr>
            <w:r w:rsidRPr="00606D97">
              <w:rPr>
                <w:b/>
                <w:szCs w:val="24"/>
                <w:u w:val="single"/>
              </w:rPr>
              <w:t>Other Centralized Sites</w:t>
            </w:r>
          </w:p>
          <w:p w14:paraId="4FA45B9B" w14:textId="77777777" w:rsidR="00210817" w:rsidRDefault="00210817" w:rsidP="00210817">
            <w:pPr>
              <w:rPr>
                <w:szCs w:val="24"/>
              </w:rPr>
            </w:pPr>
            <w:r w:rsidRPr="00210817">
              <w:rPr>
                <w:szCs w:val="24"/>
              </w:rPr>
              <w:t>The following types of claims qualify for other specialized centralized processing and will not be processed by the Louisville RO:</w:t>
            </w:r>
          </w:p>
          <w:p w14:paraId="14F8CC2D" w14:textId="77777777" w:rsidR="00B00995" w:rsidRPr="00210817" w:rsidRDefault="00B00995" w:rsidP="00210817">
            <w:pPr>
              <w:rPr>
                <w:color w:val="000000"/>
                <w:szCs w:val="24"/>
              </w:rPr>
            </w:pPr>
          </w:p>
          <w:p w14:paraId="6F5B2CD0" w14:textId="77777777" w:rsidR="00210817" w:rsidRPr="00210817" w:rsidRDefault="00210817" w:rsidP="00210817">
            <w:pPr>
              <w:pStyle w:val="ListParagraph"/>
              <w:numPr>
                <w:ilvl w:val="0"/>
                <w:numId w:val="24"/>
              </w:numPr>
              <w:overflowPunct/>
              <w:autoSpaceDE/>
              <w:autoSpaceDN/>
              <w:adjustRightInd/>
              <w:spacing w:before="0"/>
              <w:ind w:left="158" w:hanging="187"/>
              <w:rPr>
                <w:color w:val="000000"/>
                <w:szCs w:val="24"/>
              </w:rPr>
            </w:pPr>
            <w:r w:rsidRPr="00210817">
              <w:rPr>
                <w:szCs w:val="24"/>
              </w:rPr>
              <w:t>Veterans residing in foreign territories</w:t>
            </w:r>
          </w:p>
          <w:p w14:paraId="17D309CC" w14:textId="77777777" w:rsidR="00210817" w:rsidRPr="00210817" w:rsidRDefault="00210817" w:rsidP="00210817">
            <w:pPr>
              <w:pStyle w:val="ListParagraph"/>
              <w:numPr>
                <w:ilvl w:val="0"/>
                <w:numId w:val="24"/>
              </w:numPr>
              <w:overflowPunct/>
              <w:autoSpaceDE/>
              <w:autoSpaceDN/>
              <w:adjustRightInd/>
              <w:spacing w:before="0"/>
              <w:ind w:left="158" w:hanging="187"/>
              <w:rPr>
                <w:szCs w:val="24"/>
              </w:rPr>
            </w:pPr>
            <w:r w:rsidRPr="00210817">
              <w:rPr>
                <w:szCs w:val="24"/>
              </w:rPr>
              <w:t>original pre-discharge claims</w:t>
            </w:r>
          </w:p>
          <w:p w14:paraId="3CB52CB9" w14:textId="77777777" w:rsidR="00210817" w:rsidRDefault="00210817" w:rsidP="00210817">
            <w:pPr>
              <w:pStyle w:val="ListParagraph"/>
              <w:numPr>
                <w:ilvl w:val="0"/>
                <w:numId w:val="24"/>
              </w:numPr>
              <w:overflowPunct/>
              <w:autoSpaceDE/>
              <w:autoSpaceDN/>
              <w:adjustRightInd/>
              <w:spacing w:before="0"/>
              <w:ind w:left="158" w:hanging="187"/>
              <w:rPr>
                <w:szCs w:val="24"/>
              </w:rPr>
            </w:pPr>
            <w:r w:rsidRPr="00210817">
              <w:rPr>
                <w:szCs w:val="24"/>
              </w:rPr>
              <w:t>restricted access claims, and</w:t>
            </w:r>
          </w:p>
          <w:p w14:paraId="2033E55F" w14:textId="0D8193B2" w:rsidR="00210817" w:rsidRPr="00210817" w:rsidRDefault="00210817" w:rsidP="00210817">
            <w:pPr>
              <w:pStyle w:val="ListParagraph"/>
              <w:numPr>
                <w:ilvl w:val="0"/>
                <w:numId w:val="24"/>
              </w:numPr>
              <w:overflowPunct/>
              <w:autoSpaceDE/>
              <w:autoSpaceDN/>
              <w:adjustRightInd/>
              <w:spacing w:before="0"/>
              <w:ind w:left="158" w:hanging="187"/>
              <w:rPr>
                <w:szCs w:val="24"/>
              </w:rPr>
            </w:pPr>
            <w:proofErr w:type="gramStart"/>
            <w:r w:rsidRPr="00210817">
              <w:rPr>
                <w:szCs w:val="24"/>
              </w:rPr>
              <w:t>other</w:t>
            </w:r>
            <w:proofErr w:type="gramEnd"/>
            <w:r w:rsidRPr="00210817">
              <w:rPr>
                <w:szCs w:val="24"/>
              </w:rPr>
              <w:t xml:space="preserve"> specific special mission claims, as needed. </w:t>
            </w:r>
          </w:p>
          <w:p w14:paraId="3BA987A4" w14:textId="77777777" w:rsidR="00210817" w:rsidRDefault="00210817" w:rsidP="00A22945"/>
          <w:p w14:paraId="47EEA638" w14:textId="77777777" w:rsidR="00B00995" w:rsidRPr="007F11AC" w:rsidRDefault="00B00995" w:rsidP="00A22945"/>
          <w:p w14:paraId="6D30D8A3" w14:textId="77777777" w:rsidR="00606D97" w:rsidRDefault="00606D97" w:rsidP="00A22945"/>
          <w:p w14:paraId="35AE0343" w14:textId="77777777" w:rsidR="00231BE5" w:rsidRPr="00606D97" w:rsidRDefault="00231BE5" w:rsidP="00606D97">
            <w:pPr>
              <w:jc w:val="center"/>
              <w:rPr>
                <w:b/>
                <w:u w:val="single"/>
              </w:rPr>
            </w:pPr>
            <w:r w:rsidRPr="00606D97">
              <w:rPr>
                <w:b/>
                <w:u w:val="single"/>
              </w:rPr>
              <w:lastRenderedPageBreak/>
              <w:t>Stages of claims processing handled by the centralized RO:</w:t>
            </w:r>
          </w:p>
          <w:p w14:paraId="5E4E0CAD" w14:textId="77777777" w:rsidR="007F11AC" w:rsidRPr="00E7256D" w:rsidRDefault="007F11AC" w:rsidP="00A22945"/>
          <w:tbl>
            <w:tblPr>
              <w:tblStyle w:val="TableGrid"/>
              <w:tblW w:w="6776" w:type="dxa"/>
              <w:jc w:val="center"/>
              <w:tblLayout w:type="fixed"/>
              <w:tblLook w:val="04A0" w:firstRow="1" w:lastRow="0" w:firstColumn="1" w:lastColumn="0" w:noHBand="0" w:noVBand="1"/>
            </w:tblPr>
            <w:tblGrid>
              <w:gridCol w:w="957"/>
              <w:gridCol w:w="5819"/>
            </w:tblGrid>
            <w:tr w:rsidR="007F11AC" w:rsidRPr="007F11AC" w14:paraId="3F012EA3" w14:textId="77777777" w:rsidTr="00210817">
              <w:trPr>
                <w:trHeight w:val="343"/>
                <w:jc w:val="center"/>
              </w:trPr>
              <w:tc>
                <w:tcPr>
                  <w:tcW w:w="957" w:type="dxa"/>
                </w:tcPr>
                <w:p w14:paraId="52942A95" w14:textId="77777777" w:rsidR="007F11AC" w:rsidRPr="007F11AC" w:rsidRDefault="007F11AC" w:rsidP="00BC2C82">
                  <w:pPr>
                    <w:jc w:val="center"/>
                    <w:rPr>
                      <w:b/>
                    </w:rPr>
                  </w:pPr>
                  <w:r w:rsidRPr="007F11AC">
                    <w:rPr>
                      <w:b/>
                    </w:rPr>
                    <w:t>Stage</w:t>
                  </w:r>
                </w:p>
              </w:tc>
              <w:tc>
                <w:tcPr>
                  <w:tcW w:w="5819" w:type="dxa"/>
                </w:tcPr>
                <w:p w14:paraId="1932700C" w14:textId="77777777" w:rsidR="007F11AC" w:rsidRPr="007F11AC" w:rsidRDefault="007F11AC" w:rsidP="00BC2C82">
                  <w:pPr>
                    <w:jc w:val="center"/>
                    <w:rPr>
                      <w:b/>
                    </w:rPr>
                  </w:pPr>
                  <w:r w:rsidRPr="007F11AC">
                    <w:rPr>
                      <w:b/>
                    </w:rPr>
                    <w:t>Description</w:t>
                  </w:r>
                </w:p>
              </w:tc>
            </w:tr>
            <w:tr w:rsidR="007F11AC" w:rsidRPr="007F11AC" w14:paraId="3F2F5789" w14:textId="77777777" w:rsidTr="00210817">
              <w:trPr>
                <w:trHeight w:val="596"/>
                <w:jc w:val="center"/>
              </w:trPr>
              <w:tc>
                <w:tcPr>
                  <w:tcW w:w="957" w:type="dxa"/>
                </w:tcPr>
                <w:p w14:paraId="2B66F87C" w14:textId="77777777" w:rsidR="007F11AC" w:rsidRPr="007F11AC" w:rsidRDefault="007F11AC" w:rsidP="00BC2C82">
                  <w:pPr>
                    <w:jc w:val="center"/>
                  </w:pPr>
                  <w:r w:rsidRPr="007F11AC">
                    <w:t>1</w:t>
                  </w:r>
                </w:p>
              </w:tc>
              <w:tc>
                <w:tcPr>
                  <w:tcW w:w="5819" w:type="dxa"/>
                </w:tcPr>
                <w:p w14:paraId="28577BA6" w14:textId="77777777" w:rsidR="007F11AC" w:rsidRPr="007F11AC" w:rsidRDefault="007F11AC" w:rsidP="00BC2C82">
                  <w:r w:rsidRPr="007F11AC">
                    <w:t>Ensures Camp Lejeune service information and flash are accurate.</w:t>
                  </w:r>
                </w:p>
              </w:tc>
            </w:tr>
            <w:tr w:rsidR="007F11AC" w:rsidRPr="007F11AC" w14:paraId="7AB091AB" w14:textId="77777777" w:rsidTr="00291BB1">
              <w:trPr>
                <w:trHeight w:val="998"/>
                <w:jc w:val="center"/>
              </w:trPr>
              <w:tc>
                <w:tcPr>
                  <w:tcW w:w="957" w:type="dxa"/>
                </w:tcPr>
                <w:p w14:paraId="163E0082" w14:textId="77777777" w:rsidR="007F11AC" w:rsidRPr="007F11AC" w:rsidRDefault="007F11AC" w:rsidP="00BC2C82">
                  <w:pPr>
                    <w:jc w:val="center"/>
                  </w:pPr>
                  <w:r w:rsidRPr="007F11AC">
                    <w:t>2</w:t>
                  </w:r>
                </w:p>
              </w:tc>
              <w:tc>
                <w:tcPr>
                  <w:tcW w:w="5819" w:type="dxa"/>
                </w:tcPr>
                <w:p w14:paraId="63A6379E" w14:textId="70121EA8" w:rsidR="007F11AC" w:rsidRPr="007F11AC" w:rsidRDefault="00B00995" w:rsidP="00B00995">
                  <w:r>
                    <w:t>Ensures any subsequent development letter as noted in M21-1 Part IV, Subpart ii, 1.I.7.j has been sent to the claimant.</w:t>
                  </w:r>
                </w:p>
              </w:tc>
            </w:tr>
            <w:tr w:rsidR="007F11AC" w:rsidRPr="007F11AC" w14:paraId="7D0EF88F" w14:textId="77777777" w:rsidTr="00210817">
              <w:trPr>
                <w:trHeight w:val="835"/>
                <w:jc w:val="center"/>
              </w:trPr>
              <w:tc>
                <w:tcPr>
                  <w:tcW w:w="957" w:type="dxa"/>
                </w:tcPr>
                <w:p w14:paraId="62D15530" w14:textId="77777777" w:rsidR="007F11AC" w:rsidRPr="007F11AC" w:rsidRDefault="007F11AC" w:rsidP="00BC2C82">
                  <w:pPr>
                    <w:jc w:val="center"/>
                  </w:pPr>
                  <w:r w:rsidRPr="007F11AC">
                    <w:t>3</w:t>
                  </w:r>
                </w:p>
              </w:tc>
              <w:tc>
                <w:tcPr>
                  <w:tcW w:w="5819" w:type="dxa"/>
                </w:tcPr>
                <w:p w14:paraId="13BE0D3F" w14:textId="0F30B327" w:rsidR="007F11AC" w:rsidRPr="007F11AC" w:rsidRDefault="00B00995" w:rsidP="00BC2C82">
                  <w:r>
                    <w:t>Requests</w:t>
                  </w:r>
                  <w:r w:rsidR="007F11AC" w:rsidRPr="007F11AC">
                    <w:t xml:space="preserve"> Veterans Health Administration (VHA) sub</w:t>
                  </w:r>
                  <w:r>
                    <w:t>ject matter expert (SME) review, when needed</w:t>
                  </w:r>
                </w:p>
              </w:tc>
            </w:tr>
            <w:tr w:rsidR="007F11AC" w:rsidRPr="007F11AC" w14:paraId="6147CFE4" w14:textId="77777777" w:rsidTr="00606D97">
              <w:trPr>
                <w:trHeight w:val="596"/>
                <w:jc w:val="center"/>
              </w:trPr>
              <w:tc>
                <w:tcPr>
                  <w:tcW w:w="957" w:type="dxa"/>
                  <w:tcBorders>
                    <w:bottom w:val="single" w:sz="4" w:space="0" w:color="000000"/>
                  </w:tcBorders>
                </w:tcPr>
                <w:p w14:paraId="42627B83" w14:textId="77777777" w:rsidR="007F11AC" w:rsidRPr="007F11AC" w:rsidRDefault="007F11AC" w:rsidP="00BC2C82">
                  <w:pPr>
                    <w:jc w:val="center"/>
                  </w:pPr>
                  <w:r w:rsidRPr="007F11AC">
                    <w:t>4</w:t>
                  </w:r>
                </w:p>
              </w:tc>
              <w:tc>
                <w:tcPr>
                  <w:tcW w:w="5819" w:type="dxa"/>
                  <w:tcBorders>
                    <w:bottom w:val="single" w:sz="4" w:space="0" w:color="000000"/>
                  </w:tcBorders>
                </w:tcPr>
                <w:p w14:paraId="57292A47" w14:textId="77777777" w:rsidR="007F11AC" w:rsidRPr="007F11AC" w:rsidRDefault="007F11AC" w:rsidP="00BC2C82">
                  <w:r w:rsidRPr="007F11AC">
                    <w:t>Decides all claimed issues and sends notice of the decision to the claimant.</w:t>
                  </w:r>
                </w:p>
              </w:tc>
            </w:tr>
            <w:tr w:rsidR="007F11AC" w14:paraId="208085C4" w14:textId="77777777" w:rsidTr="00606D97">
              <w:trPr>
                <w:trHeight w:val="849"/>
                <w:jc w:val="center"/>
              </w:trPr>
              <w:tc>
                <w:tcPr>
                  <w:tcW w:w="957" w:type="dxa"/>
                  <w:tcBorders>
                    <w:bottom w:val="single" w:sz="4" w:space="0" w:color="auto"/>
                  </w:tcBorders>
                </w:tcPr>
                <w:p w14:paraId="1AFF3F76" w14:textId="77777777" w:rsidR="007F11AC" w:rsidRPr="007F11AC" w:rsidRDefault="007F11AC" w:rsidP="00BC2C82">
                  <w:pPr>
                    <w:jc w:val="center"/>
                  </w:pPr>
                  <w:r w:rsidRPr="007F11AC">
                    <w:t>5</w:t>
                  </w:r>
                </w:p>
              </w:tc>
              <w:tc>
                <w:tcPr>
                  <w:tcW w:w="5819" w:type="dxa"/>
                  <w:tcBorders>
                    <w:bottom w:val="single" w:sz="4" w:space="0" w:color="auto"/>
                  </w:tcBorders>
                </w:tcPr>
                <w:p w14:paraId="4D325F58" w14:textId="77777777" w:rsidR="007F11AC" w:rsidRPr="007F11AC" w:rsidRDefault="007F11AC" w:rsidP="00BC2C82">
                  <w:r w:rsidRPr="007F11AC">
                    <w:t>Retains jurisdiction for any appeals received on Camp Lejeune claims and all other non-Camp Lejeune claims and/or appeals received during the one-year appeal period</w:t>
                  </w:r>
                </w:p>
              </w:tc>
            </w:tr>
            <w:tr w:rsidR="00606D97" w14:paraId="03A398D3" w14:textId="77777777" w:rsidTr="00606D97">
              <w:trPr>
                <w:trHeight w:val="386"/>
                <w:jc w:val="center"/>
              </w:trPr>
              <w:tc>
                <w:tcPr>
                  <w:tcW w:w="957" w:type="dxa"/>
                  <w:tcBorders>
                    <w:top w:val="single" w:sz="4" w:space="0" w:color="auto"/>
                    <w:left w:val="nil"/>
                    <w:bottom w:val="nil"/>
                    <w:right w:val="nil"/>
                  </w:tcBorders>
                </w:tcPr>
                <w:p w14:paraId="362A814A" w14:textId="77777777" w:rsidR="00606D97" w:rsidRDefault="00606D97" w:rsidP="00BC2C82">
                  <w:pPr>
                    <w:jc w:val="center"/>
                  </w:pPr>
                </w:p>
                <w:p w14:paraId="358B40E2" w14:textId="77777777" w:rsidR="00606D97" w:rsidRPr="007F11AC" w:rsidRDefault="00606D97" w:rsidP="00BC2C82">
                  <w:pPr>
                    <w:jc w:val="center"/>
                  </w:pPr>
                </w:p>
              </w:tc>
              <w:tc>
                <w:tcPr>
                  <w:tcW w:w="5819" w:type="dxa"/>
                  <w:tcBorders>
                    <w:top w:val="single" w:sz="4" w:space="0" w:color="auto"/>
                    <w:left w:val="nil"/>
                    <w:bottom w:val="nil"/>
                    <w:right w:val="nil"/>
                  </w:tcBorders>
                </w:tcPr>
                <w:p w14:paraId="3A44FCD0" w14:textId="77777777" w:rsidR="00606D97" w:rsidRPr="007F11AC" w:rsidRDefault="00606D97" w:rsidP="00BC2C82"/>
              </w:tc>
            </w:tr>
          </w:tbl>
          <w:p w14:paraId="2F90E772" w14:textId="3801BA25" w:rsidR="00231BE5" w:rsidRPr="005C47B1" w:rsidRDefault="00231BE5" w:rsidP="00A22945">
            <w:pPr>
              <w:pStyle w:val="BlockText"/>
              <w:rPr>
                <w:b/>
                <w:i/>
                <w:color w:val="auto"/>
              </w:rPr>
            </w:pPr>
          </w:p>
        </w:tc>
      </w:tr>
      <w:tr w:rsidR="00231BE5" w14:paraId="0B2E6FB7" w14:textId="77777777" w:rsidTr="00F56C4A">
        <w:trPr>
          <w:trHeight w:val="1440"/>
        </w:trPr>
        <w:tc>
          <w:tcPr>
            <w:tcW w:w="9655" w:type="dxa"/>
            <w:gridSpan w:val="2"/>
          </w:tcPr>
          <w:p w14:paraId="17AEB4EC" w14:textId="245F8EB0" w:rsidR="00606D97" w:rsidRDefault="00606D97" w:rsidP="00606D97">
            <w:pPr>
              <w:jc w:val="center"/>
              <w:rPr>
                <w:b/>
                <w:u w:val="single"/>
              </w:rPr>
            </w:pPr>
            <w:r w:rsidRPr="00606D97">
              <w:rPr>
                <w:b/>
                <w:u w:val="single"/>
              </w:rPr>
              <w:lastRenderedPageBreak/>
              <w:t>VHA SME Review</w:t>
            </w:r>
          </w:p>
          <w:p w14:paraId="26508126" w14:textId="77777777" w:rsidR="00FA681B" w:rsidRDefault="00FA681B" w:rsidP="00606D97">
            <w:pPr>
              <w:jc w:val="center"/>
              <w:rPr>
                <w:b/>
                <w:u w:val="single"/>
              </w:rPr>
            </w:pPr>
          </w:p>
          <w:p w14:paraId="08A39B8D" w14:textId="4333730F" w:rsidR="00FB11ED" w:rsidRDefault="00FB11ED" w:rsidP="00FB11ED">
            <w:r w:rsidRPr="009A6DF7">
              <w:t>Prior to finalizing the regulations allowing for presumptive SC, VBA referred CLCW claims to VHA for a subj</w:t>
            </w:r>
            <w:r w:rsidR="00291BB1">
              <w:t>ect matter expert (SME) review.</w:t>
            </w:r>
            <w:r w:rsidRPr="009A6DF7">
              <w:t xml:space="preserve"> These opinions must be weighed to determine if </w:t>
            </w:r>
          </w:p>
          <w:p w14:paraId="079334B6" w14:textId="77777777" w:rsidR="00FB11ED" w:rsidRPr="009A6DF7" w:rsidRDefault="00FB11ED" w:rsidP="00FB11ED"/>
          <w:p w14:paraId="3559DE58" w14:textId="77777777" w:rsidR="00FB11ED" w:rsidRPr="009A6DF7" w:rsidRDefault="00FB11ED" w:rsidP="00FB11ED">
            <w:pPr>
              <w:pStyle w:val="ListParagraph"/>
              <w:numPr>
                <w:ilvl w:val="0"/>
                <w:numId w:val="5"/>
              </w:numPr>
              <w:spacing w:before="0"/>
              <w:contextualSpacing w:val="0"/>
              <w:textAlignment w:val="baseline"/>
            </w:pPr>
            <w:r w:rsidRPr="009A6DF7">
              <w:t>SC can be established on a direct basis prior to the date the final presumptive regulation became effective, or</w:t>
            </w:r>
          </w:p>
          <w:p w14:paraId="14D5D369" w14:textId="79FBFE0E" w:rsidR="00231BE5" w:rsidRPr="00210817" w:rsidRDefault="00FB11ED" w:rsidP="00306C96">
            <w:pPr>
              <w:pStyle w:val="ListParagraph"/>
              <w:numPr>
                <w:ilvl w:val="0"/>
                <w:numId w:val="5"/>
              </w:numPr>
              <w:spacing w:before="0"/>
              <w:contextualSpacing w:val="0"/>
              <w:textAlignment w:val="baseline"/>
              <w:rPr>
                <w:b/>
                <w:i/>
              </w:rPr>
            </w:pPr>
            <w:proofErr w:type="gramStart"/>
            <w:r w:rsidRPr="009A6DF7">
              <w:t>if</w:t>
            </w:r>
            <w:proofErr w:type="gramEnd"/>
            <w:r w:rsidRPr="009A6DF7">
              <w:t xml:space="preserve"> the opinion sufficiently rebuts the presumption as</w:t>
            </w:r>
            <w:r w:rsidR="00291BB1">
              <w:t xml:space="preserve"> discussed in 38 CFR 3.307(d).</w:t>
            </w:r>
          </w:p>
          <w:p w14:paraId="573AF0A3" w14:textId="6752D038" w:rsidR="00210817" w:rsidRPr="005C47B1" w:rsidRDefault="00210817" w:rsidP="00210817">
            <w:pPr>
              <w:pStyle w:val="ListParagraph"/>
              <w:spacing w:before="0"/>
              <w:ind w:left="360"/>
              <w:contextualSpacing w:val="0"/>
              <w:textAlignment w:val="baseline"/>
              <w:rPr>
                <w:b/>
                <w:i/>
              </w:rPr>
            </w:pPr>
          </w:p>
        </w:tc>
      </w:tr>
      <w:tr w:rsidR="00FB11ED" w14:paraId="499857DD" w14:textId="77777777" w:rsidTr="00F56C4A">
        <w:trPr>
          <w:trHeight w:val="1440"/>
        </w:trPr>
        <w:tc>
          <w:tcPr>
            <w:tcW w:w="9655" w:type="dxa"/>
            <w:gridSpan w:val="2"/>
          </w:tcPr>
          <w:p w14:paraId="557634A1" w14:textId="77777777" w:rsidR="00FB11ED" w:rsidRDefault="00FB11ED" w:rsidP="00FB11ED">
            <w:pPr>
              <w:textAlignment w:val="baseline"/>
            </w:pPr>
            <w:r w:rsidRPr="00FB11ED">
              <w:t xml:space="preserve">VHA SME review is required in the following claims: </w:t>
            </w:r>
          </w:p>
          <w:p w14:paraId="4418DE9B" w14:textId="77777777" w:rsidR="00FA681B" w:rsidRPr="00FB11ED" w:rsidRDefault="00FA681B" w:rsidP="00FB11ED">
            <w:pPr>
              <w:textAlignment w:val="baseline"/>
            </w:pPr>
          </w:p>
          <w:p w14:paraId="32CDE67F" w14:textId="77777777" w:rsidR="00FB11ED" w:rsidRPr="00FB11ED" w:rsidRDefault="00FB11ED" w:rsidP="00FA681B">
            <w:pPr>
              <w:numPr>
                <w:ilvl w:val="0"/>
                <w:numId w:val="5"/>
              </w:numPr>
              <w:spacing w:before="0"/>
              <w:textAlignment w:val="baseline"/>
            </w:pPr>
            <w:r w:rsidRPr="00FB11ED">
              <w:t>38 CFR 3.309(f) disability with less than 30 days Camp Lejeune service</w:t>
            </w:r>
          </w:p>
          <w:p w14:paraId="20106018" w14:textId="77777777" w:rsidR="00FB11ED" w:rsidRPr="00FB11ED" w:rsidRDefault="00FB11ED" w:rsidP="00FA681B">
            <w:pPr>
              <w:numPr>
                <w:ilvl w:val="0"/>
                <w:numId w:val="5"/>
              </w:numPr>
              <w:spacing w:before="0"/>
              <w:textAlignment w:val="baseline"/>
            </w:pPr>
            <w:r w:rsidRPr="00FB11ED">
              <w:t xml:space="preserve">any disability claim with </w:t>
            </w:r>
          </w:p>
          <w:p w14:paraId="2F4336E9" w14:textId="77777777" w:rsidR="00FB11ED" w:rsidRPr="00FB11ED" w:rsidRDefault="00FB11ED" w:rsidP="00FA681B">
            <w:pPr>
              <w:numPr>
                <w:ilvl w:val="1"/>
                <w:numId w:val="5"/>
              </w:numPr>
              <w:spacing w:before="0"/>
              <w:textAlignment w:val="baseline"/>
            </w:pPr>
            <w:r w:rsidRPr="00FB11ED">
              <w:t>at least one day of verified service at Camp Lejeune service during the contamination period, and</w:t>
            </w:r>
          </w:p>
          <w:p w14:paraId="409E5958" w14:textId="77777777" w:rsidR="00FB11ED" w:rsidRPr="00FB11ED" w:rsidRDefault="00FB11ED" w:rsidP="00FA681B">
            <w:pPr>
              <w:numPr>
                <w:ilvl w:val="1"/>
                <w:numId w:val="5"/>
              </w:numPr>
              <w:spacing w:before="0"/>
              <w:textAlignment w:val="baseline"/>
            </w:pPr>
            <w:proofErr w:type="gramStart"/>
            <w:r w:rsidRPr="00FB11ED">
              <w:t>evidence</w:t>
            </w:r>
            <w:proofErr w:type="gramEnd"/>
            <w:r w:rsidRPr="00FB11ED">
              <w:t xml:space="preserve"> sufficient to warrant an examination under 38 CFR 3.159.</w:t>
            </w:r>
          </w:p>
          <w:p w14:paraId="44735F3E" w14:textId="77777777" w:rsidR="00FB11ED" w:rsidRDefault="00FB11ED" w:rsidP="00FA681B">
            <w:pPr>
              <w:pStyle w:val="ListParagraph"/>
              <w:numPr>
                <w:ilvl w:val="0"/>
                <w:numId w:val="5"/>
              </w:numPr>
              <w:spacing w:before="0"/>
              <w:contextualSpacing w:val="0"/>
              <w:textAlignment w:val="baseline"/>
            </w:pPr>
            <w:r w:rsidRPr="00E7256D">
              <w:t>chronic disability recognized for healthcare under 38 CFR 17.400 with at least one day of verified service at Camp Lejeune service dur</w:t>
            </w:r>
            <w:r w:rsidR="00FA681B">
              <w:t>ing the contamination period</w:t>
            </w:r>
          </w:p>
          <w:p w14:paraId="5822C97B" w14:textId="5F6C3297" w:rsidR="00E8529A" w:rsidRPr="009A6DF7" w:rsidRDefault="00E8529A" w:rsidP="00E8529A">
            <w:pPr>
              <w:spacing w:before="0"/>
              <w:textAlignment w:val="baseline"/>
            </w:pPr>
          </w:p>
        </w:tc>
      </w:tr>
      <w:tr w:rsidR="00FB11ED" w14:paraId="5998B105" w14:textId="77777777" w:rsidTr="00F56C4A">
        <w:trPr>
          <w:trHeight w:val="1440"/>
        </w:trPr>
        <w:tc>
          <w:tcPr>
            <w:tcW w:w="9655" w:type="dxa"/>
            <w:gridSpan w:val="2"/>
          </w:tcPr>
          <w:p w14:paraId="50DD59B6" w14:textId="0DC11C9D" w:rsidR="00E8529A" w:rsidRPr="00E8529A" w:rsidRDefault="00E8529A" w:rsidP="00E8529A">
            <w:r>
              <w:rPr>
                <w:u w:val="single"/>
              </w:rPr>
              <w:lastRenderedPageBreak/>
              <w:t>Exception:</w:t>
            </w:r>
            <w:r>
              <w:t xml:space="preserve"> </w:t>
            </w:r>
            <w:r w:rsidRPr="00E8529A">
              <w:rPr>
                <w:bCs/>
                <w:color w:val="000000" w:themeColor="text1"/>
              </w:rPr>
              <w:t xml:space="preserve">If the only service at Camp Lejeune was with a National Guard or reserve unit while on active duty for training or inactive duty for training, do not request a SME review.  </w:t>
            </w:r>
          </w:p>
          <w:p w14:paraId="568006F8" w14:textId="77777777" w:rsidR="00E8529A" w:rsidRDefault="00E8529A" w:rsidP="00FA681B">
            <w:pPr>
              <w:jc w:val="center"/>
              <w:textAlignment w:val="baseline"/>
              <w:rPr>
                <w:b/>
                <w:u w:val="single"/>
              </w:rPr>
            </w:pPr>
          </w:p>
          <w:p w14:paraId="0920B13C" w14:textId="2F42D2AC" w:rsidR="00FA681B" w:rsidRPr="00FA681B" w:rsidRDefault="00FA681B" w:rsidP="00FA681B">
            <w:pPr>
              <w:jc w:val="center"/>
              <w:textAlignment w:val="baseline"/>
              <w:rPr>
                <w:b/>
                <w:u w:val="single"/>
              </w:rPr>
            </w:pPr>
            <w:r w:rsidRPr="00FA681B">
              <w:rPr>
                <w:b/>
                <w:u w:val="single"/>
              </w:rPr>
              <w:t>Rebutting the Presumption of Service Connection</w:t>
            </w:r>
          </w:p>
          <w:p w14:paraId="463C04DE" w14:textId="77777777" w:rsidR="00FA681B" w:rsidRDefault="00FA681B" w:rsidP="00210817">
            <w:pPr>
              <w:textAlignment w:val="baseline"/>
            </w:pPr>
          </w:p>
          <w:p w14:paraId="022D7553" w14:textId="01E7C632" w:rsidR="00FB11ED" w:rsidRDefault="00E8529A" w:rsidP="00E8529A">
            <w:pPr>
              <w:textAlignment w:val="baseline"/>
            </w:pPr>
            <w:r w:rsidRPr="00F33DF5">
              <w:t>A negative VHA SME opinion may be sufficient to deny direct service connection, but it is not necessarily sufficient to rebut a presumption for an otherwise qualified claim under 38 CFR 3.307(a</w:t>
            </w:r>
            <w:proofErr w:type="gramStart"/>
            <w:r w:rsidRPr="00F33DF5">
              <w:t>)(</w:t>
            </w:r>
            <w:proofErr w:type="gramEnd"/>
            <w:r w:rsidRPr="00F33DF5">
              <w:t>7).</w:t>
            </w:r>
          </w:p>
          <w:p w14:paraId="251DC3A8" w14:textId="77777777" w:rsidR="00E8529A" w:rsidRPr="00FB11ED" w:rsidRDefault="00E8529A" w:rsidP="00FB11ED">
            <w:pPr>
              <w:ind w:left="360"/>
              <w:textAlignment w:val="baseline"/>
            </w:pPr>
          </w:p>
          <w:p w14:paraId="24FA9F76" w14:textId="0D1A6BAD" w:rsidR="00FB11ED" w:rsidRPr="00210817" w:rsidRDefault="00FB11ED" w:rsidP="00FB11ED">
            <w:pPr>
              <w:spacing w:before="0"/>
              <w:textAlignment w:val="baseline"/>
            </w:pPr>
            <w:r w:rsidRPr="00210817">
              <w:t xml:space="preserve">The presumption of SC may </w:t>
            </w:r>
            <w:r w:rsidRPr="00210817">
              <w:rPr>
                <w:iCs/>
              </w:rPr>
              <w:t>not</w:t>
            </w:r>
            <w:r w:rsidRPr="00210817">
              <w:t xml:space="preserve"> be rebutted using an opinion that does not:</w:t>
            </w:r>
          </w:p>
          <w:p w14:paraId="3DC42F16" w14:textId="77777777" w:rsidR="00FB11ED" w:rsidRPr="00210817" w:rsidRDefault="00FB11ED" w:rsidP="00FB11ED">
            <w:pPr>
              <w:spacing w:before="0"/>
              <w:textAlignment w:val="baseline"/>
            </w:pPr>
          </w:p>
          <w:p w14:paraId="2A4F38D5" w14:textId="77777777" w:rsidR="00FB11ED" w:rsidRPr="00210817" w:rsidRDefault="00FB11ED" w:rsidP="00FB11ED">
            <w:pPr>
              <w:numPr>
                <w:ilvl w:val="0"/>
                <w:numId w:val="5"/>
              </w:numPr>
              <w:spacing w:before="0"/>
              <w:textAlignment w:val="baseline"/>
            </w:pPr>
            <w:r w:rsidRPr="00210817">
              <w:t>consider the entire record, and/or</w:t>
            </w:r>
          </w:p>
          <w:p w14:paraId="3C44150D" w14:textId="77777777" w:rsidR="00FB11ED" w:rsidRPr="00210817" w:rsidRDefault="00FB11ED" w:rsidP="00FB11ED">
            <w:pPr>
              <w:numPr>
                <w:ilvl w:val="0"/>
                <w:numId w:val="5"/>
              </w:numPr>
              <w:spacing w:before="0"/>
              <w:textAlignment w:val="baseline"/>
            </w:pPr>
            <w:r w:rsidRPr="00210817">
              <w:t>consider relevant evidence that post-dates the opinion</w:t>
            </w:r>
          </w:p>
          <w:p w14:paraId="1AE86D1D" w14:textId="77777777" w:rsidR="00FB11ED" w:rsidRPr="00210817" w:rsidRDefault="00FB11ED" w:rsidP="00FB11ED">
            <w:pPr>
              <w:numPr>
                <w:ilvl w:val="0"/>
                <w:numId w:val="5"/>
              </w:numPr>
              <w:spacing w:before="0"/>
              <w:textAlignment w:val="baseline"/>
            </w:pPr>
            <w:r w:rsidRPr="00210817">
              <w:t>has a negative finding of causation with respect to in-service exposure by itself (unaccompanied by medical evidence and sound medical reasoning to support the opinion)</w:t>
            </w:r>
          </w:p>
          <w:p w14:paraId="61AEBFC2" w14:textId="77777777" w:rsidR="00FB11ED" w:rsidRPr="00210817" w:rsidRDefault="00FB11ED" w:rsidP="00FB11ED">
            <w:pPr>
              <w:numPr>
                <w:ilvl w:val="0"/>
                <w:numId w:val="5"/>
              </w:numPr>
              <w:spacing w:before="0"/>
              <w:textAlignment w:val="baseline"/>
            </w:pPr>
            <w:r w:rsidRPr="00210817">
              <w:t xml:space="preserve">identifies an </w:t>
            </w:r>
            <w:proofErr w:type="spellStart"/>
            <w:r w:rsidRPr="00210817">
              <w:t>intercurrent</w:t>
            </w:r>
            <w:proofErr w:type="spellEnd"/>
            <w:r w:rsidRPr="00210817">
              <w:t xml:space="preserve"> cause but does not establish that the </w:t>
            </w:r>
            <w:proofErr w:type="spellStart"/>
            <w:r w:rsidRPr="00210817">
              <w:t>intercurrent</w:t>
            </w:r>
            <w:proofErr w:type="spellEnd"/>
            <w:r w:rsidRPr="00210817">
              <w:t xml:space="preserve"> cause is the sole cause of the disease, to the exclusion of in-service exposure as a contributory cause</w:t>
            </w:r>
          </w:p>
          <w:p w14:paraId="07FF6799" w14:textId="77777777" w:rsidR="00FB11ED" w:rsidRPr="00210817" w:rsidRDefault="00FB11ED" w:rsidP="00FB11ED">
            <w:pPr>
              <w:numPr>
                <w:ilvl w:val="0"/>
                <w:numId w:val="5"/>
              </w:numPr>
              <w:spacing w:before="0"/>
              <w:textAlignment w:val="baseline"/>
            </w:pPr>
            <w:r w:rsidRPr="00210817">
              <w:t xml:space="preserve">explain why a potentially </w:t>
            </w:r>
            <w:proofErr w:type="spellStart"/>
            <w:r w:rsidRPr="00210817">
              <w:t>intercurrent</w:t>
            </w:r>
            <w:proofErr w:type="spellEnd"/>
            <w:r w:rsidRPr="00210817">
              <w:t xml:space="preserve"> cause makes the presumptive cause of the disability medically unlikely</w:t>
            </w:r>
          </w:p>
          <w:p w14:paraId="6C35FE32" w14:textId="77777777" w:rsidR="00FB11ED" w:rsidRPr="00210817" w:rsidRDefault="00FB11ED" w:rsidP="00FB11ED">
            <w:pPr>
              <w:numPr>
                <w:ilvl w:val="0"/>
                <w:numId w:val="5"/>
              </w:numPr>
              <w:spacing w:before="0"/>
              <w:textAlignment w:val="baseline"/>
            </w:pPr>
            <w:proofErr w:type="gramStart"/>
            <w:r w:rsidRPr="00210817">
              <w:t>relies</w:t>
            </w:r>
            <w:proofErr w:type="gramEnd"/>
            <w:r w:rsidRPr="00210817">
              <w:t xml:space="preserve"> on the “preponderance of the evidence” to rebut the presumption, as this level of proof is not sufficient to establish affirmative evidence contrary to the presumption.</w:t>
            </w:r>
          </w:p>
          <w:p w14:paraId="6E65A50B" w14:textId="77777777" w:rsidR="00FB11ED" w:rsidRPr="00FB11ED" w:rsidRDefault="00FB11ED" w:rsidP="00FB11ED">
            <w:pPr>
              <w:textAlignment w:val="baseline"/>
              <w:rPr>
                <w:b/>
                <w:bCs/>
                <w:i/>
                <w:iCs/>
                <w:color w:val="000000"/>
                <w:szCs w:val="24"/>
                <w:highlight w:val="yellow"/>
              </w:rPr>
            </w:pPr>
          </w:p>
          <w:p w14:paraId="4C7991F4" w14:textId="30E1A4F7" w:rsidR="00FB11ED" w:rsidRPr="00210817" w:rsidRDefault="00FB11ED" w:rsidP="00FB11ED">
            <w:pPr>
              <w:textAlignment w:val="baseline"/>
              <w:rPr>
                <w:color w:val="000000"/>
                <w:szCs w:val="24"/>
              </w:rPr>
            </w:pPr>
            <w:r w:rsidRPr="00210817">
              <w:rPr>
                <w:bCs/>
                <w:iCs/>
                <w:color w:val="000000"/>
                <w:szCs w:val="24"/>
              </w:rPr>
              <w:t>Example</w:t>
            </w:r>
            <w:r w:rsidR="00291BB1">
              <w:rPr>
                <w:color w:val="000000"/>
                <w:szCs w:val="24"/>
              </w:rPr>
              <w:t>:</w:t>
            </w:r>
            <w:r w:rsidRPr="00210817">
              <w:rPr>
                <w:color w:val="000000"/>
                <w:szCs w:val="24"/>
              </w:rPr>
              <w:t xml:space="preserve"> A Veteran fi</w:t>
            </w:r>
            <w:r w:rsidR="00291BB1">
              <w:rPr>
                <w:color w:val="000000"/>
                <w:szCs w:val="24"/>
              </w:rPr>
              <w:t>les a claim for bladder cancer.</w:t>
            </w:r>
            <w:r w:rsidRPr="00210817">
              <w:rPr>
                <w:color w:val="000000"/>
                <w:szCs w:val="24"/>
              </w:rPr>
              <w:t xml:space="preserve"> Service records est</w:t>
            </w:r>
            <w:r w:rsidR="00291BB1">
              <w:rPr>
                <w:color w:val="000000"/>
                <w:szCs w:val="24"/>
              </w:rPr>
              <w:t>ablish service at Camp Lejeune.</w:t>
            </w:r>
            <w:r w:rsidRPr="00210817">
              <w:rPr>
                <w:color w:val="000000"/>
                <w:szCs w:val="24"/>
              </w:rPr>
              <w:t xml:space="preserve"> The RO obtains a SME opinion which discusses the National Research Council's 2009 report and th</w:t>
            </w:r>
            <w:r w:rsidR="00291BB1">
              <w:rPr>
                <w:color w:val="000000"/>
                <w:szCs w:val="24"/>
              </w:rPr>
              <w:t>e Veteran’s other risk factors.</w:t>
            </w:r>
            <w:r w:rsidRPr="00210817">
              <w:rPr>
                <w:color w:val="000000"/>
                <w:szCs w:val="24"/>
              </w:rPr>
              <w:t xml:space="preserve"> The SME concludes that the weight of scientific and medical evidence supports that it is less likely than not that exposure to contaminated water at Camp Lejeune was causative of the development of the Veteran’s bladder cancer, and that his subsequent occupational exposure and cigarette smoking would be more likely the contributor to his bladder cancer. </w:t>
            </w:r>
          </w:p>
          <w:p w14:paraId="6EE11A53" w14:textId="5D31745F" w:rsidR="00FB11ED" w:rsidRPr="00210817" w:rsidRDefault="00FB11ED" w:rsidP="00FB11ED">
            <w:pPr>
              <w:textAlignment w:val="baseline"/>
              <w:rPr>
                <w:color w:val="000000"/>
                <w:szCs w:val="24"/>
              </w:rPr>
            </w:pPr>
            <w:r w:rsidRPr="00210817">
              <w:rPr>
                <w:bCs/>
                <w:iCs/>
                <w:color w:val="000000"/>
                <w:szCs w:val="24"/>
              </w:rPr>
              <w:t>Result</w:t>
            </w:r>
            <w:r w:rsidR="00291BB1">
              <w:rPr>
                <w:color w:val="000000"/>
                <w:szCs w:val="24"/>
              </w:rPr>
              <w:t>:</w:t>
            </w:r>
            <w:r w:rsidRPr="00210817">
              <w:rPr>
                <w:color w:val="000000"/>
                <w:szCs w:val="24"/>
              </w:rPr>
              <w:t xml:space="preserve"> The decision maker finds the presumption is not rebutted and awards SC for bla</w:t>
            </w:r>
            <w:r w:rsidR="00291BB1">
              <w:rPr>
                <w:color w:val="000000"/>
                <w:szCs w:val="24"/>
              </w:rPr>
              <w:t>dder cancer under 38 CFR 3.307.</w:t>
            </w:r>
            <w:r w:rsidRPr="00210817">
              <w:rPr>
                <w:color w:val="000000"/>
                <w:szCs w:val="24"/>
              </w:rPr>
              <w:t xml:space="preserve"> In the decision, the decision maker explains the opinion fails to consider all relevant evidence and does not account for changed medical understandings as it did not consider other relevant studies that were the basis of t</w:t>
            </w:r>
            <w:r w:rsidR="00291BB1">
              <w:rPr>
                <w:color w:val="000000"/>
                <w:szCs w:val="24"/>
              </w:rPr>
              <w:t>he new presumptive rulemaking.</w:t>
            </w:r>
          </w:p>
          <w:p w14:paraId="4CBBD671" w14:textId="1063B518" w:rsidR="00FB11ED" w:rsidRPr="00210817" w:rsidRDefault="00FB11ED" w:rsidP="00FB11ED">
            <w:pPr>
              <w:textAlignment w:val="baseline"/>
              <w:rPr>
                <w:color w:val="000000"/>
                <w:szCs w:val="24"/>
              </w:rPr>
            </w:pPr>
            <w:r w:rsidRPr="00210817">
              <w:rPr>
                <w:color w:val="000000"/>
                <w:szCs w:val="24"/>
              </w:rPr>
              <w:t>Additionally, the opinion does not discuss whether the other risk factors were th</w:t>
            </w:r>
            <w:r w:rsidR="00291BB1">
              <w:rPr>
                <w:color w:val="000000"/>
                <w:szCs w:val="24"/>
              </w:rPr>
              <w:t xml:space="preserve">e sole cause of the condition. </w:t>
            </w:r>
            <w:r w:rsidRPr="00210817">
              <w:rPr>
                <w:color w:val="000000"/>
                <w:szCs w:val="24"/>
              </w:rPr>
              <w:t>Finally, the opinion switches between statements</w:t>
            </w:r>
            <w:r w:rsidR="00291BB1">
              <w:rPr>
                <w:color w:val="000000"/>
                <w:szCs w:val="24"/>
              </w:rPr>
              <w:t xml:space="preserve"> of causation and contribution.</w:t>
            </w:r>
            <w:r w:rsidRPr="00210817">
              <w:rPr>
                <w:color w:val="000000"/>
                <w:szCs w:val="24"/>
              </w:rPr>
              <w:t xml:space="preserve"> Therefore, the opinion applies an incorrect standard and only provides a negative opinion regarding in service exposures, which is arguably insufficient by itself to rebut the presumption of service connection.</w:t>
            </w:r>
          </w:p>
          <w:p w14:paraId="3F7EE077" w14:textId="77777777" w:rsidR="00E8529A" w:rsidRDefault="00E8529A" w:rsidP="00FB11ED">
            <w:pPr>
              <w:textAlignment w:val="baseline"/>
            </w:pPr>
          </w:p>
          <w:p w14:paraId="1EAC6DD6" w14:textId="77777777" w:rsidR="00E8529A" w:rsidRDefault="00E8529A" w:rsidP="00FB11ED">
            <w:pPr>
              <w:textAlignment w:val="baseline"/>
            </w:pPr>
          </w:p>
          <w:p w14:paraId="6BC02476" w14:textId="62F55488" w:rsidR="00FB11ED" w:rsidRDefault="00FB11ED" w:rsidP="00FB11ED">
            <w:pPr>
              <w:textAlignment w:val="baseline"/>
            </w:pPr>
            <w:r w:rsidRPr="00210817">
              <w:lastRenderedPageBreak/>
              <w:t xml:space="preserve">Presumptive SC </w:t>
            </w:r>
            <w:r w:rsidRPr="00210817">
              <w:rPr>
                <w:iCs/>
              </w:rPr>
              <w:t xml:space="preserve">can </w:t>
            </w:r>
            <w:r w:rsidRPr="00210817">
              <w:t xml:space="preserve">be </w:t>
            </w:r>
            <w:r w:rsidR="00291BB1">
              <w:t>rebutted under 38 CFR 3.307(d).</w:t>
            </w:r>
            <w:r w:rsidRPr="00210817">
              <w:t xml:space="preserve"> The medical evidence to rebut the presumption of SC need not be conclusive, </w:t>
            </w:r>
            <w:r w:rsidR="00E8529A">
              <w:t xml:space="preserve">but must meet a higher standard and </w:t>
            </w:r>
            <w:r w:rsidRPr="00210817">
              <w:t xml:space="preserve">must include: </w:t>
            </w:r>
          </w:p>
          <w:p w14:paraId="5814B21D" w14:textId="77777777" w:rsidR="00E8529A" w:rsidRPr="00210817" w:rsidRDefault="00E8529A" w:rsidP="00FB11ED">
            <w:pPr>
              <w:textAlignment w:val="baseline"/>
            </w:pPr>
          </w:p>
          <w:p w14:paraId="52C2052B" w14:textId="77777777" w:rsidR="00FB11ED" w:rsidRPr="00210817" w:rsidRDefault="00FB11ED" w:rsidP="00FB11ED">
            <w:pPr>
              <w:numPr>
                <w:ilvl w:val="0"/>
                <w:numId w:val="5"/>
              </w:numPr>
              <w:spacing w:before="0"/>
              <w:textAlignment w:val="baseline"/>
            </w:pPr>
            <w:r w:rsidRPr="00210817">
              <w:t xml:space="preserve">affirmative evidence of an </w:t>
            </w:r>
            <w:proofErr w:type="spellStart"/>
            <w:r w:rsidRPr="00210817">
              <w:t>intercurrent</w:t>
            </w:r>
            <w:proofErr w:type="spellEnd"/>
            <w:r w:rsidRPr="00210817">
              <w:t xml:space="preserve"> cause, and</w:t>
            </w:r>
          </w:p>
          <w:p w14:paraId="784D266C" w14:textId="77777777" w:rsidR="00FB11ED" w:rsidRPr="00210817" w:rsidRDefault="00FB11ED" w:rsidP="00FB11ED">
            <w:pPr>
              <w:numPr>
                <w:ilvl w:val="0"/>
                <w:numId w:val="5"/>
              </w:numPr>
              <w:spacing w:before="0"/>
              <w:textAlignment w:val="baseline"/>
            </w:pPr>
            <w:r w:rsidRPr="00210817">
              <w:t>sound medical reasoning, and</w:t>
            </w:r>
          </w:p>
          <w:p w14:paraId="42C7FB57" w14:textId="77777777" w:rsidR="00FB11ED" w:rsidRPr="00210817" w:rsidRDefault="00FB11ED" w:rsidP="00FB11ED">
            <w:pPr>
              <w:numPr>
                <w:ilvl w:val="0"/>
                <w:numId w:val="5"/>
              </w:numPr>
              <w:spacing w:before="0"/>
              <w:textAlignment w:val="baseline"/>
            </w:pPr>
            <w:proofErr w:type="gramStart"/>
            <w:r w:rsidRPr="00210817">
              <w:t>be</w:t>
            </w:r>
            <w:proofErr w:type="gramEnd"/>
            <w:r w:rsidRPr="00210817">
              <w:t xml:space="preserve"> based on consideration of all evidence of record.</w:t>
            </w:r>
          </w:p>
          <w:p w14:paraId="0D02070F" w14:textId="77777777" w:rsidR="00FB11ED" w:rsidRPr="00210817" w:rsidRDefault="00FB11ED" w:rsidP="00FB11ED">
            <w:pPr>
              <w:textAlignment w:val="baseline"/>
            </w:pPr>
          </w:p>
          <w:p w14:paraId="21D584BF" w14:textId="1D200DB7" w:rsidR="00FB11ED" w:rsidRPr="00210817" w:rsidRDefault="00FB11ED" w:rsidP="00FB11ED">
            <w:pPr>
              <w:textAlignment w:val="baseline"/>
              <w:rPr>
                <w:color w:val="000000"/>
                <w:szCs w:val="24"/>
              </w:rPr>
            </w:pPr>
            <w:r w:rsidRPr="00210817">
              <w:rPr>
                <w:bCs/>
                <w:iCs/>
                <w:color w:val="000000"/>
                <w:szCs w:val="24"/>
              </w:rPr>
              <w:t>Example</w:t>
            </w:r>
            <w:r w:rsidR="00291BB1">
              <w:rPr>
                <w:color w:val="000000"/>
                <w:szCs w:val="24"/>
              </w:rPr>
              <w:t>:</w:t>
            </w:r>
            <w:r w:rsidRPr="00210817">
              <w:rPr>
                <w:color w:val="000000"/>
                <w:szCs w:val="24"/>
              </w:rPr>
              <w:t xml:space="preserve"> A Veteran files a claim for </w:t>
            </w:r>
            <w:r w:rsidR="00291BB1">
              <w:rPr>
                <w:color w:val="000000"/>
                <w:szCs w:val="24"/>
              </w:rPr>
              <w:t>chronic myeloid leukemia (CML).</w:t>
            </w:r>
            <w:r w:rsidRPr="00210817">
              <w:rPr>
                <w:color w:val="000000"/>
                <w:szCs w:val="24"/>
              </w:rPr>
              <w:t xml:space="preserve"> Service records establish service at</w:t>
            </w:r>
            <w:r w:rsidR="00291BB1">
              <w:rPr>
                <w:color w:val="000000"/>
                <w:szCs w:val="24"/>
              </w:rPr>
              <w:t xml:space="preserve"> Camp Lejeune.</w:t>
            </w:r>
            <w:r w:rsidRPr="00210817">
              <w:rPr>
                <w:color w:val="000000"/>
                <w:szCs w:val="24"/>
              </w:rPr>
              <w:t xml:space="preserve"> The RO obtains a SME opinion that identifies a chromosomal abnormality as the </w:t>
            </w:r>
            <w:proofErr w:type="spellStart"/>
            <w:r w:rsidRPr="00210817">
              <w:rPr>
                <w:color w:val="000000"/>
                <w:szCs w:val="24"/>
              </w:rPr>
              <w:t>intercurrent</w:t>
            </w:r>
            <w:proofErr w:type="spellEnd"/>
            <w:r w:rsidRPr="00210817">
              <w:rPr>
                <w:color w:val="000000"/>
                <w:szCs w:val="24"/>
              </w:rPr>
              <w:t xml:space="preserve"> cause of the Veteran’s disease and specifically states it is less likely than not that the diagnosis of CML is related to contamination in the ground water at Camp Lejeune.</w:t>
            </w:r>
          </w:p>
          <w:p w14:paraId="17525301" w14:textId="77777777" w:rsidR="00FB11ED" w:rsidRPr="00210817" w:rsidRDefault="00FB11ED" w:rsidP="00FB11ED">
            <w:pPr>
              <w:textAlignment w:val="baseline"/>
              <w:rPr>
                <w:color w:val="000000"/>
                <w:szCs w:val="24"/>
              </w:rPr>
            </w:pPr>
          </w:p>
          <w:p w14:paraId="4C470901" w14:textId="24A0D48E" w:rsidR="00FB11ED" w:rsidRPr="00210817" w:rsidRDefault="00FB11ED" w:rsidP="00FB11ED">
            <w:pPr>
              <w:textAlignment w:val="baseline"/>
              <w:rPr>
                <w:color w:val="000000"/>
                <w:szCs w:val="24"/>
                <w:highlight w:val="yellow"/>
              </w:rPr>
            </w:pPr>
            <w:r w:rsidRPr="00210817">
              <w:rPr>
                <w:bCs/>
                <w:iCs/>
                <w:color w:val="000000"/>
                <w:szCs w:val="24"/>
              </w:rPr>
              <w:t>Result</w:t>
            </w:r>
            <w:r w:rsidR="00291BB1">
              <w:rPr>
                <w:color w:val="000000"/>
                <w:szCs w:val="24"/>
              </w:rPr>
              <w:t>:</w:t>
            </w:r>
            <w:r w:rsidRPr="00210817">
              <w:rPr>
                <w:color w:val="000000"/>
                <w:szCs w:val="24"/>
              </w:rPr>
              <w:t xml:space="preserve"> The decision maker determines the evidence is sufficient to rebut the presumption of SC under </w:t>
            </w:r>
            <w:r w:rsidRPr="00210817">
              <w:rPr>
                <w:szCs w:val="24"/>
              </w:rPr>
              <w:t>38 CFR 3.307</w:t>
            </w:r>
            <w:r w:rsidR="00291BB1">
              <w:rPr>
                <w:color w:val="000000"/>
                <w:szCs w:val="24"/>
              </w:rPr>
              <w:t xml:space="preserve"> and denies the claim.</w:t>
            </w:r>
            <w:r w:rsidRPr="00210817">
              <w:rPr>
                <w:color w:val="000000"/>
                <w:szCs w:val="24"/>
              </w:rPr>
              <w:t xml:space="preserve"> In the decision, the decision maker explains the opinion sufficiently and affirmatively identifies an </w:t>
            </w:r>
            <w:proofErr w:type="spellStart"/>
            <w:r w:rsidRPr="00210817">
              <w:rPr>
                <w:color w:val="000000"/>
                <w:szCs w:val="24"/>
              </w:rPr>
              <w:t>intercurrent</w:t>
            </w:r>
            <w:proofErr w:type="spellEnd"/>
            <w:r w:rsidRPr="00210817">
              <w:rPr>
                <w:color w:val="000000"/>
                <w:szCs w:val="24"/>
              </w:rPr>
              <w:t xml:space="preserve"> cause of the Veteran’s disease, in this case an abnormal chromosome, and also provides a specific negative finding of causation with respect to in service exposures.</w:t>
            </w:r>
          </w:p>
          <w:p w14:paraId="40F4B37F" w14:textId="77777777" w:rsidR="00FB11ED" w:rsidRDefault="00FB11ED" w:rsidP="00A22945">
            <w:pPr>
              <w:rPr>
                <w:b/>
                <w:i/>
              </w:rPr>
            </w:pPr>
          </w:p>
          <w:p w14:paraId="5BDA1D08" w14:textId="77777777" w:rsidR="00307371" w:rsidRPr="006D2983" w:rsidRDefault="00307371" w:rsidP="00A22945">
            <w:pPr>
              <w:rPr>
                <w:b/>
                <w:i/>
              </w:rPr>
            </w:pPr>
          </w:p>
        </w:tc>
      </w:tr>
      <w:tr w:rsidR="00231BE5" w14:paraId="3E5C56FA" w14:textId="77777777" w:rsidTr="00F56C4A">
        <w:trPr>
          <w:trHeight w:val="1440"/>
        </w:trPr>
        <w:tc>
          <w:tcPr>
            <w:tcW w:w="9655" w:type="dxa"/>
            <w:gridSpan w:val="2"/>
          </w:tcPr>
          <w:p w14:paraId="4DB2D395" w14:textId="77777777" w:rsidR="00231BE5" w:rsidRPr="006D2983" w:rsidRDefault="00231BE5" w:rsidP="00A22945">
            <w:pPr>
              <w:rPr>
                <w:i/>
              </w:rPr>
            </w:pPr>
            <w:r w:rsidRPr="006D2983">
              <w:rPr>
                <w:b/>
                <w:i/>
              </w:rPr>
              <w:lastRenderedPageBreak/>
              <w:t>Question:</w:t>
            </w:r>
            <w:r w:rsidRPr="006D2983">
              <w:rPr>
                <w:i/>
              </w:rPr>
              <w:t xml:space="preserve">  </w:t>
            </w:r>
          </w:p>
          <w:p w14:paraId="606BCB00" w14:textId="2CFDD447" w:rsidR="00231BE5" w:rsidRPr="006D2983" w:rsidRDefault="00231BE5" w:rsidP="00A22945">
            <w:r w:rsidRPr="006D2983">
              <w:t>A Veteran who served honorably in the Marine Corps filed a claim for service connection for br</w:t>
            </w:r>
            <w:r w:rsidR="00291BB1">
              <w:t xml:space="preserve">east cancer on March 21, 2017. </w:t>
            </w:r>
            <w:r w:rsidRPr="006D2983">
              <w:t xml:space="preserve">Breast cancer is not a presumptive disability codified at 38 CFR 3.309(f) and the Veteran did not claim exposure to CLCW.  </w:t>
            </w:r>
          </w:p>
          <w:p w14:paraId="2257B0F8" w14:textId="77777777" w:rsidR="00231BE5" w:rsidRPr="006D2983" w:rsidRDefault="00231BE5" w:rsidP="00A22945">
            <w:r w:rsidRPr="006D2983">
              <w:t>Service department records showed service at Camp Lejeune for a period 7 days in 1973.</w:t>
            </w:r>
          </w:p>
          <w:p w14:paraId="192CD823" w14:textId="77777777" w:rsidR="00231BE5" w:rsidRPr="006D2983" w:rsidRDefault="00231BE5" w:rsidP="00A22945">
            <w:r w:rsidRPr="006D2983">
              <w:t>Should this claim be processed by the ROJ or sent for centralized processing.</w:t>
            </w:r>
          </w:p>
          <w:p w14:paraId="686C7979" w14:textId="77777777" w:rsidR="00231BE5" w:rsidRPr="006D2983" w:rsidRDefault="00231BE5" w:rsidP="00C66621">
            <w:pPr>
              <w:pStyle w:val="ListParagraph"/>
              <w:numPr>
                <w:ilvl w:val="0"/>
                <w:numId w:val="8"/>
              </w:numPr>
              <w:contextualSpacing w:val="0"/>
              <w:textAlignment w:val="baseline"/>
            </w:pPr>
            <w:r w:rsidRPr="006D2983">
              <w:t>ROJ</w:t>
            </w:r>
          </w:p>
          <w:p w14:paraId="247D1118" w14:textId="77777777" w:rsidR="00231BE5" w:rsidRPr="006D2983" w:rsidRDefault="00231BE5" w:rsidP="00C66621">
            <w:pPr>
              <w:pStyle w:val="ListParagraph"/>
              <w:numPr>
                <w:ilvl w:val="0"/>
                <w:numId w:val="8"/>
              </w:numPr>
              <w:contextualSpacing w:val="0"/>
              <w:textAlignment w:val="baseline"/>
            </w:pPr>
            <w:r w:rsidRPr="006D2983">
              <w:t>Centralized</w:t>
            </w:r>
          </w:p>
          <w:p w14:paraId="06747FED" w14:textId="318D7E10" w:rsidR="00231BE5" w:rsidRPr="00E7256D" w:rsidRDefault="00231BE5" w:rsidP="00A22945"/>
        </w:tc>
      </w:tr>
    </w:tbl>
    <w:p w14:paraId="7E7E7C73" w14:textId="77777777" w:rsidR="00231BE5" w:rsidRDefault="00231BE5">
      <w:bookmarkStart w:id="16" w:name="_Toc475111612"/>
      <w:r>
        <w:br w:type="page"/>
      </w:r>
    </w:p>
    <w:tbl>
      <w:tblPr>
        <w:tblW w:w="9835" w:type="dxa"/>
        <w:tblLayout w:type="fixed"/>
        <w:tblCellMar>
          <w:left w:w="115" w:type="dxa"/>
          <w:right w:w="115" w:type="dxa"/>
        </w:tblCellMar>
        <w:tblLook w:val="0000" w:firstRow="0" w:lastRow="0" w:firstColumn="0" w:lastColumn="0" w:noHBand="0" w:noVBand="0"/>
      </w:tblPr>
      <w:tblGrid>
        <w:gridCol w:w="9835"/>
      </w:tblGrid>
      <w:tr w:rsidR="00A22945" w:rsidRPr="00A22945" w14:paraId="3E21D8CA" w14:textId="77777777" w:rsidTr="00FB11ED">
        <w:trPr>
          <w:trHeight w:val="212"/>
        </w:trPr>
        <w:tc>
          <w:tcPr>
            <w:tcW w:w="9835" w:type="dxa"/>
            <w:vAlign w:val="center"/>
          </w:tcPr>
          <w:p w14:paraId="13EB1F70" w14:textId="22336D4B" w:rsidR="005424DD" w:rsidRPr="00A22945" w:rsidRDefault="00A22945" w:rsidP="005424DD">
            <w:pPr>
              <w:spacing w:after="120"/>
              <w:jc w:val="center"/>
              <w:textAlignment w:val="baseline"/>
              <w:outlineLvl w:val="0"/>
              <w:rPr>
                <w:rFonts w:ascii="Times New Roman Bold" w:hAnsi="Times New Roman Bold"/>
                <w:b/>
                <w:smallCaps/>
                <w:color w:val="0070C0"/>
                <w:sz w:val="28"/>
                <w:szCs w:val="36"/>
              </w:rPr>
            </w:pPr>
            <w:bookmarkStart w:id="17" w:name="_Toc485284771"/>
            <w:r w:rsidRPr="00A22945">
              <w:rPr>
                <w:rFonts w:ascii="Times New Roman Bold" w:hAnsi="Times New Roman Bold"/>
                <w:b/>
                <w:smallCaps/>
                <w:sz w:val="28"/>
                <w:szCs w:val="36"/>
              </w:rPr>
              <w:lastRenderedPageBreak/>
              <w:t>Topic 3: Presumptive Disabilities – Schedule of Ratings</w:t>
            </w:r>
            <w:bookmarkEnd w:id="16"/>
            <w:bookmarkEnd w:id="17"/>
          </w:p>
        </w:tc>
      </w:tr>
      <w:tr w:rsidR="002F3458" w:rsidRPr="00A22945" w14:paraId="0062F952" w14:textId="77777777" w:rsidTr="00FB11ED">
        <w:trPr>
          <w:trHeight w:val="212"/>
        </w:trPr>
        <w:tc>
          <w:tcPr>
            <w:tcW w:w="9835" w:type="dxa"/>
          </w:tcPr>
          <w:p w14:paraId="6DA36C52" w14:textId="1C89CDA2" w:rsidR="00BC2C82" w:rsidRDefault="00BC2C82" w:rsidP="005424DD">
            <w:pPr>
              <w:jc w:val="center"/>
              <w:textAlignment w:val="baseline"/>
              <w:rPr>
                <w:b/>
              </w:rPr>
            </w:pPr>
            <w:r w:rsidRPr="005424DD">
              <w:rPr>
                <w:b/>
              </w:rPr>
              <w:t>Kidney Cancer</w:t>
            </w:r>
          </w:p>
          <w:p w14:paraId="63C31A86" w14:textId="77777777" w:rsidR="005424DD" w:rsidRPr="005424DD" w:rsidRDefault="005424DD" w:rsidP="005424DD">
            <w:pPr>
              <w:jc w:val="center"/>
              <w:textAlignment w:val="baseline"/>
              <w:rPr>
                <w:b/>
              </w:rPr>
            </w:pPr>
          </w:p>
          <w:p w14:paraId="5DF5D514" w14:textId="08E805C8" w:rsidR="002F3458" w:rsidRPr="006C63A8" w:rsidRDefault="002F3458" w:rsidP="002E4761">
            <w:pPr>
              <w:textAlignment w:val="baseline"/>
            </w:pPr>
            <w:r w:rsidRPr="006C63A8">
              <w:t>Kidney cancer is evaluated under DC 7528</w:t>
            </w:r>
            <w:r w:rsidR="00F47C7D" w:rsidRPr="006C63A8">
              <w:t>.</w:t>
            </w:r>
          </w:p>
          <w:p w14:paraId="3AFC4844" w14:textId="77777777" w:rsidR="002F3458" w:rsidRPr="00A22945" w:rsidRDefault="002F3458" w:rsidP="00A22945">
            <w:pPr>
              <w:spacing w:after="240"/>
              <w:textAlignment w:val="baseline"/>
              <w:rPr>
                <w:b/>
                <w:i/>
                <w:color w:val="0070C0"/>
              </w:rPr>
            </w:pPr>
            <w:r w:rsidRPr="00A22945">
              <w:rPr>
                <w:b/>
                <w:i/>
                <w:noProof/>
                <w:color w:val="0070C0"/>
              </w:rPr>
              <w:drawing>
                <wp:inline distT="0" distB="0" distL="0" distR="0" wp14:anchorId="1D575948" wp14:editId="52F0E3ED">
                  <wp:extent cx="5956529" cy="946298"/>
                  <wp:effectExtent l="19050" t="19050" r="25400" b="2540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82894" cy="966373"/>
                          </a:xfrm>
                          <a:prstGeom prst="rect">
                            <a:avLst/>
                          </a:prstGeom>
                          <a:noFill/>
                          <a:ln w="12700">
                            <a:solidFill>
                              <a:srgbClr val="1F497D"/>
                            </a:solidFill>
                            <a:miter lim="800000"/>
                            <a:headEnd/>
                            <a:tailEnd/>
                          </a:ln>
                          <a:extLst/>
                        </pic:spPr>
                      </pic:pic>
                    </a:graphicData>
                  </a:graphic>
                </wp:inline>
              </w:drawing>
            </w:r>
          </w:p>
          <w:p w14:paraId="27E54869" w14:textId="54267E2B" w:rsidR="002F3458" w:rsidRPr="006C63A8" w:rsidRDefault="002F3458" w:rsidP="002E4761">
            <w:pPr>
              <w:textAlignment w:val="baseline"/>
            </w:pPr>
            <w:r w:rsidRPr="006C63A8">
              <w:t>Single kidney cancer may be treated with nephrectomy</w:t>
            </w:r>
            <w:r w:rsidR="005424DD" w:rsidRPr="006C63A8">
              <w:t>.</w:t>
            </w:r>
          </w:p>
          <w:p w14:paraId="44AA6FE9" w14:textId="77777777" w:rsidR="002F3458" w:rsidRDefault="002F3458" w:rsidP="002E4761">
            <w:pPr>
              <w:spacing w:after="240"/>
              <w:textAlignment w:val="baseline"/>
              <w:rPr>
                <w:b/>
                <w:i/>
                <w:color w:val="0070C0"/>
              </w:rPr>
            </w:pPr>
            <w:r w:rsidRPr="00A22945">
              <w:rPr>
                <w:b/>
                <w:i/>
                <w:noProof/>
                <w:color w:val="0070C0"/>
              </w:rPr>
              <w:drawing>
                <wp:inline distT="0" distB="0" distL="0" distR="0" wp14:anchorId="60EC2FD3" wp14:editId="6BC5BEC0">
                  <wp:extent cx="5987206" cy="478465"/>
                  <wp:effectExtent l="19050" t="19050" r="13970" b="1714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73579" cy="485367"/>
                          </a:xfrm>
                          <a:prstGeom prst="rect">
                            <a:avLst/>
                          </a:prstGeom>
                          <a:noFill/>
                          <a:ln w="12700">
                            <a:solidFill>
                              <a:srgbClr val="1F497D"/>
                            </a:solidFill>
                            <a:miter lim="800000"/>
                            <a:headEnd/>
                            <a:tailEnd/>
                          </a:ln>
                          <a:extLst/>
                        </pic:spPr>
                      </pic:pic>
                    </a:graphicData>
                  </a:graphic>
                </wp:inline>
              </w:drawing>
            </w:r>
          </w:p>
          <w:p w14:paraId="30480877" w14:textId="5E029D72" w:rsidR="00F47C7D" w:rsidRPr="00F47C7D" w:rsidRDefault="00F47C7D" w:rsidP="00F47C7D">
            <w:r>
              <w:t xml:space="preserve">When evaluating a single kidney cancer, consider 38 CFR </w:t>
            </w:r>
            <w:r w:rsidRPr="00F47C7D">
              <w:t>3.383</w:t>
            </w:r>
            <w:r>
              <w:t>, S</w:t>
            </w:r>
            <w:r w:rsidRPr="00F47C7D">
              <w:t>pecial consideration fo</w:t>
            </w:r>
            <w:r>
              <w:t>r paired organs and extremities.</w:t>
            </w:r>
          </w:p>
          <w:p w14:paraId="56798B01" w14:textId="1DAE33E6" w:rsidR="00F47C7D" w:rsidRPr="00F47C7D" w:rsidRDefault="00F47C7D" w:rsidP="00F47C7D">
            <w:r w:rsidRPr="00F47C7D">
              <w:t xml:space="preserve">Compensation is payable for the combinations of service-connected and </w:t>
            </w:r>
            <w:proofErr w:type="spellStart"/>
            <w:r w:rsidRPr="00F47C7D">
              <w:t>nonservice</w:t>
            </w:r>
            <w:proofErr w:type="spellEnd"/>
            <w:r w:rsidRPr="00F47C7D">
              <w:t xml:space="preserve">-connected disabilities as if both disabilities were service-connected, provided the </w:t>
            </w:r>
            <w:proofErr w:type="spellStart"/>
            <w:r w:rsidRPr="00F47C7D">
              <w:t>nonservice</w:t>
            </w:r>
            <w:proofErr w:type="spellEnd"/>
            <w:r w:rsidRPr="00F47C7D">
              <w:t>-connected disability is not the result of the veteran's own willful misconduct.</w:t>
            </w:r>
          </w:p>
          <w:p w14:paraId="2B7312B3" w14:textId="77777777" w:rsidR="00F47C7D" w:rsidRDefault="00F47C7D" w:rsidP="00F47C7D">
            <w:r>
              <w:t>If there is l</w:t>
            </w:r>
            <w:r w:rsidRPr="00F47C7D">
              <w:t xml:space="preserve">oss or loss of use of one kidney as a result of service-connected disability and involvement of the other kidney as a result of </w:t>
            </w:r>
            <w:proofErr w:type="spellStart"/>
            <w:r>
              <w:t>nonservice</w:t>
            </w:r>
            <w:proofErr w:type="spellEnd"/>
            <w:r>
              <w:t>-connected disability, compensation is payable as if both were service-connected.</w:t>
            </w:r>
          </w:p>
          <w:p w14:paraId="013F9C7C" w14:textId="010E6BF6" w:rsidR="004A5AFF" w:rsidRPr="00A22945" w:rsidRDefault="004A5AFF" w:rsidP="00F47C7D">
            <w:pPr>
              <w:rPr>
                <w:b/>
                <w:i/>
                <w:color w:val="0070C0"/>
              </w:rPr>
            </w:pPr>
          </w:p>
        </w:tc>
      </w:tr>
      <w:tr w:rsidR="002F3458" w:rsidRPr="00A22945" w14:paraId="5C171B2A" w14:textId="77777777" w:rsidTr="00FB11ED">
        <w:trPr>
          <w:trHeight w:val="212"/>
        </w:trPr>
        <w:tc>
          <w:tcPr>
            <w:tcW w:w="9835" w:type="dxa"/>
          </w:tcPr>
          <w:p w14:paraId="48977E8E" w14:textId="67FCD3CF" w:rsidR="002F3458" w:rsidRPr="00A22945" w:rsidRDefault="002F3458" w:rsidP="002E4761">
            <w:pPr>
              <w:textAlignment w:val="baseline"/>
            </w:pPr>
            <w:r w:rsidRPr="00A22945">
              <w:t>If both kidneys are diseased, long-term dialysis may be required.</w:t>
            </w:r>
            <w:r w:rsidR="00D1621F">
              <w:t xml:space="preserve"> </w:t>
            </w:r>
            <w:r w:rsidRPr="00A22945">
              <w:t>Regular dialysis is evaluated under renal dysfunction and warrants a 100 percent evaluation</w:t>
            </w:r>
          </w:p>
          <w:p w14:paraId="5E0E0D0A" w14:textId="275E2757" w:rsidR="002F3458" w:rsidRPr="00A22945" w:rsidRDefault="002F3458" w:rsidP="002E4761">
            <w:pPr>
              <w:spacing w:after="240"/>
              <w:textAlignment w:val="baseline"/>
              <w:rPr>
                <w:b/>
                <w:i/>
              </w:rPr>
            </w:pPr>
            <w:r w:rsidRPr="00A22945">
              <w:rPr>
                <w:b/>
                <w:i/>
                <w:noProof/>
              </w:rPr>
              <w:drawing>
                <wp:inline distT="0" distB="0" distL="0" distR="0" wp14:anchorId="2248B840" wp14:editId="1B5F0561">
                  <wp:extent cx="5901070" cy="1675122"/>
                  <wp:effectExtent l="19050" t="19050" r="23495" b="2095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70990" cy="1694970"/>
                          </a:xfrm>
                          <a:prstGeom prst="rect">
                            <a:avLst/>
                          </a:prstGeom>
                          <a:noFill/>
                          <a:ln w="12700">
                            <a:solidFill>
                              <a:srgbClr val="1F497D"/>
                            </a:solidFill>
                            <a:miter lim="800000"/>
                            <a:headEnd/>
                            <a:tailEnd/>
                          </a:ln>
                          <a:extLst/>
                        </pic:spPr>
                      </pic:pic>
                    </a:graphicData>
                  </a:graphic>
                </wp:inline>
              </w:drawing>
            </w:r>
          </w:p>
        </w:tc>
      </w:tr>
      <w:tr w:rsidR="0083226A" w:rsidRPr="00A22945" w14:paraId="6FC85576" w14:textId="77777777" w:rsidTr="00FB11ED">
        <w:trPr>
          <w:trHeight w:val="212"/>
        </w:trPr>
        <w:tc>
          <w:tcPr>
            <w:tcW w:w="9835" w:type="dxa"/>
          </w:tcPr>
          <w:p w14:paraId="0AEAEC64" w14:textId="18CE4823" w:rsidR="00351EEB" w:rsidRPr="00351EEB" w:rsidRDefault="00291BB1" w:rsidP="00351EEB">
            <w:pPr>
              <w:overflowPunct/>
              <w:autoSpaceDE/>
              <w:autoSpaceDN/>
              <w:adjustRightInd/>
              <w:spacing w:before="75"/>
              <w:rPr>
                <w:szCs w:val="24"/>
              </w:rPr>
            </w:pPr>
            <w:r>
              <w:rPr>
                <w:szCs w:val="24"/>
              </w:rPr>
              <w:t xml:space="preserve">Each year regional offices (ROs) </w:t>
            </w:r>
            <w:r w:rsidR="00351EEB" w:rsidRPr="00351EEB">
              <w:rPr>
                <w:szCs w:val="24"/>
              </w:rPr>
              <w:t>must review 100-percent evaluations that are based on the need for regular hemodialysis to determine whether the Veteran has discontinued hemodialysis because of kidney transplant surgery.</w:t>
            </w:r>
            <w:r>
              <w:rPr>
                <w:szCs w:val="24"/>
              </w:rPr>
              <w:t xml:space="preserve"> Refer to M21-1 III.iv.4.I.3.t</w:t>
            </w:r>
            <w:r w:rsidR="00BC2C82">
              <w:rPr>
                <w:szCs w:val="24"/>
              </w:rPr>
              <w:t xml:space="preserve"> </w:t>
            </w:r>
            <w:r>
              <w:rPr>
                <w:szCs w:val="24"/>
              </w:rPr>
              <w:t xml:space="preserve">– </w:t>
            </w:r>
            <w:r w:rsidR="00BC2C82">
              <w:rPr>
                <w:szCs w:val="24"/>
              </w:rPr>
              <w:t>Annual Review of Evaluations Based on Hemodialysis, for more information.</w:t>
            </w:r>
          </w:p>
          <w:p w14:paraId="717B7E02" w14:textId="77777777" w:rsidR="00351EEB" w:rsidRPr="00351EEB" w:rsidRDefault="00351EEB" w:rsidP="00351EEB">
            <w:pPr>
              <w:overflowPunct/>
              <w:autoSpaceDE/>
              <w:autoSpaceDN/>
              <w:adjustRightInd/>
              <w:spacing w:before="0"/>
              <w:rPr>
                <w:rFonts w:ascii="Arial" w:hAnsi="Arial" w:cs="Arial"/>
                <w:i/>
                <w:sz w:val="15"/>
                <w:szCs w:val="15"/>
              </w:rPr>
            </w:pPr>
            <w:r w:rsidRPr="00351EEB">
              <w:rPr>
                <w:rFonts w:ascii="Arial" w:hAnsi="Arial" w:cs="Arial"/>
                <w:i/>
                <w:sz w:val="15"/>
                <w:szCs w:val="15"/>
              </w:rPr>
              <w:lastRenderedPageBreak/>
              <w:t> </w:t>
            </w:r>
          </w:p>
          <w:p w14:paraId="7C1D8927" w14:textId="7BF7B458" w:rsidR="0083226A" w:rsidRPr="006C63A8" w:rsidRDefault="0083226A" w:rsidP="00BC2C82">
            <w:pPr>
              <w:textAlignment w:val="baseline"/>
            </w:pPr>
            <w:r w:rsidRPr="006C63A8">
              <w:t>Evaluating renal conditions using Blood Urea Nitrogen (BUN)</w:t>
            </w:r>
            <w:r w:rsidR="006C63A8">
              <w:t>:</w:t>
            </w:r>
          </w:p>
          <w:p w14:paraId="35D4AB98" w14:textId="1841B45D" w:rsidR="00BC2C82" w:rsidRPr="00BC2C82" w:rsidRDefault="00BC2C82" w:rsidP="00BC2C82">
            <w:pPr>
              <w:overflowPunct/>
              <w:autoSpaceDE/>
              <w:autoSpaceDN/>
              <w:adjustRightInd/>
              <w:spacing w:before="100" w:beforeAutospacing="1" w:after="100" w:afterAutospacing="1"/>
              <w:rPr>
                <w:szCs w:val="24"/>
              </w:rPr>
            </w:pPr>
            <w:r w:rsidRPr="00BC2C82">
              <w:rPr>
                <w:szCs w:val="24"/>
              </w:rPr>
              <w:t>Do not use elevated blood urea nitrogen (BUN) levels between 20mg% and 40mg% to support a finding of definite decrease in kidney function for assignment of a 60-percent disability eva</w:t>
            </w:r>
            <w:r w:rsidR="00291BB1">
              <w:rPr>
                <w:szCs w:val="24"/>
              </w:rPr>
              <w:t>luation for a renal disability.</w:t>
            </w:r>
            <w:r w:rsidRPr="00BC2C82">
              <w:rPr>
                <w:szCs w:val="24"/>
              </w:rPr>
              <w:t xml:space="preserve"> BUN values can vary due to many factors such as</w:t>
            </w:r>
          </w:p>
          <w:p w14:paraId="3AC7BA10" w14:textId="77777777" w:rsidR="00BC2C82" w:rsidRPr="00BC2C82" w:rsidRDefault="00BC2C82" w:rsidP="00C66621">
            <w:pPr>
              <w:numPr>
                <w:ilvl w:val="0"/>
                <w:numId w:val="16"/>
              </w:numPr>
              <w:overflowPunct/>
              <w:autoSpaceDE/>
              <w:autoSpaceDN/>
              <w:adjustRightInd/>
              <w:spacing w:before="100" w:beforeAutospacing="1" w:after="100" w:afterAutospacing="1"/>
              <w:rPr>
                <w:szCs w:val="24"/>
              </w:rPr>
            </w:pPr>
            <w:r w:rsidRPr="00BC2C82">
              <w:rPr>
                <w:szCs w:val="24"/>
              </w:rPr>
              <w:t>age and sex of the individual</w:t>
            </w:r>
          </w:p>
          <w:p w14:paraId="1B39DB78" w14:textId="77777777" w:rsidR="00BC2C82" w:rsidRPr="00BC2C82" w:rsidRDefault="00BC2C82" w:rsidP="00C66621">
            <w:pPr>
              <w:numPr>
                <w:ilvl w:val="0"/>
                <w:numId w:val="16"/>
              </w:numPr>
              <w:overflowPunct/>
              <w:autoSpaceDE/>
              <w:autoSpaceDN/>
              <w:adjustRightInd/>
              <w:spacing w:before="100" w:beforeAutospacing="1" w:after="100" w:afterAutospacing="1"/>
              <w:rPr>
                <w:szCs w:val="24"/>
              </w:rPr>
            </w:pPr>
            <w:r w:rsidRPr="00BC2C82">
              <w:rPr>
                <w:szCs w:val="24"/>
              </w:rPr>
              <w:t>blood loss through the gastrointestinal tract</w:t>
            </w:r>
          </w:p>
          <w:p w14:paraId="15A55467" w14:textId="77777777" w:rsidR="00BC2C82" w:rsidRPr="00BC2C82" w:rsidRDefault="00BC2C82" w:rsidP="00C66621">
            <w:pPr>
              <w:numPr>
                <w:ilvl w:val="0"/>
                <w:numId w:val="16"/>
              </w:numPr>
              <w:overflowPunct/>
              <w:autoSpaceDE/>
              <w:autoSpaceDN/>
              <w:adjustRightInd/>
              <w:spacing w:before="100" w:beforeAutospacing="1" w:after="100" w:afterAutospacing="1"/>
              <w:rPr>
                <w:szCs w:val="24"/>
              </w:rPr>
            </w:pPr>
            <w:r w:rsidRPr="00BC2C82">
              <w:rPr>
                <w:szCs w:val="24"/>
              </w:rPr>
              <w:t>use of steroids for treatment of other chronic diseases</w:t>
            </w:r>
          </w:p>
          <w:p w14:paraId="02A3A3AD" w14:textId="77777777" w:rsidR="00BC2C82" w:rsidRPr="00BC2C82" w:rsidRDefault="00BC2C82" w:rsidP="00C66621">
            <w:pPr>
              <w:numPr>
                <w:ilvl w:val="0"/>
                <w:numId w:val="16"/>
              </w:numPr>
              <w:overflowPunct/>
              <w:autoSpaceDE/>
              <w:autoSpaceDN/>
              <w:adjustRightInd/>
              <w:spacing w:before="100" w:beforeAutospacing="1" w:after="100" w:afterAutospacing="1"/>
              <w:rPr>
                <w:szCs w:val="24"/>
              </w:rPr>
            </w:pPr>
            <w:r w:rsidRPr="00BC2C82">
              <w:rPr>
                <w:szCs w:val="24"/>
              </w:rPr>
              <w:t>level of hydration in the body, and</w:t>
            </w:r>
          </w:p>
          <w:p w14:paraId="5ACAD66C" w14:textId="77777777" w:rsidR="00BC2C82" w:rsidRPr="00BC2C82" w:rsidRDefault="00BC2C82" w:rsidP="00C66621">
            <w:pPr>
              <w:numPr>
                <w:ilvl w:val="0"/>
                <w:numId w:val="16"/>
              </w:numPr>
              <w:overflowPunct/>
              <w:autoSpaceDE/>
              <w:autoSpaceDN/>
              <w:adjustRightInd/>
              <w:spacing w:before="100" w:beforeAutospacing="1" w:after="100" w:afterAutospacing="1"/>
              <w:rPr>
                <w:szCs w:val="24"/>
              </w:rPr>
            </w:pPr>
            <w:proofErr w:type="gramStart"/>
            <w:r w:rsidRPr="00BC2C82">
              <w:rPr>
                <w:szCs w:val="24"/>
              </w:rPr>
              <w:t>the</w:t>
            </w:r>
            <w:proofErr w:type="gramEnd"/>
            <w:r w:rsidRPr="00BC2C82">
              <w:rPr>
                <w:szCs w:val="24"/>
              </w:rPr>
              <w:t xml:space="preserve"> prescription of too much protein for patients receiving intravenous nutrition in the hospital.</w:t>
            </w:r>
          </w:p>
          <w:p w14:paraId="3290DE61" w14:textId="41E641B6" w:rsidR="00BC2C82" w:rsidRPr="00BC2C82" w:rsidRDefault="00BC2C82" w:rsidP="00BC2C82">
            <w:pPr>
              <w:overflowPunct/>
              <w:autoSpaceDE/>
              <w:autoSpaceDN/>
              <w:adjustRightInd/>
              <w:spacing w:before="100" w:beforeAutospacing="1" w:after="100" w:afterAutospacing="1"/>
              <w:rPr>
                <w:szCs w:val="24"/>
              </w:rPr>
            </w:pPr>
            <w:r w:rsidRPr="00BC2C82">
              <w:rPr>
                <w:szCs w:val="24"/>
              </w:rPr>
              <w:t>BUN testing is typically employed to screen for kidney disease or for a general assessment o</w:t>
            </w:r>
            <w:r w:rsidR="00291BB1">
              <w:rPr>
                <w:szCs w:val="24"/>
              </w:rPr>
              <w:t>f the condition of the kidneys.</w:t>
            </w:r>
            <w:r w:rsidRPr="00BC2C82">
              <w:rPr>
                <w:szCs w:val="24"/>
              </w:rPr>
              <w:t xml:space="preserve"> BUN is analyzed with respect to the other laboratory values such as creatinine and the glomerular filtration rate (</w:t>
            </w:r>
            <w:proofErr w:type="spellStart"/>
            <w:r w:rsidRPr="00BC2C82">
              <w:rPr>
                <w:szCs w:val="24"/>
              </w:rPr>
              <w:t>eGFR</w:t>
            </w:r>
            <w:proofErr w:type="spellEnd"/>
            <w:r w:rsidRPr="00BC2C82">
              <w:rPr>
                <w:szCs w:val="24"/>
              </w:rPr>
              <w:t>) to provide a better assessment of kidney function.</w:t>
            </w:r>
          </w:p>
          <w:p w14:paraId="7AB0045B" w14:textId="77777777" w:rsidR="00BC2C82" w:rsidRPr="00BC2C82" w:rsidRDefault="00BC2C82" w:rsidP="00BC2C82">
            <w:pPr>
              <w:overflowPunct/>
              <w:autoSpaceDE/>
              <w:autoSpaceDN/>
              <w:adjustRightInd/>
              <w:spacing w:before="100" w:beforeAutospacing="1" w:after="100" w:afterAutospacing="1"/>
              <w:rPr>
                <w:szCs w:val="24"/>
              </w:rPr>
            </w:pPr>
            <w:r w:rsidRPr="00BC2C82">
              <w:rPr>
                <w:bCs/>
                <w:i/>
                <w:iCs/>
                <w:szCs w:val="24"/>
              </w:rPr>
              <w:t>Important</w:t>
            </w:r>
            <w:r w:rsidRPr="00BC2C82">
              <w:rPr>
                <w:szCs w:val="24"/>
              </w:rPr>
              <w:t>:</w:t>
            </w:r>
          </w:p>
          <w:p w14:paraId="4DA3FE16" w14:textId="77777777" w:rsidR="00BC2C82" w:rsidRPr="00BC2C82" w:rsidRDefault="00BC2C82" w:rsidP="00C66621">
            <w:pPr>
              <w:numPr>
                <w:ilvl w:val="0"/>
                <w:numId w:val="17"/>
              </w:numPr>
              <w:overflowPunct/>
              <w:autoSpaceDE/>
              <w:autoSpaceDN/>
              <w:adjustRightInd/>
              <w:spacing w:before="100" w:beforeAutospacing="1" w:after="100" w:afterAutospacing="1"/>
              <w:rPr>
                <w:szCs w:val="24"/>
              </w:rPr>
            </w:pPr>
            <w:r w:rsidRPr="00BC2C82">
              <w:rPr>
                <w:szCs w:val="24"/>
              </w:rPr>
              <w:t xml:space="preserve">Elevated BUN of 40mg% or greater can be used to support an evaluation of 80 or 100 percent for renal disease as described in </w:t>
            </w:r>
            <w:hyperlink r:id="rId24" w:tgtFrame="_blank" w:history="1">
              <w:r w:rsidRPr="00BC2C82">
                <w:rPr>
                  <w:color w:val="444444"/>
                  <w:szCs w:val="24"/>
                </w:rPr>
                <w:t>38 CFR 4.115a</w:t>
              </w:r>
            </w:hyperlink>
            <w:r w:rsidRPr="00BC2C82">
              <w:rPr>
                <w:szCs w:val="24"/>
              </w:rPr>
              <w:t>.</w:t>
            </w:r>
          </w:p>
          <w:p w14:paraId="2757628B" w14:textId="77777777" w:rsidR="00BC2C82" w:rsidRPr="00BC2C82" w:rsidRDefault="00BC2C82" w:rsidP="00C66621">
            <w:pPr>
              <w:numPr>
                <w:ilvl w:val="0"/>
                <w:numId w:val="17"/>
              </w:numPr>
              <w:overflowPunct/>
              <w:autoSpaceDE/>
              <w:autoSpaceDN/>
              <w:adjustRightInd/>
              <w:spacing w:before="100" w:beforeAutospacing="1" w:after="100" w:afterAutospacing="1"/>
              <w:rPr>
                <w:szCs w:val="24"/>
              </w:rPr>
            </w:pPr>
            <w:r w:rsidRPr="00BC2C82">
              <w:rPr>
                <w:szCs w:val="24"/>
              </w:rPr>
              <w:t xml:space="preserve">When the BUN is elevated at greater than 20mg% but less than 40mg%, do </w:t>
            </w:r>
            <w:r w:rsidRPr="00BC2C82">
              <w:rPr>
                <w:b/>
                <w:bCs/>
                <w:i/>
                <w:iCs/>
                <w:szCs w:val="24"/>
              </w:rPr>
              <w:t>not</w:t>
            </w:r>
            <w:r w:rsidRPr="00BC2C82">
              <w:rPr>
                <w:szCs w:val="24"/>
              </w:rPr>
              <w:t xml:space="preserve"> enter the BUN value in the Evaluation Builder or use this value alone to support a finding of definite decrease in kidney function.</w:t>
            </w:r>
          </w:p>
          <w:p w14:paraId="23F947DF" w14:textId="68CE7F6A" w:rsidR="0083226A" w:rsidRPr="006C63A8" w:rsidRDefault="0083226A" w:rsidP="00BC2C82">
            <w:pPr>
              <w:textAlignment w:val="baseline"/>
            </w:pPr>
            <w:r w:rsidRPr="006C63A8">
              <w:t>Evaluating renal conditions using creatinine</w:t>
            </w:r>
            <w:r w:rsidR="006C63A8">
              <w:t>:</w:t>
            </w:r>
          </w:p>
          <w:p w14:paraId="00620641" w14:textId="646C192F" w:rsidR="00BC2C82" w:rsidRPr="00BC2C82" w:rsidRDefault="00BC2C82" w:rsidP="00BC2C82">
            <w:pPr>
              <w:rPr>
                <w:szCs w:val="24"/>
              </w:rPr>
            </w:pPr>
            <w:r w:rsidRPr="00BC2C82">
              <w:rPr>
                <w:szCs w:val="24"/>
              </w:rPr>
              <w:t>Creatinine is a normal breakdown product from muscle which the kidneys cleans</w:t>
            </w:r>
            <w:r w:rsidR="00291BB1">
              <w:rPr>
                <w:szCs w:val="24"/>
              </w:rPr>
              <w:t xml:space="preserve">e from blood. </w:t>
            </w:r>
            <w:r w:rsidRPr="00BC2C82">
              <w:rPr>
                <w:szCs w:val="24"/>
              </w:rPr>
              <w:t>As the kidneys become impaired, the creatinine level in the blood will increase due to poor clearance of creatinine by the kidneys.</w:t>
            </w:r>
          </w:p>
          <w:p w14:paraId="6C98A492" w14:textId="6769AF86" w:rsidR="00BC2C82" w:rsidRPr="00BC2C82" w:rsidRDefault="00BC2C82" w:rsidP="00BC2C82">
            <w:pPr>
              <w:rPr>
                <w:szCs w:val="24"/>
              </w:rPr>
            </w:pPr>
            <w:r w:rsidRPr="00BC2C82">
              <w:rPr>
                <w:szCs w:val="24"/>
              </w:rPr>
              <w:t>Creatinine levels above normal but less than 4mg% are abnormal and indicate decreased renal function that would warrant a 60-percent evaluation. </w:t>
            </w:r>
          </w:p>
          <w:p w14:paraId="712F2A12" w14:textId="6916C685" w:rsidR="00BC2C82" w:rsidRPr="00BC2C82" w:rsidRDefault="00BC2C82" w:rsidP="00BC2C82">
            <w:pPr>
              <w:rPr>
                <w:szCs w:val="24"/>
              </w:rPr>
            </w:pPr>
            <w:r w:rsidRPr="00BC2C82">
              <w:rPr>
                <w:rStyle w:val="Emphasis"/>
                <w:bCs/>
                <w:szCs w:val="24"/>
              </w:rPr>
              <w:t>Important</w:t>
            </w:r>
            <w:r w:rsidR="00291BB1">
              <w:rPr>
                <w:szCs w:val="24"/>
              </w:rPr>
              <w:t>:</w:t>
            </w:r>
            <w:r w:rsidRPr="00BC2C82">
              <w:rPr>
                <w:szCs w:val="24"/>
              </w:rPr>
              <w:t xml:space="preserve"> Normal creatinine levels vary between me</w:t>
            </w:r>
            <w:r w:rsidR="00291BB1">
              <w:rPr>
                <w:szCs w:val="24"/>
              </w:rPr>
              <w:t xml:space="preserve">n and women and by laboratory. </w:t>
            </w:r>
            <w:r w:rsidRPr="00BC2C82">
              <w:rPr>
                <w:szCs w:val="24"/>
              </w:rPr>
              <w:t>The lab report should note the normal level used by that particular laboratory for the patient. </w:t>
            </w:r>
          </w:p>
          <w:p w14:paraId="46173F73" w14:textId="29EB0C1E" w:rsidR="00BC2C82" w:rsidRPr="00BC2C82" w:rsidRDefault="00BC2C82" w:rsidP="00BC2C82">
            <w:pPr>
              <w:rPr>
                <w:szCs w:val="24"/>
              </w:rPr>
            </w:pPr>
            <w:r w:rsidRPr="00BC2C82">
              <w:rPr>
                <w:rStyle w:val="Emphasis"/>
                <w:bCs/>
                <w:szCs w:val="24"/>
              </w:rPr>
              <w:t>Example</w:t>
            </w:r>
            <w:r w:rsidR="00291BB1">
              <w:rPr>
                <w:szCs w:val="24"/>
              </w:rPr>
              <w:t>:</w:t>
            </w:r>
            <w:r w:rsidRPr="00BC2C82">
              <w:rPr>
                <w:szCs w:val="24"/>
              </w:rPr>
              <w:t xml:space="preserve"> A Veteran files for an increased evaluation of his SC renal disease, e</w:t>
            </w:r>
            <w:r w:rsidR="00291BB1">
              <w:rPr>
                <w:szCs w:val="24"/>
              </w:rPr>
              <w:t xml:space="preserve">valuated as renal dysfunction. </w:t>
            </w:r>
            <w:r w:rsidRPr="00BC2C82">
              <w:rPr>
                <w:szCs w:val="24"/>
              </w:rPr>
              <w:t xml:space="preserve">He submits a lab report, which notes the lab’s </w:t>
            </w:r>
            <w:r w:rsidR="00291BB1">
              <w:rPr>
                <w:szCs w:val="24"/>
              </w:rPr>
              <w:t>highest normal level is 1.2mg%.</w:t>
            </w:r>
            <w:r w:rsidRPr="00BC2C82">
              <w:rPr>
                <w:szCs w:val="24"/>
              </w:rPr>
              <w:t xml:space="preserve"> The Veteran’s results show a creatinine level of 1.4mg%.</w:t>
            </w:r>
          </w:p>
          <w:p w14:paraId="21BF56DF" w14:textId="0138EF0C" w:rsidR="00BC2C82" w:rsidRPr="00BC2C82" w:rsidRDefault="00BC2C82" w:rsidP="00BC2C82">
            <w:pPr>
              <w:rPr>
                <w:szCs w:val="24"/>
              </w:rPr>
            </w:pPr>
            <w:r w:rsidRPr="00BC2C82">
              <w:rPr>
                <w:rStyle w:val="Emphasis"/>
                <w:bCs/>
                <w:szCs w:val="24"/>
              </w:rPr>
              <w:t>Result</w:t>
            </w:r>
            <w:r w:rsidR="00291BB1">
              <w:rPr>
                <w:szCs w:val="24"/>
              </w:rPr>
              <w:t>:</w:t>
            </w:r>
            <w:r w:rsidRPr="00BC2C82">
              <w:rPr>
                <w:szCs w:val="24"/>
              </w:rPr>
              <w:t xml:space="preserve"> Assign a 60-percent evaluation for renal dysfunction under </w:t>
            </w:r>
            <w:hyperlink r:id="rId25" w:tgtFrame="_blank" w:history="1">
              <w:r w:rsidRPr="00BC2C82">
                <w:rPr>
                  <w:rStyle w:val="Hyperlink"/>
                  <w:szCs w:val="24"/>
                </w:rPr>
                <w:t>38 CFR 4.115b</w:t>
              </w:r>
            </w:hyperlink>
            <w:r w:rsidRPr="00BC2C82">
              <w:rPr>
                <w:szCs w:val="24"/>
              </w:rPr>
              <w:t>.</w:t>
            </w:r>
          </w:p>
          <w:p w14:paraId="47D0275D" w14:textId="77777777" w:rsidR="0083226A" w:rsidRDefault="0083226A" w:rsidP="00BC2C82">
            <w:pPr>
              <w:textAlignment w:val="baseline"/>
              <w:rPr>
                <w:b/>
                <w:i/>
              </w:rPr>
            </w:pPr>
          </w:p>
          <w:p w14:paraId="2A61D5AF" w14:textId="77777777" w:rsidR="005424DD" w:rsidRDefault="005424DD" w:rsidP="00BC2C82">
            <w:pPr>
              <w:textAlignment w:val="baseline"/>
              <w:rPr>
                <w:b/>
                <w:i/>
              </w:rPr>
            </w:pPr>
          </w:p>
          <w:p w14:paraId="7090DF29" w14:textId="77777777" w:rsidR="005424DD" w:rsidRDefault="005424DD" w:rsidP="00BC2C82">
            <w:pPr>
              <w:textAlignment w:val="baseline"/>
              <w:rPr>
                <w:b/>
                <w:i/>
              </w:rPr>
            </w:pPr>
          </w:p>
          <w:p w14:paraId="45F8AB16" w14:textId="77777777" w:rsidR="00BC2C82" w:rsidRPr="00351EEB" w:rsidRDefault="00BC2C82" w:rsidP="00BC2C82">
            <w:pPr>
              <w:textAlignment w:val="baseline"/>
              <w:rPr>
                <w:b/>
                <w:i/>
              </w:rPr>
            </w:pPr>
          </w:p>
        </w:tc>
      </w:tr>
      <w:tr w:rsidR="0083226A" w:rsidRPr="00A22945" w14:paraId="78545A2D" w14:textId="77777777" w:rsidTr="00FB11ED">
        <w:trPr>
          <w:trHeight w:val="212"/>
        </w:trPr>
        <w:tc>
          <w:tcPr>
            <w:tcW w:w="9835" w:type="dxa"/>
          </w:tcPr>
          <w:p w14:paraId="36CFC96C" w14:textId="54FAF17B" w:rsidR="00BC2C82" w:rsidRPr="006C63A8" w:rsidRDefault="00BC2C82">
            <w:r w:rsidRPr="006C63A8">
              <w:lastRenderedPageBreak/>
              <w:t>Limits on Separate Evaluation of Nephritis and Cardiovascular Conditions</w:t>
            </w:r>
            <w:r w:rsidR="006C63A8">
              <w:t>:</w:t>
            </w:r>
          </w:p>
          <w:tbl>
            <w:tblPr>
              <w:tblW w:w="9720" w:type="dxa"/>
              <w:tblLayout w:type="fixed"/>
              <w:tblCellMar>
                <w:left w:w="0" w:type="dxa"/>
                <w:right w:w="0" w:type="dxa"/>
              </w:tblCellMar>
              <w:tblLook w:val="04A0" w:firstRow="1" w:lastRow="0" w:firstColumn="1" w:lastColumn="0" w:noHBand="0" w:noVBand="1"/>
            </w:tblPr>
            <w:tblGrid>
              <w:gridCol w:w="9720"/>
            </w:tblGrid>
            <w:tr w:rsidR="00BC2C82" w:rsidRPr="00BC2C82" w14:paraId="70959DB3" w14:textId="77777777" w:rsidTr="00BC2C82">
              <w:tc>
                <w:tcPr>
                  <w:tcW w:w="9720" w:type="dxa"/>
                  <w:vAlign w:val="bottom"/>
                  <w:hideMark/>
                </w:tcPr>
                <w:p w14:paraId="1BF5DE08" w14:textId="77777777" w:rsidR="00BC2C82" w:rsidRPr="00BC2C82" w:rsidRDefault="005457F5" w:rsidP="00BC2C82">
                  <w:hyperlink r:id="rId26" w:history="1">
                    <w:r w:rsidR="00BC2C82" w:rsidRPr="00BC2C82">
                      <w:rPr>
                        <w:rStyle w:val="Hyperlink"/>
                        <w:szCs w:val="24"/>
                      </w:rPr>
                      <w:t>38 CFR 4.115</w:t>
                    </w:r>
                  </w:hyperlink>
                  <w:r w:rsidR="00BC2C82" w:rsidRPr="00BC2C82">
                    <w:t xml:space="preserve"> states that separate ratings cannot be assigned for disability from disease of the heart and any form of nephritis.</w:t>
                  </w:r>
                </w:p>
                <w:p w14:paraId="19FE201F" w14:textId="29CAC8BD" w:rsidR="00BC2C82" w:rsidRPr="00BC2C82" w:rsidRDefault="00BC2C82" w:rsidP="00BC2C82">
                  <w:r w:rsidRPr="00BC2C82">
                    <w:t>The rationale is that there is a close interrelationship between cardiovascular disabilities and nephritis.</w:t>
                  </w:r>
                </w:p>
                <w:p w14:paraId="64039B49" w14:textId="6383CE21" w:rsidR="00CC6ED3" w:rsidRDefault="00CC6ED3" w:rsidP="00BC2C82"/>
                <w:p w14:paraId="3F72D697" w14:textId="79693A2D" w:rsidR="00BC2C82" w:rsidRPr="00BC2C82" w:rsidRDefault="00BC2C82" w:rsidP="00BC2C82">
                  <w:r w:rsidRPr="00BC2C82">
                    <w:rPr>
                      <w:rStyle w:val="Emphasis"/>
                      <w:bCs/>
                      <w:szCs w:val="24"/>
                    </w:rPr>
                    <w:t>Example</w:t>
                  </w:r>
                  <w:r w:rsidRPr="00BC2C82">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5"/>
                    <w:gridCol w:w="3990"/>
                    <w:gridCol w:w="600"/>
                  </w:tblGrid>
                  <w:tr w:rsidR="00BC2C82" w:rsidRPr="00BC2C82" w14:paraId="3A6B4EC9" w14:textId="77777777" w:rsidTr="00BC2C82">
                    <w:trPr>
                      <w:jc w:val="center"/>
                    </w:trPr>
                    <w:tc>
                      <w:tcPr>
                        <w:tcW w:w="975" w:type="dxa"/>
                        <w:vAlign w:val="bottom"/>
                        <w:hideMark/>
                      </w:tcPr>
                      <w:p w14:paraId="339F23DE" w14:textId="77777777" w:rsidR="00BC2C82" w:rsidRPr="00BC2C82" w:rsidRDefault="00BC2C82" w:rsidP="00BC2C82">
                        <w:r w:rsidRPr="00BC2C82">
                          <w:t>7101</w:t>
                        </w:r>
                      </w:p>
                    </w:tc>
                    <w:tc>
                      <w:tcPr>
                        <w:tcW w:w="3990" w:type="dxa"/>
                        <w:vAlign w:val="bottom"/>
                        <w:hideMark/>
                      </w:tcPr>
                      <w:p w14:paraId="7B2FBA49" w14:textId="77777777" w:rsidR="00BC2C82" w:rsidRPr="00BC2C82" w:rsidRDefault="00BC2C82" w:rsidP="00BC2C82">
                        <w:r w:rsidRPr="00BC2C82">
                          <w:t>Hypertension</w:t>
                        </w:r>
                      </w:p>
                    </w:tc>
                    <w:tc>
                      <w:tcPr>
                        <w:tcW w:w="600" w:type="dxa"/>
                        <w:vAlign w:val="bottom"/>
                        <w:hideMark/>
                      </w:tcPr>
                      <w:p w14:paraId="710A7D06" w14:textId="77777777" w:rsidR="00BC2C82" w:rsidRPr="00BC2C82" w:rsidRDefault="00BC2C82" w:rsidP="00BC2C82">
                        <w:r w:rsidRPr="00BC2C82">
                          <w:t>10</w:t>
                        </w:r>
                      </w:p>
                    </w:tc>
                  </w:tr>
                  <w:tr w:rsidR="00BC2C82" w:rsidRPr="00BC2C82" w14:paraId="1A6620F6" w14:textId="77777777" w:rsidTr="00BC2C82">
                    <w:trPr>
                      <w:jc w:val="center"/>
                    </w:trPr>
                    <w:tc>
                      <w:tcPr>
                        <w:tcW w:w="975" w:type="dxa"/>
                        <w:vAlign w:val="bottom"/>
                        <w:hideMark/>
                      </w:tcPr>
                      <w:p w14:paraId="41BA3562" w14:textId="77777777" w:rsidR="00BC2C82" w:rsidRPr="00BC2C82" w:rsidRDefault="00BC2C82" w:rsidP="00BC2C82">
                        <w:r w:rsidRPr="00BC2C82">
                          <w:t>7502</w:t>
                        </w:r>
                      </w:p>
                    </w:tc>
                    <w:tc>
                      <w:tcPr>
                        <w:tcW w:w="3990" w:type="dxa"/>
                        <w:vAlign w:val="bottom"/>
                        <w:hideMark/>
                      </w:tcPr>
                      <w:p w14:paraId="1F9ECB91" w14:textId="77777777" w:rsidR="00BC2C82" w:rsidRPr="00BC2C82" w:rsidRDefault="00BC2C82" w:rsidP="00BC2C82">
                        <w:r w:rsidRPr="00BC2C82">
                          <w:t>Nephritis</w:t>
                        </w:r>
                      </w:p>
                    </w:tc>
                    <w:tc>
                      <w:tcPr>
                        <w:tcW w:w="600" w:type="dxa"/>
                        <w:vAlign w:val="bottom"/>
                        <w:hideMark/>
                      </w:tcPr>
                      <w:p w14:paraId="29F440C9" w14:textId="77777777" w:rsidR="00BC2C82" w:rsidRPr="00BC2C82" w:rsidRDefault="00BC2C82" w:rsidP="00BC2C82">
                        <w:r w:rsidRPr="00BC2C82">
                          <w:t>60</w:t>
                        </w:r>
                      </w:p>
                    </w:tc>
                  </w:tr>
                </w:tbl>
                <w:p w14:paraId="54E9B773" w14:textId="77777777" w:rsidR="00CC6ED3" w:rsidRDefault="00CC6ED3" w:rsidP="00BC2C82"/>
                <w:p w14:paraId="5677AA7C" w14:textId="77777777" w:rsidR="00BC2C82" w:rsidRPr="00BC2C82" w:rsidRDefault="00BC2C82" w:rsidP="00BC2C82">
                  <w:r w:rsidRPr="00BC2C82">
                    <w:t xml:space="preserve">This would </w:t>
                  </w:r>
                  <w:r w:rsidRPr="00BC2C82">
                    <w:rPr>
                      <w:rStyle w:val="Emphasis"/>
                      <w:bCs/>
                      <w:szCs w:val="24"/>
                    </w:rPr>
                    <w:t>not</w:t>
                  </w:r>
                  <w:r w:rsidRPr="00BC2C82">
                    <w:t xml:space="preserve"> be permitted under </w:t>
                  </w:r>
                  <w:hyperlink r:id="rId27" w:history="1">
                    <w:r w:rsidRPr="00BC2C82">
                      <w:rPr>
                        <w:rStyle w:val="Hyperlink"/>
                        <w:szCs w:val="24"/>
                      </w:rPr>
                      <w:t>38 CFR 4.115</w:t>
                    </w:r>
                  </w:hyperlink>
                  <w:r w:rsidRPr="00BC2C82">
                    <w:t xml:space="preserve"> </w:t>
                  </w:r>
                  <w:r w:rsidRPr="00BC2C82">
                    <w:rPr>
                      <w:rStyle w:val="Emphasis"/>
                      <w:bCs/>
                      <w:szCs w:val="24"/>
                    </w:rPr>
                    <w:t>even if</w:t>
                  </w:r>
                  <w:r w:rsidRPr="00BC2C82">
                    <w:t xml:space="preserve"> the nephritis evaluation was supportable based on definite decrease in renal function. </w:t>
                  </w:r>
                </w:p>
                <w:p w14:paraId="35BCDF99" w14:textId="52EDC0DD" w:rsidR="00BC2C82" w:rsidRPr="00BC2C82" w:rsidRDefault="00BC2C82" w:rsidP="00BC2C82">
                  <w:r w:rsidRPr="00BC2C82">
                    <w:rPr>
                      <w:rStyle w:val="Emphasis"/>
                      <w:bCs/>
                      <w:szCs w:val="24"/>
                    </w:rPr>
                    <w:t>Exceptions</w:t>
                  </w:r>
                  <w:r w:rsidR="00291BB1">
                    <w:t>:</w:t>
                  </w:r>
                  <w:r w:rsidRPr="00BC2C82">
                    <w:t xml:space="preserve"> Separate ratings for any hypertension or heart disease are permitted in the following scenarios:</w:t>
                  </w:r>
                </w:p>
                <w:p w14:paraId="29DAC986" w14:textId="77777777" w:rsidR="00BC2C82" w:rsidRPr="00BC2C82" w:rsidRDefault="00BC2C82" w:rsidP="00BC2C82">
                  <w:r w:rsidRPr="00BC2C82">
                    <w:t>Chronic renal disease has progressed to the point where regular dialysis is required.</w:t>
                  </w:r>
                </w:p>
                <w:p w14:paraId="4971E475" w14:textId="785E65D0" w:rsidR="00BC2C82" w:rsidRPr="00BC2C82" w:rsidRDefault="00BC2C82" w:rsidP="00BC2C82">
                  <w:r w:rsidRPr="00BC2C82">
                    <w:t>If absence of a kidney</w:t>
                  </w:r>
                  <w:r w:rsidR="00291BB1">
                    <w:t xml:space="preserve"> is the sole renal disability – </w:t>
                  </w:r>
                  <w:r w:rsidRPr="00BC2C82">
                    <w:t>even if removal was required because of nephritis.</w:t>
                  </w:r>
                </w:p>
                <w:p w14:paraId="252F8E38" w14:textId="77777777" w:rsidR="00CC6ED3" w:rsidRDefault="00CC6ED3" w:rsidP="00BC2C82">
                  <w:pPr>
                    <w:rPr>
                      <w:rStyle w:val="Emphasis"/>
                      <w:bCs/>
                      <w:szCs w:val="24"/>
                    </w:rPr>
                  </w:pPr>
                </w:p>
                <w:p w14:paraId="5507CD46" w14:textId="1371BD8B" w:rsidR="00BC2C82" w:rsidRPr="00BC2C82" w:rsidRDefault="00BC2C82" w:rsidP="00BC2C82">
                  <w:r w:rsidRPr="00BC2C82">
                    <w:rPr>
                      <w:rStyle w:val="Emphasis"/>
                      <w:bCs/>
                      <w:szCs w:val="24"/>
                    </w:rPr>
                    <w:t>Example</w:t>
                  </w:r>
                  <w:r w:rsidR="00291BB1">
                    <w:t>:</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75"/>
                    <w:gridCol w:w="3990"/>
                    <w:gridCol w:w="600"/>
                  </w:tblGrid>
                  <w:tr w:rsidR="00BC2C82" w:rsidRPr="00BC2C82" w14:paraId="4A9E0130" w14:textId="77777777" w:rsidTr="00BC2C82">
                    <w:trPr>
                      <w:jc w:val="center"/>
                    </w:trPr>
                    <w:tc>
                      <w:tcPr>
                        <w:tcW w:w="975" w:type="dxa"/>
                        <w:tcBorders>
                          <w:top w:val="outset" w:sz="6" w:space="0" w:color="auto"/>
                          <w:left w:val="outset" w:sz="6" w:space="0" w:color="auto"/>
                          <w:bottom w:val="outset" w:sz="6" w:space="0" w:color="auto"/>
                          <w:right w:val="outset" w:sz="6" w:space="0" w:color="auto"/>
                        </w:tcBorders>
                        <w:vAlign w:val="bottom"/>
                        <w:hideMark/>
                      </w:tcPr>
                      <w:p w14:paraId="275AEC72" w14:textId="77777777" w:rsidR="00BC2C82" w:rsidRPr="00BC2C82" w:rsidRDefault="00BC2C82" w:rsidP="00BC2C82">
                        <w:r w:rsidRPr="00BC2C82">
                          <w:t>7500</w:t>
                        </w:r>
                      </w:p>
                    </w:tc>
                    <w:tc>
                      <w:tcPr>
                        <w:tcW w:w="3990" w:type="dxa"/>
                        <w:tcBorders>
                          <w:top w:val="outset" w:sz="6" w:space="0" w:color="auto"/>
                          <w:left w:val="outset" w:sz="6" w:space="0" w:color="auto"/>
                          <w:bottom w:val="outset" w:sz="6" w:space="0" w:color="auto"/>
                          <w:right w:val="outset" w:sz="6" w:space="0" w:color="auto"/>
                        </w:tcBorders>
                        <w:vAlign w:val="bottom"/>
                        <w:hideMark/>
                      </w:tcPr>
                      <w:p w14:paraId="662D881C" w14:textId="77777777" w:rsidR="00BC2C82" w:rsidRPr="00BC2C82" w:rsidRDefault="00BC2C82" w:rsidP="00BC2C82">
                        <w:r w:rsidRPr="00BC2C82">
                          <w:t>Kidney – removal of one</w:t>
                        </w:r>
                      </w:p>
                    </w:tc>
                    <w:tc>
                      <w:tcPr>
                        <w:tcW w:w="600" w:type="dxa"/>
                        <w:tcBorders>
                          <w:top w:val="outset" w:sz="6" w:space="0" w:color="auto"/>
                          <w:left w:val="outset" w:sz="6" w:space="0" w:color="auto"/>
                          <w:bottom w:val="outset" w:sz="6" w:space="0" w:color="auto"/>
                          <w:right w:val="outset" w:sz="6" w:space="0" w:color="auto"/>
                        </w:tcBorders>
                        <w:vAlign w:val="bottom"/>
                        <w:hideMark/>
                      </w:tcPr>
                      <w:p w14:paraId="7BCB8AF0" w14:textId="77777777" w:rsidR="00BC2C82" w:rsidRPr="00BC2C82" w:rsidRDefault="00BC2C82" w:rsidP="00BC2C82">
                        <w:r w:rsidRPr="00BC2C82">
                          <w:t>30</w:t>
                        </w:r>
                      </w:p>
                    </w:tc>
                  </w:tr>
                  <w:tr w:rsidR="00BC2C82" w:rsidRPr="00BC2C82" w14:paraId="092E8928" w14:textId="77777777" w:rsidTr="00BC2C82">
                    <w:trPr>
                      <w:jc w:val="center"/>
                    </w:trPr>
                    <w:tc>
                      <w:tcPr>
                        <w:tcW w:w="975" w:type="dxa"/>
                        <w:tcBorders>
                          <w:top w:val="outset" w:sz="6" w:space="0" w:color="auto"/>
                          <w:left w:val="outset" w:sz="6" w:space="0" w:color="auto"/>
                          <w:bottom w:val="outset" w:sz="6" w:space="0" w:color="auto"/>
                          <w:right w:val="outset" w:sz="6" w:space="0" w:color="auto"/>
                        </w:tcBorders>
                        <w:vAlign w:val="bottom"/>
                        <w:hideMark/>
                      </w:tcPr>
                      <w:p w14:paraId="2AA06CC6" w14:textId="77777777" w:rsidR="00BC2C82" w:rsidRPr="00BC2C82" w:rsidRDefault="00BC2C82" w:rsidP="00BC2C82">
                        <w:r w:rsidRPr="00BC2C82">
                          <w:t>7101</w:t>
                        </w:r>
                      </w:p>
                    </w:tc>
                    <w:tc>
                      <w:tcPr>
                        <w:tcW w:w="3990" w:type="dxa"/>
                        <w:tcBorders>
                          <w:top w:val="outset" w:sz="6" w:space="0" w:color="auto"/>
                          <w:left w:val="outset" w:sz="6" w:space="0" w:color="auto"/>
                          <w:bottom w:val="outset" w:sz="6" w:space="0" w:color="auto"/>
                          <w:right w:val="outset" w:sz="6" w:space="0" w:color="auto"/>
                        </w:tcBorders>
                        <w:vAlign w:val="bottom"/>
                        <w:hideMark/>
                      </w:tcPr>
                      <w:p w14:paraId="6779B5B4" w14:textId="77777777" w:rsidR="00BC2C82" w:rsidRPr="00BC2C82" w:rsidRDefault="00BC2C82" w:rsidP="00BC2C82">
                        <w:r w:rsidRPr="00BC2C82">
                          <w:t>Hypertension</w:t>
                        </w:r>
                      </w:p>
                    </w:tc>
                    <w:tc>
                      <w:tcPr>
                        <w:tcW w:w="600" w:type="dxa"/>
                        <w:tcBorders>
                          <w:top w:val="outset" w:sz="6" w:space="0" w:color="auto"/>
                          <w:left w:val="outset" w:sz="6" w:space="0" w:color="auto"/>
                          <w:bottom w:val="outset" w:sz="6" w:space="0" w:color="auto"/>
                          <w:right w:val="outset" w:sz="6" w:space="0" w:color="auto"/>
                        </w:tcBorders>
                        <w:vAlign w:val="bottom"/>
                        <w:hideMark/>
                      </w:tcPr>
                      <w:p w14:paraId="433CA90F" w14:textId="77777777" w:rsidR="00BC2C82" w:rsidRPr="00BC2C82" w:rsidRDefault="00BC2C82" w:rsidP="00BC2C82">
                        <w:r w:rsidRPr="00BC2C82">
                          <w:t>20</w:t>
                        </w:r>
                      </w:p>
                    </w:tc>
                  </w:tr>
                </w:tbl>
                <w:p w14:paraId="59507BCD" w14:textId="77777777" w:rsidR="00BC2C82" w:rsidRPr="00BC2C82" w:rsidRDefault="00BC2C82" w:rsidP="00BC2C82">
                  <w:r w:rsidRPr="00BC2C82">
                    <w:t> </w:t>
                  </w:r>
                </w:p>
                <w:p w14:paraId="43F6F072" w14:textId="31A22239" w:rsidR="00BC2C82" w:rsidRPr="00BC2C82" w:rsidRDefault="00BC2C82" w:rsidP="00BC2C82">
                  <w:r w:rsidRPr="00BC2C82">
                    <w:rPr>
                      <w:rStyle w:val="Emphasis"/>
                      <w:bCs/>
                      <w:szCs w:val="24"/>
                    </w:rPr>
                    <w:t>Example</w:t>
                  </w:r>
                  <w:r w:rsidR="00291BB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5"/>
                    <w:gridCol w:w="3990"/>
                    <w:gridCol w:w="600"/>
                  </w:tblGrid>
                  <w:tr w:rsidR="00BC2C82" w:rsidRPr="00BC2C82" w14:paraId="79E6A187" w14:textId="77777777" w:rsidTr="00BC2C82">
                    <w:trPr>
                      <w:jc w:val="center"/>
                    </w:trPr>
                    <w:tc>
                      <w:tcPr>
                        <w:tcW w:w="975" w:type="dxa"/>
                        <w:vAlign w:val="bottom"/>
                        <w:hideMark/>
                      </w:tcPr>
                      <w:p w14:paraId="73732BB0" w14:textId="77777777" w:rsidR="00BC2C82" w:rsidRPr="00BC2C82" w:rsidRDefault="00BC2C82" w:rsidP="00BC2C82">
                        <w:r w:rsidRPr="00BC2C82">
                          <w:t>7530</w:t>
                        </w:r>
                      </w:p>
                    </w:tc>
                    <w:tc>
                      <w:tcPr>
                        <w:tcW w:w="3990" w:type="dxa"/>
                        <w:vAlign w:val="bottom"/>
                        <w:hideMark/>
                      </w:tcPr>
                      <w:p w14:paraId="245FFCD2" w14:textId="77777777" w:rsidR="00BC2C82" w:rsidRPr="00BC2C82" w:rsidRDefault="00BC2C82" w:rsidP="00BC2C82">
                        <w:r w:rsidRPr="00BC2C82">
                          <w:t>Nephritis</w:t>
                        </w:r>
                      </w:p>
                    </w:tc>
                    <w:tc>
                      <w:tcPr>
                        <w:tcW w:w="600" w:type="dxa"/>
                        <w:vAlign w:val="bottom"/>
                        <w:hideMark/>
                      </w:tcPr>
                      <w:p w14:paraId="1172BDC3" w14:textId="77777777" w:rsidR="00BC2C82" w:rsidRPr="00BC2C82" w:rsidRDefault="00BC2C82" w:rsidP="00BC2C82">
                        <w:r w:rsidRPr="00BC2C82">
                          <w:t>100</w:t>
                        </w:r>
                      </w:p>
                    </w:tc>
                  </w:tr>
                  <w:tr w:rsidR="00BC2C82" w:rsidRPr="00BC2C82" w14:paraId="7CF757DC" w14:textId="77777777" w:rsidTr="00BC2C82">
                    <w:trPr>
                      <w:jc w:val="center"/>
                    </w:trPr>
                    <w:tc>
                      <w:tcPr>
                        <w:tcW w:w="975" w:type="dxa"/>
                        <w:vAlign w:val="bottom"/>
                        <w:hideMark/>
                      </w:tcPr>
                      <w:p w14:paraId="1FCFA105" w14:textId="77777777" w:rsidR="00BC2C82" w:rsidRPr="00BC2C82" w:rsidRDefault="00BC2C82" w:rsidP="00BC2C82">
                        <w:r w:rsidRPr="00BC2C82">
                          <w:t>7101</w:t>
                        </w:r>
                      </w:p>
                    </w:tc>
                    <w:tc>
                      <w:tcPr>
                        <w:tcW w:w="3990" w:type="dxa"/>
                        <w:vAlign w:val="bottom"/>
                        <w:hideMark/>
                      </w:tcPr>
                      <w:p w14:paraId="7B6102B9" w14:textId="77777777" w:rsidR="00BC2C82" w:rsidRPr="00BC2C82" w:rsidRDefault="00BC2C82" w:rsidP="00BC2C82">
                        <w:r w:rsidRPr="00BC2C82">
                          <w:t>Hypertension</w:t>
                        </w:r>
                      </w:p>
                    </w:tc>
                    <w:tc>
                      <w:tcPr>
                        <w:tcW w:w="600" w:type="dxa"/>
                        <w:vAlign w:val="bottom"/>
                        <w:hideMark/>
                      </w:tcPr>
                      <w:p w14:paraId="53B25F1A" w14:textId="77777777" w:rsidR="00BC2C82" w:rsidRPr="00BC2C82" w:rsidRDefault="00BC2C82" w:rsidP="00BC2C82">
                        <w:r w:rsidRPr="00BC2C82">
                          <w:t>10</w:t>
                        </w:r>
                      </w:p>
                    </w:tc>
                  </w:tr>
                </w:tbl>
                <w:p w14:paraId="37F296F2" w14:textId="77777777" w:rsidR="00BC2C82" w:rsidRPr="00BC2C82" w:rsidRDefault="00BC2C82">
                  <w:pPr>
                    <w:rPr>
                      <w:szCs w:val="24"/>
                    </w:rPr>
                  </w:pPr>
                </w:p>
              </w:tc>
            </w:tr>
          </w:tbl>
          <w:p w14:paraId="6232CB1F" w14:textId="77777777" w:rsidR="006F298D" w:rsidRDefault="006F298D" w:rsidP="005424DD">
            <w:pPr>
              <w:textAlignment w:val="baseline"/>
            </w:pPr>
          </w:p>
          <w:p w14:paraId="010A8952" w14:textId="3A0ECBB5" w:rsidR="0083226A" w:rsidRPr="006C63A8" w:rsidRDefault="0083226A" w:rsidP="005424DD">
            <w:pPr>
              <w:textAlignment w:val="baseline"/>
            </w:pPr>
            <w:r w:rsidRPr="006C63A8">
              <w:t xml:space="preserve">Kidney transplant may be required for </w:t>
            </w:r>
            <w:proofErr w:type="gramStart"/>
            <w:r w:rsidRPr="006C63A8">
              <w:t>treatment</w:t>
            </w:r>
            <w:r w:rsidR="005424DD" w:rsidRPr="006C63A8">
              <w:t>.</w:t>
            </w:r>
            <w:r w:rsidR="006C63A8">
              <w:t>:</w:t>
            </w:r>
            <w:proofErr w:type="gramEnd"/>
          </w:p>
          <w:p w14:paraId="0C42C38B" w14:textId="77777777" w:rsidR="0083226A" w:rsidRPr="00A22945" w:rsidRDefault="0083226A" w:rsidP="00A22945">
            <w:pPr>
              <w:spacing w:after="240"/>
              <w:textAlignment w:val="baseline"/>
              <w:rPr>
                <w:b/>
                <w:i/>
              </w:rPr>
            </w:pPr>
            <w:r w:rsidRPr="00A22945">
              <w:rPr>
                <w:b/>
                <w:i/>
                <w:noProof/>
              </w:rPr>
              <w:drawing>
                <wp:inline distT="0" distB="0" distL="0" distR="0" wp14:anchorId="27E8604F" wp14:editId="56BCC1C8">
                  <wp:extent cx="6114751" cy="1041990"/>
                  <wp:effectExtent l="19050" t="19050" r="19685" b="2540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4751" cy="1041990"/>
                          </a:xfrm>
                          <a:prstGeom prst="rect">
                            <a:avLst/>
                          </a:prstGeom>
                          <a:noFill/>
                          <a:ln w="12700">
                            <a:solidFill>
                              <a:srgbClr val="1F497D"/>
                            </a:solidFill>
                            <a:miter lim="800000"/>
                            <a:headEnd/>
                            <a:tailEnd/>
                          </a:ln>
                          <a:extLst/>
                        </pic:spPr>
                      </pic:pic>
                    </a:graphicData>
                  </a:graphic>
                </wp:inline>
              </w:drawing>
            </w:r>
          </w:p>
        </w:tc>
      </w:tr>
      <w:tr w:rsidR="0083226A" w:rsidRPr="00A22945" w14:paraId="6464BBCE" w14:textId="77777777" w:rsidTr="00FB11ED">
        <w:trPr>
          <w:trHeight w:val="212"/>
        </w:trPr>
        <w:tc>
          <w:tcPr>
            <w:tcW w:w="9835" w:type="dxa"/>
          </w:tcPr>
          <w:p w14:paraId="00CE14FF" w14:textId="77777777" w:rsidR="005424DD" w:rsidRDefault="005424DD" w:rsidP="00A22945">
            <w:pPr>
              <w:textAlignment w:val="baseline"/>
              <w:rPr>
                <w:b/>
                <w:i/>
                <w:highlight w:val="yellow"/>
              </w:rPr>
            </w:pPr>
          </w:p>
          <w:p w14:paraId="4B5BD9F1" w14:textId="1DC4D77B" w:rsidR="005424DD" w:rsidRPr="005424DD" w:rsidRDefault="005424DD" w:rsidP="005424DD">
            <w:pPr>
              <w:jc w:val="center"/>
              <w:textAlignment w:val="baseline"/>
              <w:rPr>
                <w:b/>
              </w:rPr>
            </w:pPr>
            <w:r w:rsidRPr="005424DD">
              <w:rPr>
                <w:b/>
              </w:rPr>
              <w:lastRenderedPageBreak/>
              <w:t>Bladder Cancer</w:t>
            </w:r>
          </w:p>
          <w:p w14:paraId="238B56DD" w14:textId="77777777" w:rsidR="005424DD" w:rsidRDefault="005424DD" w:rsidP="005424DD">
            <w:pPr>
              <w:textAlignment w:val="baseline"/>
            </w:pPr>
          </w:p>
          <w:p w14:paraId="5F04B3BC" w14:textId="26DB4168" w:rsidR="0083226A" w:rsidRPr="005612BE" w:rsidRDefault="0083226A" w:rsidP="005424DD">
            <w:pPr>
              <w:textAlignment w:val="baseline"/>
            </w:pPr>
            <w:r w:rsidRPr="005612BE">
              <w:t xml:space="preserve">Bladder cancer is evaluated under DC </w:t>
            </w:r>
            <w:r w:rsidR="00291BB1">
              <w:t xml:space="preserve">7528. </w:t>
            </w:r>
            <w:r w:rsidRPr="005612BE">
              <w:t>Residuals will likely involve voiding dysfunction (urine leakage, frequency, obstructed voiding).</w:t>
            </w:r>
          </w:p>
          <w:p w14:paraId="52700E42" w14:textId="77777777" w:rsidR="0083226A" w:rsidRPr="00A22945" w:rsidRDefault="0083226A" w:rsidP="00A22945">
            <w:pPr>
              <w:spacing w:after="240"/>
              <w:textAlignment w:val="baseline"/>
              <w:rPr>
                <w:b/>
                <w:i/>
                <w:szCs w:val="24"/>
              </w:rPr>
            </w:pPr>
            <w:r w:rsidRPr="00A22945">
              <w:rPr>
                <w:b/>
                <w:i/>
                <w:noProof/>
                <w:szCs w:val="24"/>
              </w:rPr>
              <w:drawing>
                <wp:inline distT="0" distB="0" distL="0" distR="0" wp14:anchorId="1DAA3C8E" wp14:editId="0FB7EAF4">
                  <wp:extent cx="5755739" cy="914400"/>
                  <wp:effectExtent l="19050" t="19050" r="16510"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29212" cy="926073"/>
                          </a:xfrm>
                          <a:prstGeom prst="rect">
                            <a:avLst/>
                          </a:prstGeom>
                          <a:noFill/>
                          <a:ln w="12700">
                            <a:solidFill>
                              <a:srgbClr val="1F497D"/>
                            </a:solidFill>
                            <a:miter lim="800000"/>
                            <a:headEnd/>
                            <a:tailEnd/>
                          </a:ln>
                          <a:extLst/>
                        </pic:spPr>
                      </pic:pic>
                    </a:graphicData>
                  </a:graphic>
                </wp:inline>
              </w:drawing>
            </w:r>
            <w:r w:rsidRPr="00A22945">
              <w:rPr>
                <w:color w:val="0070C0"/>
              </w:rPr>
              <w:t xml:space="preserve"> </w:t>
            </w:r>
          </w:p>
          <w:p w14:paraId="2FDFE773" w14:textId="17CF34F3" w:rsidR="0083226A" w:rsidRPr="005612BE" w:rsidRDefault="0083226A" w:rsidP="005424DD">
            <w:pPr>
              <w:textAlignment w:val="baseline"/>
            </w:pPr>
            <w:r w:rsidRPr="005612BE">
              <w:t xml:space="preserve">Suprapubic </w:t>
            </w:r>
            <w:proofErr w:type="spellStart"/>
            <w:r w:rsidRPr="005612BE">
              <w:t>cystostomy</w:t>
            </w:r>
            <w:proofErr w:type="spellEnd"/>
            <w:r w:rsidRPr="005612BE">
              <w:t xml:space="preserve"> (DC 7516)</w:t>
            </w:r>
            <w:r w:rsidR="005424DD" w:rsidRPr="005612BE">
              <w:t xml:space="preserve"> may be performed as a </w:t>
            </w:r>
            <w:r w:rsidR="006C63A8" w:rsidRPr="005612BE">
              <w:t>complication</w:t>
            </w:r>
            <w:r w:rsidR="005424DD" w:rsidRPr="005612BE">
              <w:t xml:space="preserve"> of bladder cancer.</w:t>
            </w:r>
          </w:p>
          <w:p w14:paraId="3BBEE8B7" w14:textId="77777777" w:rsidR="0083226A" w:rsidRPr="00A22945" w:rsidRDefault="0083226A" w:rsidP="00A22945">
            <w:pPr>
              <w:textAlignment w:val="baseline"/>
              <w:rPr>
                <w:b/>
                <w:i/>
                <w:szCs w:val="24"/>
              </w:rPr>
            </w:pPr>
            <w:r w:rsidRPr="00A22945">
              <w:rPr>
                <w:noProof/>
              </w:rPr>
              <w:drawing>
                <wp:inline distT="0" distB="0" distL="0" distR="0" wp14:anchorId="3F847823" wp14:editId="2137C63B">
                  <wp:extent cx="5759601" cy="457200"/>
                  <wp:effectExtent l="19050" t="19050" r="12700" b="1905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34477" cy="463144"/>
                          </a:xfrm>
                          <a:prstGeom prst="rect">
                            <a:avLst/>
                          </a:prstGeom>
                          <a:noFill/>
                          <a:ln w="12700">
                            <a:solidFill>
                              <a:srgbClr val="1F497D"/>
                            </a:solidFill>
                            <a:miter lim="800000"/>
                            <a:headEnd/>
                            <a:tailEnd/>
                          </a:ln>
                          <a:extLst/>
                        </pic:spPr>
                      </pic:pic>
                    </a:graphicData>
                  </a:graphic>
                </wp:inline>
              </w:drawing>
            </w:r>
          </w:p>
          <w:p w14:paraId="25F28854" w14:textId="77777777" w:rsidR="0083226A" w:rsidRPr="00A22945" w:rsidRDefault="0083226A" w:rsidP="00A22945">
            <w:pPr>
              <w:textAlignment w:val="baseline"/>
              <w:rPr>
                <w:b/>
                <w:i/>
                <w:szCs w:val="24"/>
              </w:rPr>
            </w:pPr>
          </w:p>
        </w:tc>
      </w:tr>
      <w:tr w:rsidR="0083226A" w:rsidRPr="00A22945" w14:paraId="44F83EFA" w14:textId="77777777" w:rsidTr="00FB11ED">
        <w:trPr>
          <w:trHeight w:val="212"/>
        </w:trPr>
        <w:tc>
          <w:tcPr>
            <w:tcW w:w="9835" w:type="dxa"/>
          </w:tcPr>
          <w:p w14:paraId="7C92B3CF" w14:textId="2308F9D2" w:rsidR="0097762D" w:rsidRPr="0097762D" w:rsidRDefault="0097762D" w:rsidP="0097762D">
            <w:pPr>
              <w:ind w:left="360"/>
              <w:jc w:val="center"/>
              <w:textAlignment w:val="baseline"/>
              <w:rPr>
                <w:b/>
              </w:rPr>
            </w:pPr>
            <w:r w:rsidRPr="0097762D">
              <w:rPr>
                <w:b/>
              </w:rPr>
              <w:lastRenderedPageBreak/>
              <w:t>Liver Cancer</w:t>
            </w:r>
          </w:p>
          <w:p w14:paraId="3F25A62B" w14:textId="6048A937" w:rsidR="0083226A" w:rsidRPr="005612BE" w:rsidRDefault="0083226A" w:rsidP="0097762D">
            <w:pPr>
              <w:textAlignment w:val="baseline"/>
            </w:pPr>
            <w:r w:rsidRPr="005612BE">
              <w:t>Liver canc</w:t>
            </w:r>
            <w:r w:rsidR="0097762D" w:rsidRPr="005612BE">
              <w:t>er is evaluated under DC 7343.</w:t>
            </w:r>
          </w:p>
          <w:p w14:paraId="22649CAF" w14:textId="77777777" w:rsidR="0083226A" w:rsidRPr="00A22945" w:rsidRDefault="0083226A" w:rsidP="00A22945">
            <w:pPr>
              <w:spacing w:after="240"/>
              <w:textAlignment w:val="baseline"/>
              <w:rPr>
                <w:b/>
                <w:i/>
                <w:szCs w:val="24"/>
              </w:rPr>
            </w:pPr>
            <w:r w:rsidRPr="00A22945">
              <w:rPr>
                <w:b/>
                <w:i/>
                <w:noProof/>
                <w:szCs w:val="24"/>
              </w:rPr>
              <w:drawing>
                <wp:inline distT="0" distB="0" distL="0" distR="0" wp14:anchorId="5623AF22" wp14:editId="71DE74CB">
                  <wp:extent cx="5719590" cy="797442"/>
                  <wp:effectExtent l="19050" t="19050" r="14605" b="22225"/>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59306" cy="816922"/>
                          </a:xfrm>
                          <a:prstGeom prst="rect">
                            <a:avLst/>
                          </a:prstGeom>
                          <a:noFill/>
                          <a:ln w="12700">
                            <a:solidFill>
                              <a:srgbClr val="1F497D"/>
                            </a:solidFill>
                            <a:miter lim="800000"/>
                            <a:headEnd/>
                            <a:tailEnd/>
                          </a:ln>
                          <a:extLst/>
                        </pic:spPr>
                      </pic:pic>
                    </a:graphicData>
                  </a:graphic>
                </wp:inline>
              </w:drawing>
            </w:r>
          </w:p>
          <w:p w14:paraId="08DBAFFB" w14:textId="757C590F" w:rsidR="0083226A" w:rsidRPr="005612BE" w:rsidRDefault="0097762D" w:rsidP="0097762D">
            <w:pPr>
              <w:textAlignment w:val="baseline"/>
            </w:pPr>
            <w:r w:rsidRPr="005612BE">
              <w:t xml:space="preserve">A number of diagnostic codes may be used to evaluate residuals of liver cancer that is in remission.  </w:t>
            </w:r>
            <w:r w:rsidR="0083226A" w:rsidRPr="005612BE">
              <w:t>Residuals o</w:t>
            </w:r>
            <w:r w:rsidRPr="005612BE">
              <w:t>f injury to the liver (DC 7311).</w:t>
            </w:r>
          </w:p>
          <w:p w14:paraId="2C1BE3A0" w14:textId="5E984D7D" w:rsidR="0083226A" w:rsidRPr="00A22945" w:rsidRDefault="0083226A" w:rsidP="0097762D">
            <w:pPr>
              <w:spacing w:after="240"/>
              <w:textAlignment w:val="baseline"/>
              <w:rPr>
                <w:b/>
                <w:i/>
                <w:szCs w:val="24"/>
              </w:rPr>
            </w:pPr>
            <w:r w:rsidRPr="00A22945">
              <w:rPr>
                <w:b/>
                <w:i/>
                <w:noProof/>
                <w:szCs w:val="24"/>
              </w:rPr>
              <w:drawing>
                <wp:inline distT="0" distB="0" distL="0" distR="0" wp14:anchorId="2765E756" wp14:editId="523F6A4A">
                  <wp:extent cx="5752214" cy="440020"/>
                  <wp:effectExtent l="19050" t="19050" r="20320" b="1778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74286" cy="457008"/>
                          </a:xfrm>
                          <a:prstGeom prst="rect">
                            <a:avLst/>
                          </a:prstGeom>
                          <a:noFill/>
                          <a:ln w="12700">
                            <a:solidFill>
                              <a:srgbClr val="1F497D"/>
                            </a:solidFill>
                            <a:miter lim="800000"/>
                            <a:headEnd/>
                            <a:tailEnd/>
                          </a:ln>
                          <a:extLst/>
                        </pic:spPr>
                      </pic:pic>
                    </a:graphicData>
                  </a:graphic>
                </wp:inline>
              </w:drawing>
            </w:r>
          </w:p>
        </w:tc>
      </w:tr>
      <w:tr w:rsidR="0083226A" w:rsidRPr="00A22945" w14:paraId="21FD077F" w14:textId="77777777" w:rsidTr="00FB11ED">
        <w:trPr>
          <w:trHeight w:val="212"/>
        </w:trPr>
        <w:tc>
          <w:tcPr>
            <w:tcW w:w="9835" w:type="dxa"/>
          </w:tcPr>
          <w:p w14:paraId="7CB166F0" w14:textId="53BB49A4" w:rsidR="0083226A" w:rsidRPr="005612BE" w:rsidRDefault="0083226A" w:rsidP="0097762D">
            <w:pPr>
              <w:textAlignment w:val="baseline"/>
            </w:pPr>
            <w:r w:rsidRPr="005612BE">
              <w:t xml:space="preserve">38 CFR 4.114 – </w:t>
            </w:r>
            <w:r w:rsidR="0097762D" w:rsidRPr="005612BE">
              <w:t xml:space="preserve">Prohibition of Separate Evaluations for Certain Coexisting Digestive </w:t>
            </w:r>
            <w:proofErr w:type="spellStart"/>
            <w:r w:rsidR="0097762D" w:rsidRPr="005612BE">
              <w:t>Disabilties</w:t>
            </w:r>
            <w:proofErr w:type="spellEnd"/>
          </w:p>
          <w:p w14:paraId="2623A617" w14:textId="6AF9C777" w:rsidR="006C63A8" w:rsidRPr="006C63A8" w:rsidRDefault="006C63A8" w:rsidP="006C63A8">
            <w:pPr>
              <w:rPr>
                <w:sz w:val="15"/>
                <w:szCs w:val="15"/>
              </w:rPr>
            </w:pPr>
            <w:r>
              <w:t>E</w:t>
            </w:r>
            <w:r w:rsidRPr="006C63A8">
              <w:t xml:space="preserve">valuations of digestive conditions under certain diagnostic codes (DCs) will </w:t>
            </w:r>
            <w:r w:rsidRPr="006C63A8">
              <w:rPr>
                <w:b/>
                <w:bCs/>
                <w:i/>
                <w:iCs/>
              </w:rPr>
              <w:t>not</w:t>
            </w:r>
            <w:r w:rsidRPr="006C63A8">
              <w:t xml:space="preserve"> be combined with each other or</w:t>
            </w:r>
            <w:r w:rsidR="00291BB1">
              <w:t xml:space="preserve"> assigned separate evaluations.</w:t>
            </w:r>
            <w:r w:rsidR="00D1621F">
              <w:t xml:space="preserve"> These are:</w:t>
            </w:r>
          </w:p>
          <w:p w14:paraId="40A78AE9" w14:textId="77777777" w:rsidR="006C63A8" w:rsidRPr="006C63A8" w:rsidRDefault="006C63A8" w:rsidP="006C63A8">
            <w:pPr>
              <w:rPr>
                <w:sz w:val="15"/>
                <w:szCs w:val="15"/>
              </w:rPr>
            </w:pPr>
            <w:r w:rsidRPr="006C63A8">
              <w:t xml:space="preserve">7301 to 7329, inclusive (meaning </w:t>
            </w:r>
            <w:r w:rsidRPr="006C63A8">
              <w:rPr>
                <w:b/>
                <w:bCs/>
                <w:i/>
                <w:iCs/>
              </w:rPr>
              <w:t>all</w:t>
            </w:r>
            <w:r w:rsidRPr="006C63A8">
              <w:t xml:space="preserve"> the DCs from 7301 to 7329)</w:t>
            </w:r>
          </w:p>
          <w:p w14:paraId="7688F338" w14:textId="77777777" w:rsidR="006C63A8" w:rsidRPr="006C63A8" w:rsidRDefault="006C63A8" w:rsidP="006C63A8">
            <w:pPr>
              <w:rPr>
                <w:sz w:val="15"/>
                <w:szCs w:val="15"/>
              </w:rPr>
            </w:pPr>
            <w:r w:rsidRPr="006C63A8">
              <w:t>7331</w:t>
            </w:r>
          </w:p>
          <w:p w14:paraId="7EE79EBB" w14:textId="77777777" w:rsidR="006C63A8" w:rsidRPr="006C63A8" w:rsidRDefault="006C63A8" w:rsidP="006C63A8">
            <w:pPr>
              <w:rPr>
                <w:sz w:val="15"/>
                <w:szCs w:val="15"/>
              </w:rPr>
            </w:pPr>
            <w:r w:rsidRPr="006C63A8">
              <w:t>7342, and</w:t>
            </w:r>
          </w:p>
          <w:p w14:paraId="16C161A6" w14:textId="77777777" w:rsidR="006C63A8" w:rsidRPr="006C63A8" w:rsidRDefault="006C63A8" w:rsidP="006C63A8">
            <w:pPr>
              <w:rPr>
                <w:sz w:val="15"/>
                <w:szCs w:val="15"/>
              </w:rPr>
            </w:pPr>
            <w:r w:rsidRPr="006C63A8">
              <w:t xml:space="preserve">7345 to 7348, inclusive (meaning </w:t>
            </w:r>
            <w:r w:rsidRPr="006C63A8">
              <w:rPr>
                <w:b/>
                <w:bCs/>
                <w:i/>
                <w:iCs/>
              </w:rPr>
              <w:t>all</w:t>
            </w:r>
            <w:r w:rsidRPr="006C63A8">
              <w:t xml:space="preserve"> the DCs from 7345 to 7348).</w:t>
            </w:r>
          </w:p>
          <w:p w14:paraId="7F23F864" w14:textId="5304E814" w:rsidR="0083226A" w:rsidRPr="00A22945" w:rsidRDefault="0083226A" w:rsidP="00A22945">
            <w:pPr>
              <w:spacing w:after="240"/>
              <w:textAlignment w:val="baseline"/>
              <w:rPr>
                <w:b/>
                <w:i/>
                <w:szCs w:val="24"/>
              </w:rPr>
            </w:pPr>
          </w:p>
        </w:tc>
      </w:tr>
      <w:tr w:rsidR="0083226A" w:rsidRPr="00A22945" w14:paraId="33FA3A59" w14:textId="77777777" w:rsidTr="00FB11ED">
        <w:trPr>
          <w:trHeight w:val="212"/>
        </w:trPr>
        <w:tc>
          <w:tcPr>
            <w:tcW w:w="9835" w:type="dxa"/>
          </w:tcPr>
          <w:p w14:paraId="2C925914" w14:textId="77777777" w:rsidR="005612BE" w:rsidRDefault="005612BE" w:rsidP="006C63A8"/>
          <w:p w14:paraId="33B0B9C9" w14:textId="757DEBD2" w:rsidR="006C63A8" w:rsidRPr="006C63A8" w:rsidRDefault="006C63A8" w:rsidP="006C63A8">
            <w:pPr>
              <w:rPr>
                <w:sz w:val="15"/>
                <w:szCs w:val="15"/>
              </w:rPr>
            </w:pPr>
            <w:r>
              <w:lastRenderedPageBreak/>
              <w:t>W</w:t>
            </w:r>
            <w:r w:rsidRPr="006C63A8">
              <w:t>hen there are coexisting digestive disabilities for which multiple evaluations cannot be assigned</w:t>
            </w:r>
          </w:p>
          <w:p w14:paraId="1DD435A7" w14:textId="77777777" w:rsidR="006C63A8" w:rsidRPr="006C63A8" w:rsidRDefault="006C63A8" w:rsidP="00C66621">
            <w:pPr>
              <w:pStyle w:val="ListParagraph"/>
              <w:numPr>
                <w:ilvl w:val="0"/>
                <w:numId w:val="18"/>
              </w:numPr>
              <w:rPr>
                <w:sz w:val="15"/>
                <w:szCs w:val="15"/>
              </w:rPr>
            </w:pPr>
            <w:r w:rsidRPr="006C63A8">
              <w:t>a single rating will be assigned under the DC which reflects the predominant disability, and</w:t>
            </w:r>
          </w:p>
          <w:p w14:paraId="711B1524" w14:textId="77777777" w:rsidR="006C63A8" w:rsidRPr="006C63A8" w:rsidRDefault="006C63A8" w:rsidP="00C66621">
            <w:pPr>
              <w:pStyle w:val="ListParagraph"/>
              <w:numPr>
                <w:ilvl w:val="0"/>
                <w:numId w:val="18"/>
              </w:numPr>
              <w:rPr>
                <w:sz w:val="15"/>
                <w:szCs w:val="15"/>
              </w:rPr>
            </w:pPr>
            <w:proofErr w:type="gramStart"/>
            <w:r w:rsidRPr="006C63A8">
              <w:t>that</w:t>
            </w:r>
            <w:proofErr w:type="gramEnd"/>
            <w:r w:rsidRPr="006C63A8">
              <w:t xml:space="preserve"> evaluation will be elevated to the next higher evaluation, when the severity of the overall disability warrants it.</w:t>
            </w:r>
          </w:p>
          <w:p w14:paraId="3706FF3D" w14:textId="7B0293CD" w:rsidR="006C63A8" w:rsidRPr="006C63A8" w:rsidRDefault="006C63A8" w:rsidP="006C63A8">
            <w:pPr>
              <w:rPr>
                <w:sz w:val="15"/>
                <w:szCs w:val="15"/>
              </w:rPr>
            </w:pPr>
            <w:r w:rsidRPr="006C63A8">
              <w:t xml:space="preserve">The Veterans Benefits Management System – Rating (VBMS-R) Evaluation Builder is programmed to appropriately apply the provisions of 38 CFR 4.114 </w:t>
            </w:r>
            <w:r w:rsidRPr="006C63A8">
              <w:rPr>
                <w:b/>
                <w:bCs/>
                <w:i/>
                <w:iCs/>
              </w:rPr>
              <w:t>but</w:t>
            </w:r>
            <w:r w:rsidRPr="006C63A8">
              <w:t xml:space="preserve"> it is critical that</w:t>
            </w:r>
          </w:p>
          <w:p w14:paraId="227A9610" w14:textId="77777777" w:rsidR="006C63A8" w:rsidRPr="006C63A8" w:rsidRDefault="006C63A8" w:rsidP="00C66621">
            <w:pPr>
              <w:pStyle w:val="ListParagraph"/>
              <w:numPr>
                <w:ilvl w:val="0"/>
                <w:numId w:val="19"/>
              </w:numPr>
              <w:rPr>
                <w:sz w:val="15"/>
                <w:szCs w:val="15"/>
              </w:rPr>
            </w:pPr>
            <w:r w:rsidRPr="006C63A8">
              <w:t>the user input the symptoms that support the elevation, and</w:t>
            </w:r>
          </w:p>
          <w:p w14:paraId="53DBA18D" w14:textId="77777777" w:rsidR="006C63A8" w:rsidRPr="006C63A8" w:rsidRDefault="006C63A8" w:rsidP="00C66621">
            <w:pPr>
              <w:pStyle w:val="ListParagraph"/>
              <w:numPr>
                <w:ilvl w:val="0"/>
                <w:numId w:val="19"/>
              </w:numPr>
              <w:rPr>
                <w:sz w:val="15"/>
                <w:szCs w:val="15"/>
              </w:rPr>
            </w:pPr>
            <w:proofErr w:type="gramStart"/>
            <w:r w:rsidRPr="006C63A8">
              <w:t>the</w:t>
            </w:r>
            <w:proofErr w:type="gramEnd"/>
            <w:r w:rsidRPr="006C63A8">
              <w:t xml:space="preserve"> symptoms coincide with the criteria listed in the rating schedule.</w:t>
            </w:r>
          </w:p>
          <w:p w14:paraId="2BD191D7" w14:textId="77777777" w:rsidR="006C63A8" w:rsidRDefault="006C63A8" w:rsidP="006C63A8">
            <w:r w:rsidRPr="006C63A8">
              <w:t xml:space="preserve">For instructions on proper application of the </w:t>
            </w:r>
            <w:hyperlink r:id="rId32" w:history="1">
              <w:r w:rsidRPr="006C63A8">
                <w:rPr>
                  <w:color w:val="444444"/>
                </w:rPr>
                <w:t>38 CFR 4.114</w:t>
              </w:r>
            </w:hyperlink>
            <w:r w:rsidRPr="006C63A8">
              <w:t xml:space="preserve"> provision on assigning an evaluation in cases of multiple qualifying coexisting digestive disabilities see the table below.</w:t>
            </w:r>
          </w:p>
          <w:p w14:paraId="50AB2CE9" w14:textId="77777777" w:rsidR="006C63A8" w:rsidRPr="006C63A8" w:rsidRDefault="006C63A8" w:rsidP="006C63A8">
            <w:pPr>
              <w:rPr>
                <w:sz w:val="15"/>
                <w:szCs w:val="15"/>
              </w:rPr>
            </w:pPr>
          </w:p>
          <w:tbl>
            <w:tblPr>
              <w:tblW w:w="765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80"/>
              <w:gridCol w:w="6570"/>
            </w:tblGrid>
            <w:tr w:rsidR="006C63A8" w:rsidRPr="006C63A8" w14:paraId="122B1AFD" w14:textId="77777777" w:rsidTr="006C63A8">
              <w:trPr>
                <w:jc w:val="center"/>
              </w:trPr>
              <w:tc>
                <w:tcPr>
                  <w:tcW w:w="1080" w:type="dxa"/>
                  <w:tcBorders>
                    <w:top w:val="outset" w:sz="6" w:space="0" w:color="auto"/>
                    <w:left w:val="outset" w:sz="6" w:space="0" w:color="auto"/>
                    <w:bottom w:val="outset" w:sz="6" w:space="0" w:color="auto"/>
                    <w:right w:val="outset" w:sz="6" w:space="0" w:color="auto"/>
                  </w:tcBorders>
                  <w:vAlign w:val="bottom"/>
                  <w:hideMark/>
                </w:tcPr>
                <w:p w14:paraId="6216DA78" w14:textId="77777777" w:rsidR="006C63A8" w:rsidRPr="006C63A8" w:rsidRDefault="006C63A8" w:rsidP="006C63A8">
                  <w:pPr>
                    <w:rPr>
                      <w:sz w:val="15"/>
                      <w:szCs w:val="15"/>
                    </w:rPr>
                  </w:pPr>
                  <w:r w:rsidRPr="006C63A8">
                    <w:t>Step</w:t>
                  </w:r>
                </w:p>
              </w:tc>
              <w:tc>
                <w:tcPr>
                  <w:tcW w:w="6570" w:type="dxa"/>
                  <w:tcBorders>
                    <w:top w:val="outset" w:sz="6" w:space="0" w:color="auto"/>
                    <w:left w:val="outset" w:sz="6" w:space="0" w:color="auto"/>
                    <w:bottom w:val="outset" w:sz="6" w:space="0" w:color="auto"/>
                    <w:right w:val="outset" w:sz="6" w:space="0" w:color="auto"/>
                  </w:tcBorders>
                  <w:vAlign w:val="bottom"/>
                  <w:hideMark/>
                </w:tcPr>
                <w:p w14:paraId="21C809C2" w14:textId="77777777" w:rsidR="006C63A8" w:rsidRPr="006C63A8" w:rsidRDefault="006C63A8" w:rsidP="006C63A8">
                  <w:pPr>
                    <w:rPr>
                      <w:sz w:val="15"/>
                      <w:szCs w:val="15"/>
                    </w:rPr>
                  </w:pPr>
                  <w:r w:rsidRPr="006C63A8">
                    <w:t>Action</w:t>
                  </w:r>
                </w:p>
              </w:tc>
            </w:tr>
            <w:tr w:rsidR="006C63A8" w:rsidRPr="006C63A8" w14:paraId="6CF3ECF7" w14:textId="77777777" w:rsidTr="006C63A8">
              <w:trPr>
                <w:jc w:val="center"/>
              </w:trPr>
              <w:tc>
                <w:tcPr>
                  <w:tcW w:w="1080" w:type="dxa"/>
                  <w:tcBorders>
                    <w:top w:val="outset" w:sz="6" w:space="0" w:color="auto"/>
                    <w:left w:val="outset" w:sz="6" w:space="0" w:color="auto"/>
                    <w:bottom w:val="outset" w:sz="6" w:space="0" w:color="auto"/>
                    <w:right w:val="outset" w:sz="6" w:space="0" w:color="auto"/>
                  </w:tcBorders>
                  <w:hideMark/>
                </w:tcPr>
                <w:p w14:paraId="1AB728A4" w14:textId="77777777" w:rsidR="006C63A8" w:rsidRPr="006C63A8" w:rsidRDefault="006C63A8" w:rsidP="006C63A8">
                  <w:pPr>
                    <w:rPr>
                      <w:sz w:val="15"/>
                      <w:szCs w:val="15"/>
                    </w:rPr>
                  </w:pPr>
                  <w:r w:rsidRPr="006C63A8">
                    <w:t>1</w:t>
                  </w:r>
                </w:p>
              </w:tc>
              <w:tc>
                <w:tcPr>
                  <w:tcW w:w="6570" w:type="dxa"/>
                  <w:tcBorders>
                    <w:top w:val="outset" w:sz="6" w:space="0" w:color="auto"/>
                    <w:left w:val="outset" w:sz="6" w:space="0" w:color="auto"/>
                    <w:bottom w:val="outset" w:sz="6" w:space="0" w:color="auto"/>
                    <w:right w:val="outset" w:sz="6" w:space="0" w:color="auto"/>
                  </w:tcBorders>
                  <w:vAlign w:val="bottom"/>
                  <w:hideMark/>
                </w:tcPr>
                <w:p w14:paraId="7F9ECF0D" w14:textId="161028DD" w:rsidR="006C63A8" w:rsidRPr="006C63A8" w:rsidRDefault="006C63A8" w:rsidP="006C63A8">
                  <w:pPr>
                    <w:rPr>
                      <w:sz w:val="15"/>
                      <w:szCs w:val="15"/>
                    </w:rPr>
                  </w:pPr>
                  <w:r w:rsidRPr="006C63A8">
                    <w:t>Determine which of the coexisting digestive conditions</w:t>
                  </w:r>
                  <w:r w:rsidR="00D1621F">
                    <w:t xml:space="preserve"> </w:t>
                  </w:r>
                  <w:proofErr w:type="gramStart"/>
                  <w:r w:rsidR="00D1621F">
                    <w:t>is the predominant disability</w:t>
                  </w:r>
                  <w:proofErr w:type="gramEnd"/>
                  <w:r w:rsidR="00D1621F">
                    <w:t>.</w:t>
                  </w:r>
                </w:p>
                <w:p w14:paraId="09D474DF" w14:textId="4FD0123B" w:rsidR="006C63A8" w:rsidRPr="006C63A8" w:rsidRDefault="006C63A8" w:rsidP="006C63A8">
                  <w:pPr>
                    <w:rPr>
                      <w:sz w:val="15"/>
                      <w:szCs w:val="15"/>
                    </w:rPr>
                  </w:pPr>
                  <w:r w:rsidRPr="006C63A8">
                    <w:rPr>
                      <w:i/>
                      <w:iCs/>
                    </w:rPr>
                    <w:t>Important</w:t>
                  </w:r>
                  <w:r w:rsidR="00291BB1">
                    <w:t>:</w:t>
                  </w:r>
                </w:p>
                <w:p w14:paraId="369436E0" w14:textId="098A30D1" w:rsidR="006C63A8" w:rsidRPr="006C63A8" w:rsidRDefault="006C63A8" w:rsidP="006C63A8">
                  <w:pPr>
                    <w:rPr>
                      <w:sz w:val="15"/>
                      <w:szCs w:val="15"/>
                    </w:rPr>
                  </w:pPr>
                  <w:r w:rsidRPr="006C63A8">
                    <w:t>To determine the predominant disability, determine the evaluation each cond</w:t>
                  </w:r>
                  <w:r w:rsidR="00D1621F">
                    <w:t>ition would support on its own.</w:t>
                  </w:r>
                  <w:r w:rsidRPr="006C63A8">
                    <w:t xml:space="preserve"> The condition that has the highest disability evaluation is the predominant disability.</w:t>
                  </w:r>
                </w:p>
                <w:p w14:paraId="6F09FB20" w14:textId="56DE958B" w:rsidR="006C63A8" w:rsidRPr="006C63A8" w:rsidRDefault="006C63A8" w:rsidP="006C63A8">
                  <w:pPr>
                    <w:rPr>
                      <w:sz w:val="15"/>
                      <w:szCs w:val="15"/>
                    </w:rPr>
                  </w:pPr>
                  <w:r w:rsidRPr="006C63A8">
                    <w:t>If the same evaluation would be assigned to each, go through the analysis in the steps, alternatively treating each condition as the predominant one to see if one alternative provides a more advan</w:t>
                  </w:r>
                  <w:r w:rsidR="00D1621F">
                    <w:t>tageous outcome to the Veteran.</w:t>
                  </w:r>
                </w:p>
              </w:tc>
            </w:tr>
            <w:tr w:rsidR="006C63A8" w:rsidRPr="006C63A8" w14:paraId="68ECD1C8" w14:textId="77777777" w:rsidTr="006C63A8">
              <w:trPr>
                <w:jc w:val="center"/>
              </w:trPr>
              <w:tc>
                <w:tcPr>
                  <w:tcW w:w="1080" w:type="dxa"/>
                  <w:tcBorders>
                    <w:top w:val="outset" w:sz="6" w:space="0" w:color="auto"/>
                    <w:left w:val="outset" w:sz="6" w:space="0" w:color="auto"/>
                    <w:bottom w:val="outset" w:sz="6" w:space="0" w:color="auto"/>
                    <w:right w:val="outset" w:sz="6" w:space="0" w:color="auto"/>
                  </w:tcBorders>
                  <w:hideMark/>
                </w:tcPr>
                <w:p w14:paraId="64D6A09C" w14:textId="77777777" w:rsidR="006C63A8" w:rsidRPr="006C63A8" w:rsidRDefault="006C63A8" w:rsidP="006C63A8">
                  <w:pPr>
                    <w:rPr>
                      <w:sz w:val="15"/>
                      <w:szCs w:val="15"/>
                    </w:rPr>
                  </w:pPr>
                  <w:r w:rsidRPr="006C63A8">
                    <w:t>2</w:t>
                  </w:r>
                </w:p>
              </w:tc>
              <w:tc>
                <w:tcPr>
                  <w:tcW w:w="6570" w:type="dxa"/>
                  <w:tcBorders>
                    <w:top w:val="outset" w:sz="6" w:space="0" w:color="auto"/>
                    <w:left w:val="outset" w:sz="6" w:space="0" w:color="auto"/>
                    <w:bottom w:val="outset" w:sz="6" w:space="0" w:color="auto"/>
                    <w:right w:val="outset" w:sz="6" w:space="0" w:color="auto"/>
                  </w:tcBorders>
                  <w:vAlign w:val="bottom"/>
                  <w:hideMark/>
                </w:tcPr>
                <w:p w14:paraId="18DC7BA2" w14:textId="77777777" w:rsidR="006C63A8" w:rsidRPr="006C63A8" w:rsidRDefault="006C63A8" w:rsidP="006C63A8">
                  <w:pPr>
                    <w:rPr>
                      <w:sz w:val="15"/>
                      <w:szCs w:val="15"/>
                    </w:rPr>
                  </w:pPr>
                  <w:r w:rsidRPr="006C63A8">
                    <w:t>Determine if there are symptoms of the non-predominant disability that do not overlap with those of the predominant disability.</w:t>
                  </w:r>
                </w:p>
                <w:p w14:paraId="5D7FAC19" w14:textId="77777777" w:rsidR="006C63A8" w:rsidRPr="006C63A8" w:rsidRDefault="006C63A8" w:rsidP="006C63A8">
                  <w:pPr>
                    <w:rPr>
                      <w:sz w:val="15"/>
                      <w:szCs w:val="15"/>
                    </w:rPr>
                  </w:pPr>
                  <w:r w:rsidRPr="006C63A8">
                    <w:t xml:space="preserve">If </w:t>
                  </w:r>
                  <w:r w:rsidRPr="006C63A8">
                    <w:rPr>
                      <w:i/>
                      <w:iCs/>
                    </w:rPr>
                    <w:t>yes</w:t>
                  </w:r>
                  <w:r w:rsidRPr="006C63A8">
                    <w:t>, go to Step 3.</w:t>
                  </w:r>
                </w:p>
                <w:p w14:paraId="05FA2868" w14:textId="77777777" w:rsidR="006C63A8" w:rsidRPr="006C63A8" w:rsidRDefault="006C63A8" w:rsidP="006C63A8">
                  <w:pPr>
                    <w:rPr>
                      <w:sz w:val="15"/>
                      <w:szCs w:val="15"/>
                    </w:rPr>
                  </w:pPr>
                  <w:r w:rsidRPr="006C63A8">
                    <w:t xml:space="preserve">If </w:t>
                  </w:r>
                  <w:r w:rsidRPr="006C63A8">
                    <w:rPr>
                      <w:i/>
                      <w:iCs/>
                    </w:rPr>
                    <w:t>no</w:t>
                  </w:r>
                  <w:r w:rsidRPr="006C63A8">
                    <w:t>, go to Step 4.</w:t>
                  </w:r>
                </w:p>
              </w:tc>
            </w:tr>
            <w:tr w:rsidR="006C63A8" w:rsidRPr="006C63A8" w14:paraId="6ABE8C22" w14:textId="77777777" w:rsidTr="006C63A8">
              <w:trPr>
                <w:jc w:val="center"/>
              </w:trPr>
              <w:tc>
                <w:tcPr>
                  <w:tcW w:w="1080" w:type="dxa"/>
                  <w:tcBorders>
                    <w:top w:val="outset" w:sz="6" w:space="0" w:color="auto"/>
                    <w:left w:val="outset" w:sz="6" w:space="0" w:color="auto"/>
                    <w:bottom w:val="outset" w:sz="6" w:space="0" w:color="auto"/>
                    <w:right w:val="outset" w:sz="6" w:space="0" w:color="auto"/>
                  </w:tcBorders>
                  <w:hideMark/>
                </w:tcPr>
                <w:p w14:paraId="6038C1BE" w14:textId="77777777" w:rsidR="006C63A8" w:rsidRPr="006C63A8" w:rsidRDefault="006C63A8" w:rsidP="006C63A8">
                  <w:pPr>
                    <w:rPr>
                      <w:sz w:val="15"/>
                      <w:szCs w:val="15"/>
                    </w:rPr>
                  </w:pPr>
                  <w:r w:rsidRPr="006C63A8">
                    <w:t>3</w:t>
                  </w:r>
                </w:p>
              </w:tc>
              <w:tc>
                <w:tcPr>
                  <w:tcW w:w="6570" w:type="dxa"/>
                  <w:tcBorders>
                    <w:top w:val="outset" w:sz="6" w:space="0" w:color="auto"/>
                    <w:left w:val="outset" w:sz="6" w:space="0" w:color="auto"/>
                    <w:bottom w:val="outset" w:sz="6" w:space="0" w:color="auto"/>
                    <w:right w:val="outset" w:sz="6" w:space="0" w:color="auto"/>
                  </w:tcBorders>
                  <w:vAlign w:val="bottom"/>
                  <w:hideMark/>
                </w:tcPr>
                <w:p w14:paraId="7C6D78ED" w14:textId="4054A349" w:rsidR="006C63A8" w:rsidRPr="006C63A8" w:rsidRDefault="006C63A8" w:rsidP="006C63A8">
                  <w:pPr>
                    <w:rPr>
                      <w:sz w:val="15"/>
                      <w:szCs w:val="15"/>
                    </w:rPr>
                  </w:pPr>
                  <w:r w:rsidRPr="006C63A8">
                    <w:t xml:space="preserve">Reevaluate the predominant disability but this time also consider the non-overlapping symptoms of </w:t>
                  </w:r>
                  <w:r w:rsidR="00D1621F">
                    <w:t>the non-predominant disability.</w:t>
                  </w:r>
                </w:p>
                <w:p w14:paraId="3982973D" w14:textId="2D326248" w:rsidR="006C63A8" w:rsidRPr="006C63A8" w:rsidRDefault="006C63A8" w:rsidP="006C63A8">
                  <w:pPr>
                    <w:rPr>
                      <w:sz w:val="15"/>
                      <w:szCs w:val="15"/>
                    </w:rPr>
                  </w:pPr>
                  <w:r w:rsidRPr="006C63A8">
                    <w:rPr>
                      <w:i/>
                      <w:iCs/>
                    </w:rPr>
                    <w:t>Important</w:t>
                  </w:r>
                  <w:r w:rsidR="00291BB1">
                    <w:t>:</w:t>
                  </w:r>
                  <w:r w:rsidRPr="006C63A8">
                    <w:t xml:space="preserve"> The non-overlapping symptoms must support a higher evaluation when applied to the DC criteria being utilized </w:t>
                  </w:r>
                  <w:r w:rsidR="00D1621F">
                    <w:t>for the predominant disability.</w:t>
                  </w:r>
                </w:p>
                <w:p w14:paraId="701AC2A9" w14:textId="2F6211CB" w:rsidR="006C63A8" w:rsidRPr="006C63A8" w:rsidRDefault="006C63A8" w:rsidP="006C63A8">
                  <w:pPr>
                    <w:rPr>
                      <w:sz w:val="15"/>
                      <w:szCs w:val="15"/>
                    </w:rPr>
                  </w:pPr>
                  <w:r w:rsidRPr="006C63A8">
                    <w:t>Determine if the resultant evaluation is higher than the evaluation for the symptoms of the predominant disability alone (as derived in Step 1).</w:t>
                  </w:r>
                </w:p>
                <w:p w14:paraId="4DAAC07C" w14:textId="77777777" w:rsidR="006C63A8" w:rsidRPr="006C63A8" w:rsidRDefault="006C63A8" w:rsidP="006C63A8">
                  <w:pPr>
                    <w:rPr>
                      <w:sz w:val="15"/>
                      <w:szCs w:val="15"/>
                    </w:rPr>
                  </w:pPr>
                  <w:r w:rsidRPr="006C63A8">
                    <w:t xml:space="preserve">If </w:t>
                  </w:r>
                  <w:r w:rsidRPr="006C63A8">
                    <w:rPr>
                      <w:i/>
                      <w:iCs/>
                    </w:rPr>
                    <w:t>yes</w:t>
                  </w:r>
                  <w:r w:rsidRPr="006C63A8">
                    <w:t>, go to Step 5.</w:t>
                  </w:r>
                </w:p>
                <w:p w14:paraId="2AA72EE3" w14:textId="77777777" w:rsidR="006C63A8" w:rsidRPr="006C63A8" w:rsidRDefault="006C63A8" w:rsidP="006C63A8">
                  <w:pPr>
                    <w:rPr>
                      <w:sz w:val="15"/>
                      <w:szCs w:val="15"/>
                    </w:rPr>
                  </w:pPr>
                  <w:r w:rsidRPr="006C63A8">
                    <w:t xml:space="preserve">If </w:t>
                  </w:r>
                  <w:r w:rsidRPr="006C63A8">
                    <w:rPr>
                      <w:i/>
                      <w:iCs/>
                    </w:rPr>
                    <w:t>no</w:t>
                  </w:r>
                  <w:r w:rsidRPr="006C63A8">
                    <w:t>, go to Step 4.</w:t>
                  </w:r>
                </w:p>
              </w:tc>
            </w:tr>
            <w:tr w:rsidR="006C63A8" w:rsidRPr="006C63A8" w14:paraId="21DB1129" w14:textId="77777777" w:rsidTr="006C63A8">
              <w:trPr>
                <w:jc w:val="center"/>
              </w:trPr>
              <w:tc>
                <w:tcPr>
                  <w:tcW w:w="1080" w:type="dxa"/>
                  <w:tcBorders>
                    <w:top w:val="outset" w:sz="6" w:space="0" w:color="auto"/>
                    <w:left w:val="outset" w:sz="6" w:space="0" w:color="auto"/>
                    <w:bottom w:val="outset" w:sz="6" w:space="0" w:color="auto"/>
                    <w:right w:val="outset" w:sz="6" w:space="0" w:color="auto"/>
                  </w:tcBorders>
                  <w:hideMark/>
                </w:tcPr>
                <w:p w14:paraId="2B12F41B" w14:textId="77777777" w:rsidR="006C63A8" w:rsidRPr="006C63A8" w:rsidRDefault="006C63A8" w:rsidP="006C63A8">
                  <w:pPr>
                    <w:rPr>
                      <w:sz w:val="15"/>
                      <w:szCs w:val="15"/>
                    </w:rPr>
                  </w:pPr>
                  <w:r w:rsidRPr="006C63A8">
                    <w:t>4</w:t>
                  </w:r>
                </w:p>
              </w:tc>
              <w:tc>
                <w:tcPr>
                  <w:tcW w:w="6570" w:type="dxa"/>
                  <w:tcBorders>
                    <w:top w:val="outset" w:sz="6" w:space="0" w:color="auto"/>
                    <w:left w:val="outset" w:sz="6" w:space="0" w:color="auto"/>
                    <w:bottom w:val="outset" w:sz="6" w:space="0" w:color="auto"/>
                    <w:right w:val="outset" w:sz="6" w:space="0" w:color="auto"/>
                  </w:tcBorders>
                  <w:vAlign w:val="bottom"/>
                  <w:hideMark/>
                </w:tcPr>
                <w:p w14:paraId="112B7E09" w14:textId="77777777" w:rsidR="006C63A8" w:rsidRPr="006C63A8" w:rsidRDefault="006C63A8" w:rsidP="006C63A8">
                  <w:pPr>
                    <w:rPr>
                      <w:sz w:val="15"/>
                      <w:szCs w:val="15"/>
                    </w:rPr>
                  </w:pPr>
                  <w:r w:rsidRPr="006C63A8">
                    <w:t xml:space="preserve">Rate the coexistent disabilities together under the rating criteria for the predominant disability </w:t>
                  </w:r>
                  <w:r w:rsidRPr="006C63A8">
                    <w:rPr>
                      <w:i/>
                      <w:iCs/>
                    </w:rPr>
                    <w:t>without elevation</w:t>
                  </w:r>
                  <w:r w:rsidRPr="006C63A8">
                    <w:t xml:space="preserve"> to the next higher </w:t>
                  </w:r>
                  <w:r w:rsidRPr="006C63A8">
                    <w:lastRenderedPageBreak/>
                    <w:t>evaluation.</w:t>
                  </w:r>
                </w:p>
                <w:p w14:paraId="4C8EEB06" w14:textId="77777777" w:rsidR="006C63A8" w:rsidRPr="006C63A8" w:rsidRDefault="006C63A8" w:rsidP="006C63A8">
                  <w:pPr>
                    <w:rPr>
                      <w:sz w:val="15"/>
                      <w:szCs w:val="15"/>
                    </w:rPr>
                  </w:pPr>
                  <w:r w:rsidRPr="006C63A8">
                    <w:t>No further action necessary. </w:t>
                  </w:r>
                </w:p>
              </w:tc>
            </w:tr>
            <w:tr w:rsidR="006C63A8" w:rsidRPr="006C63A8" w14:paraId="7E980183" w14:textId="77777777" w:rsidTr="006C63A8">
              <w:trPr>
                <w:jc w:val="center"/>
              </w:trPr>
              <w:tc>
                <w:tcPr>
                  <w:tcW w:w="1080" w:type="dxa"/>
                  <w:tcBorders>
                    <w:top w:val="outset" w:sz="6" w:space="0" w:color="auto"/>
                    <w:left w:val="outset" w:sz="6" w:space="0" w:color="auto"/>
                    <w:bottom w:val="outset" w:sz="6" w:space="0" w:color="auto"/>
                    <w:right w:val="outset" w:sz="6" w:space="0" w:color="auto"/>
                  </w:tcBorders>
                  <w:hideMark/>
                </w:tcPr>
                <w:p w14:paraId="6C2E0C69" w14:textId="77777777" w:rsidR="006C63A8" w:rsidRPr="006C63A8" w:rsidRDefault="006C63A8" w:rsidP="006C63A8">
                  <w:pPr>
                    <w:rPr>
                      <w:sz w:val="15"/>
                      <w:szCs w:val="15"/>
                    </w:rPr>
                  </w:pPr>
                  <w:r w:rsidRPr="006C63A8">
                    <w:lastRenderedPageBreak/>
                    <w:t>5</w:t>
                  </w:r>
                </w:p>
              </w:tc>
              <w:tc>
                <w:tcPr>
                  <w:tcW w:w="6570" w:type="dxa"/>
                  <w:tcBorders>
                    <w:top w:val="outset" w:sz="6" w:space="0" w:color="auto"/>
                    <w:left w:val="outset" w:sz="6" w:space="0" w:color="auto"/>
                    <w:bottom w:val="outset" w:sz="6" w:space="0" w:color="auto"/>
                    <w:right w:val="outset" w:sz="6" w:space="0" w:color="auto"/>
                  </w:tcBorders>
                  <w:vAlign w:val="bottom"/>
                  <w:hideMark/>
                </w:tcPr>
                <w:p w14:paraId="3D9F1307" w14:textId="77777777" w:rsidR="006C63A8" w:rsidRPr="006C63A8" w:rsidRDefault="006C63A8" w:rsidP="006C63A8">
                  <w:pPr>
                    <w:rPr>
                      <w:sz w:val="15"/>
                      <w:szCs w:val="15"/>
                    </w:rPr>
                  </w:pPr>
                  <w:r w:rsidRPr="006C63A8">
                    <w:t>Rate the coexistent disabilities together under the rating criteria for the predominant disability and elevate to the next higher evaluation.</w:t>
                  </w:r>
                </w:p>
                <w:p w14:paraId="1AA9C930" w14:textId="77777777" w:rsidR="006C63A8" w:rsidRPr="006C63A8" w:rsidRDefault="006C63A8" w:rsidP="006C63A8">
                  <w:pPr>
                    <w:rPr>
                      <w:sz w:val="15"/>
                      <w:szCs w:val="15"/>
                    </w:rPr>
                  </w:pPr>
                  <w:r w:rsidRPr="006C63A8">
                    <w:t>No further action necessary. </w:t>
                  </w:r>
                </w:p>
              </w:tc>
            </w:tr>
          </w:tbl>
          <w:p w14:paraId="287EFEF2" w14:textId="77777777" w:rsidR="006C63A8" w:rsidRPr="006C63A8" w:rsidRDefault="006C63A8" w:rsidP="006C63A8">
            <w:pPr>
              <w:overflowPunct/>
              <w:autoSpaceDE/>
              <w:autoSpaceDN/>
              <w:adjustRightInd/>
              <w:spacing w:before="0"/>
              <w:rPr>
                <w:rFonts w:ascii="Arial" w:hAnsi="Arial" w:cs="Arial"/>
                <w:sz w:val="15"/>
                <w:szCs w:val="15"/>
              </w:rPr>
            </w:pPr>
            <w:r w:rsidRPr="006C63A8">
              <w:rPr>
                <w:rFonts w:ascii="Arial" w:hAnsi="Arial" w:cs="Arial"/>
                <w:sz w:val="15"/>
                <w:szCs w:val="15"/>
              </w:rPr>
              <w:t> </w:t>
            </w:r>
          </w:p>
          <w:p w14:paraId="2B07433C" w14:textId="1C5AFCD4" w:rsidR="006C63A8" w:rsidRPr="006C63A8" w:rsidRDefault="006C63A8" w:rsidP="006C63A8">
            <w:pPr>
              <w:rPr>
                <w:sz w:val="15"/>
                <w:szCs w:val="15"/>
              </w:rPr>
            </w:pPr>
            <w:r w:rsidRPr="006C63A8">
              <w:rPr>
                <w:bCs/>
                <w:i/>
                <w:iCs/>
              </w:rPr>
              <w:t>Important</w:t>
            </w:r>
            <w:r w:rsidR="00291BB1">
              <w:t>:</w:t>
            </w:r>
            <w:r w:rsidRPr="006C63A8">
              <w:t xml:space="preserve"> The “next higher level of evaluation” is the lowest evaluation specified in the DC for the predominant disability </w:t>
            </w:r>
            <w:r w:rsidRPr="006C63A8">
              <w:rPr>
                <w:i/>
                <w:iCs/>
              </w:rPr>
              <w:t>that provides greater compensation than the evaluation derived in Step 1</w:t>
            </w:r>
            <w:r w:rsidRPr="006C63A8">
              <w:t xml:space="preserve"> (the evaluation that would be supported by only the symptoms of the predominant disability without the symp</w:t>
            </w:r>
            <w:r w:rsidR="00D1621F">
              <w:t>toms of the lesser disability).</w:t>
            </w:r>
            <w:r w:rsidRPr="006C63A8">
              <w:t xml:space="preserve"> </w:t>
            </w:r>
            <w:r w:rsidRPr="006C63A8">
              <w:rPr>
                <w:bCs/>
              </w:rPr>
              <w:t>Do not simply add 10 percent</w:t>
            </w:r>
            <w:r w:rsidRPr="006C63A8">
              <w:t>.</w:t>
            </w:r>
          </w:p>
          <w:p w14:paraId="51A74B70" w14:textId="77777777" w:rsidR="006F298D" w:rsidRDefault="006F298D" w:rsidP="006C63A8">
            <w:pPr>
              <w:spacing w:after="240"/>
              <w:textAlignment w:val="baseline"/>
            </w:pPr>
          </w:p>
          <w:p w14:paraId="3D649A48" w14:textId="77777777" w:rsidR="006C63A8" w:rsidRPr="005612BE" w:rsidRDefault="0083226A" w:rsidP="006C63A8">
            <w:pPr>
              <w:spacing w:after="240"/>
              <w:textAlignment w:val="baseline"/>
            </w:pPr>
            <w:r w:rsidRPr="005612BE">
              <w:t>Liver transplan</w:t>
            </w:r>
            <w:r w:rsidR="006C63A8" w:rsidRPr="005612BE">
              <w:t>t may be required for treatment (DC 7351).</w:t>
            </w:r>
          </w:p>
          <w:p w14:paraId="4A2ECEBB" w14:textId="577F9C70" w:rsidR="0083226A" w:rsidRPr="006C63A8" w:rsidRDefault="0083226A" w:rsidP="006C63A8">
            <w:pPr>
              <w:spacing w:after="240"/>
              <w:textAlignment w:val="baseline"/>
              <w:rPr>
                <w:b/>
                <w:i/>
                <w:szCs w:val="24"/>
              </w:rPr>
            </w:pPr>
            <w:r w:rsidRPr="00A22945">
              <w:rPr>
                <w:b/>
                <w:i/>
                <w:noProof/>
                <w:szCs w:val="24"/>
              </w:rPr>
              <w:drawing>
                <wp:inline distT="0" distB="0" distL="0" distR="0" wp14:anchorId="43C97B91" wp14:editId="2E603F2E">
                  <wp:extent cx="5935005" cy="1010093"/>
                  <wp:effectExtent l="19050" t="19050" r="8890" b="1905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98841" cy="1020957"/>
                          </a:xfrm>
                          <a:prstGeom prst="rect">
                            <a:avLst/>
                          </a:prstGeom>
                          <a:noFill/>
                          <a:ln w="12700">
                            <a:solidFill>
                              <a:srgbClr val="1F497D"/>
                            </a:solidFill>
                            <a:miter lim="800000"/>
                            <a:headEnd/>
                            <a:tailEnd/>
                          </a:ln>
                          <a:extLst/>
                        </pic:spPr>
                      </pic:pic>
                    </a:graphicData>
                  </a:graphic>
                </wp:inline>
              </w:drawing>
            </w:r>
          </w:p>
          <w:p w14:paraId="00BDACDC" w14:textId="78C14844" w:rsidR="0083226A" w:rsidRDefault="0083226A" w:rsidP="006C63A8">
            <w:pPr>
              <w:textAlignment w:val="baseline"/>
            </w:pPr>
            <w:r w:rsidRPr="00A22945">
              <w:t>If not already at a total evaluation, lengthy hospitalization may be required while w</w:t>
            </w:r>
            <w:r w:rsidR="00D1621F">
              <w:t xml:space="preserve">aiting for a liver transplant. </w:t>
            </w:r>
            <w:r w:rsidR="006C63A8">
              <w:t>Claims should be reviewed for consideration of a temporary total evaluation under 38 CFR 4.29:</w:t>
            </w:r>
          </w:p>
          <w:p w14:paraId="4C4A7E3D" w14:textId="77777777" w:rsidR="006C63A8" w:rsidRPr="006C63A8" w:rsidRDefault="006C63A8" w:rsidP="006C63A8">
            <w:r w:rsidRPr="006C63A8">
              <w:t>§4.29   Ratings for service-connected disabilities requiring hospital treatment or observation.</w:t>
            </w:r>
          </w:p>
          <w:p w14:paraId="60D9C9D8" w14:textId="77777777" w:rsidR="006C63A8" w:rsidRPr="006C63A8" w:rsidRDefault="006C63A8" w:rsidP="006C63A8">
            <w:r w:rsidRPr="006C63A8">
              <w:t xml:space="preserve">A total disability rating (100 percent) will be assigned without regard to other provisions of the rating schedule when it is established that a service-connected disability has required hospital treatment in a Department of Veterans Affairs or an approved hospital for a period in excess of 21 days or </w:t>
            </w:r>
            <w:r w:rsidRPr="006C63A8">
              <w:rPr>
                <w:i/>
                <w:iCs/>
              </w:rPr>
              <w:t>hospital observation at Department of Veterans Affairs expense</w:t>
            </w:r>
            <w:r w:rsidRPr="006C63A8">
              <w:t xml:space="preserve"> for a service-connected disability for a period in excess of 21 days.</w:t>
            </w:r>
          </w:p>
          <w:p w14:paraId="079D2DFF" w14:textId="77777777" w:rsidR="006C63A8" w:rsidRPr="00A22945" w:rsidRDefault="006C63A8" w:rsidP="00A22945">
            <w:pPr>
              <w:textAlignment w:val="baseline"/>
              <w:rPr>
                <w:b/>
                <w:i/>
              </w:rPr>
            </w:pPr>
          </w:p>
        </w:tc>
      </w:tr>
    </w:tbl>
    <w:p w14:paraId="2CE82DD3" w14:textId="77777777" w:rsidR="006F298D" w:rsidRDefault="006F298D">
      <w:r>
        <w:lastRenderedPageBreak/>
        <w:br w:type="page"/>
      </w:r>
    </w:p>
    <w:tbl>
      <w:tblPr>
        <w:tblW w:w="98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9835"/>
      </w:tblGrid>
      <w:tr w:rsidR="0083226A" w:rsidRPr="00A22945" w14:paraId="51B9CC75" w14:textId="77777777" w:rsidTr="0083226A">
        <w:trPr>
          <w:trHeight w:val="212"/>
        </w:trPr>
        <w:tc>
          <w:tcPr>
            <w:tcW w:w="9835" w:type="dxa"/>
            <w:tcBorders>
              <w:top w:val="nil"/>
              <w:left w:val="nil"/>
              <w:bottom w:val="nil"/>
              <w:right w:val="nil"/>
            </w:tcBorders>
          </w:tcPr>
          <w:p w14:paraId="788DE7C8" w14:textId="3ED28294" w:rsidR="00570669" w:rsidRPr="00570669" w:rsidRDefault="00570669" w:rsidP="00570669">
            <w:pPr>
              <w:ind w:left="360"/>
              <w:jc w:val="center"/>
              <w:textAlignment w:val="baseline"/>
              <w:rPr>
                <w:b/>
              </w:rPr>
            </w:pPr>
            <w:r w:rsidRPr="00570669">
              <w:rPr>
                <w:b/>
              </w:rPr>
              <w:lastRenderedPageBreak/>
              <w:t xml:space="preserve">Aplastic Anemia and other </w:t>
            </w:r>
            <w:proofErr w:type="spellStart"/>
            <w:r w:rsidRPr="00570669">
              <w:rPr>
                <w:b/>
              </w:rPr>
              <w:t>Myelodysplastic</w:t>
            </w:r>
            <w:proofErr w:type="spellEnd"/>
            <w:r w:rsidRPr="00570669">
              <w:rPr>
                <w:b/>
              </w:rPr>
              <w:t xml:space="preserve"> Syndromes</w:t>
            </w:r>
          </w:p>
          <w:p w14:paraId="115533A0" w14:textId="3791E001" w:rsidR="0083226A" w:rsidRPr="00A22945" w:rsidRDefault="00570669" w:rsidP="00570669">
            <w:pPr>
              <w:textAlignment w:val="baseline"/>
            </w:pPr>
            <w:r>
              <w:t>Aplastic anemia is</w:t>
            </w:r>
            <w:r w:rsidR="0083226A" w:rsidRPr="00A22945">
              <w:t xml:space="preserve"> evaluated under DC 7716:</w:t>
            </w:r>
          </w:p>
          <w:p w14:paraId="6E9B2A7C" w14:textId="237FCB40" w:rsidR="0083226A" w:rsidRPr="00A22945" w:rsidRDefault="0083226A" w:rsidP="00570669">
            <w:pPr>
              <w:spacing w:after="240"/>
              <w:textAlignment w:val="baseline"/>
              <w:rPr>
                <w:b/>
                <w:i/>
                <w:szCs w:val="24"/>
              </w:rPr>
            </w:pPr>
            <w:r w:rsidRPr="00A22945">
              <w:rPr>
                <w:b/>
                <w:i/>
                <w:noProof/>
                <w:szCs w:val="24"/>
              </w:rPr>
              <w:drawing>
                <wp:inline distT="0" distB="0" distL="0" distR="0" wp14:anchorId="11CF320C" wp14:editId="428C82B9">
                  <wp:extent cx="5890437" cy="1556308"/>
                  <wp:effectExtent l="19050" t="19050" r="15240" b="2540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896027" cy="1557785"/>
                          </a:xfrm>
                          <a:prstGeom prst="rect">
                            <a:avLst/>
                          </a:prstGeom>
                          <a:noFill/>
                          <a:ln w="12700">
                            <a:solidFill>
                              <a:srgbClr val="1F497D"/>
                            </a:solidFill>
                            <a:miter lim="800000"/>
                            <a:headEnd/>
                            <a:tailEnd/>
                          </a:ln>
                          <a:extLst/>
                        </pic:spPr>
                      </pic:pic>
                    </a:graphicData>
                  </a:graphic>
                </wp:inline>
              </w:drawing>
            </w:r>
          </w:p>
        </w:tc>
      </w:tr>
      <w:tr w:rsidR="0083226A" w:rsidRPr="00A22945" w14:paraId="5A548DD3" w14:textId="77777777" w:rsidTr="0083226A">
        <w:trPr>
          <w:trHeight w:val="212"/>
        </w:trPr>
        <w:tc>
          <w:tcPr>
            <w:tcW w:w="9835" w:type="dxa"/>
            <w:tcBorders>
              <w:top w:val="nil"/>
              <w:left w:val="nil"/>
              <w:bottom w:val="nil"/>
              <w:right w:val="nil"/>
            </w:tcBorders>
          </w:tcPr>
          <w:p w14:paraId="4D70A078" w14:textId="2F5860D7" w:rsidR="0083226A" w:rsidRPr="00A22945" w:rsidRDefault="0083226A" w:rsidP="00570669">
            <w:pPr>
              <w:textAlignment w:val="baseline"/>
            </w:pPr>
            <w:proofErr w:type="spellStart"/>
            <w:r w:rsidRPr="00A22945">
              <w:t>Myelodysplastic</w:t>
            </w:r>
            <w:proofErr w:type="spellEnd"/>
            <w:r w:rsidRPr="00A22945">
              <w:t xml:space="preserve"> syndromes (MDS) are a group of closely related diseases in which the bone marro</w:t>
            </w:r>
            <w:r w:rsidR="00570669">
              <w:t xml:space="preserve">w produces too few functioning </w:t>
            </w:r>
            <w:r w:rsidRPr="00A22945">
              <w:t>red blood cells</w:t>
            </w:r>
            <w:r w:rsidR="00570669">
              <w:t xml:space="preserve">, </w:t>
            </w:r>
            <w:r w:rsidRPr="00A22945">
              <w:t>white blood cells</w:t>
            </w:r>
            <w:r w:rsidR="00570669">
              <w:t xml:space="preserve">, </w:t>
            </w:r>
            <w:r w:rsidRPr="00A22945">
              <w:t>platelets, or</w:t>
            </w:r>
            <w:r w:rsidR="00570669">
              <w:t xml:space="preserve"> </w:t>
            </w:r>
            <w:r w:rsidRPr="00A22945">
              <w:t xml:space="preserve">any combination of the three. MDS </w:t>
            </w:r>
            <w:r w:rsidR="00570669">
              <w:t>is</w:t>
            </w:r>
            <w:r w:rsidRPr="00A22945">
              <w:t xml:space="preserve"> rated as aplastic anemia under DC 7716, if the MDS progresses to leukemia, evaluate as leukemia under DC 7703.</w:t>
            </w:r>
          </w:p>
          <w:p w14:paraId="74C8E70B" w14:textId="77777777" w:rsidR="0083226A" w:rsidRPr="00A22945" w:rsidRDefault="0083226A" w:rsidP="00A22945">
            <w:pPr>
              <w:spacing w:after="240"/>
              <w:textAlignment w:val="baseline"/>
              <w:rPr>
                <w:b/>
                <w:i/>
                <w:szCs w:val="24"/>
              </w:rPr>
            </w:pPr>
          </w:p>
        </w:tc>
      </w:tr>
      <w:tr w:rsidR="0083226A" w:rsidRPr="00A22945" w14:paraId="34DB78DC" w14:textId="77777777" w:rsidTr="0083226A">
        <w:trPr>
          <w:trHeight w:val="212"/>
        </w:trPr>
        <w:tc>
          <w:tcPr>
            <w:tcW w:w="9835" w:type="dxa"/>
            <w:tcBorders>
              <w:top w:val="nil"/>
              <w:left w:val="nil"/>
              <w:bottom w:val="nil"/>
              <w:right w:val="nil"/>
            </w:tcBorders>
          </w:tcPr>
          <w:p w14:paraId="0D860E0C" w14:textId="5C4FDF6A" w:rsidR="009D5177" w:rsidRPr="009D5177" w:rsidRDefault="009D5177" w:rsidP="009D5177">
            <w:pPr>
              <w:ind w:left="360"/>
              <w:jc w:val="center"/>
              <w:textAlignment w:val="baseline"/>
              <w:rPr>
                <w:b/>
              </w:rPr>
            </w:pPr>
            <w:r w:rsidRPr="009D5177">
              <w:rPr>
                <w:b/>
              </w:rPr>
              <w:t>Non-Hodgkin’</w:t>
            </w:r>
            <w:r w:rsidR="00536F93">
              <w:rPr>
                <w:b/>
              </w:rPr>
              <w:t>s L</w:t>
            </w:r>
            <w:r w:rsidRPr="009D5177">
              <w:rPr>
                <w:b/>
              </w:rPr>
              <w:t>ymphoma (NHL)</w:t>
            </w:r>
          </w:p>
          <w:p w14:paraId="27E2D079" w14:textId="77777777" w:rsidR="0083226A" w:rsidRPr="00A22945" w:rsidRDefault="0083226A" w:rsidP="009D5177">
            <w:pPr>
              <w:textAlignment w:val="baseline"/>
            </w:pPr>
            <w:r w:rsidRPr="00A22945">
              <w:t>Non-Hodgkin’s lymphoma (NHL) is evaluated under DC 7715:</w:t>
            </w:r>
          </w:p>
          <w:p w14:paraId="436482BB" w14:textId="77777777" w:rsidR="0083226A" w:rsidRPr="00A22945" w:rsidRDefault="0083226A" w:rsidP="00A22945">
            <w:pPr>
              <w:textAlignment w:val="baseline"/>
            </w:pPr>
            <w:r w:rsidRPr="00A22945">
              <w:rPr>
                <w:noProof/>
              </w:rPr>
              <w:drawing>
                <wp:inline distT="0" distB="0" distL="0" distR="0" wp14:anchorId="5A5BB776" wp14:editId="7AFB297C">
                  <wp:extent cx="5922335" cy="1050463"/>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011037" cy="1066196"/>
                          </a:xfrm>
                          <a:prstGeom prst="rect">
                            <a:avLst/>
                          </a:prstGeom>
                          <a:noFill/>
                        </pic:spPr>
                      </pic:pic>
                    </a:graphicData>
                  </a:graphic>
                </wp:inline>
              </w:drawing>
            </w:r>
          </w:p>
          <w:p w14:paraId="6E6D6E0D" w14:textId="136A8B4D" w:rsidR="0083226A" w:rsidRPr="00A22945" w:rsidRDefault="0083226A" w:rsidP="009D5177">
            <w:pPr>
              <w:textAlignment w:val="baseline"/>
            </w:pPr>
            <w:r w:rsidRPr="00A22945">
              <w:t>If the disease has actively persisted for several years, thoroughly examine the medical record to d</w:t>
            </w:r>
            <w:r w:rsidR="009D5177">
              <w:t xml:space="preserve">etermine whether the disease is </w:t>
            </w:r>
            <w:r w:rsidRPr="00A22945">
              <w:t>actually in remission</w:t>
            </w:r>
            <w:r w:rsidR="009D5177">
              <w:t xml:space="preserve"> or </w:t>
            </w:r>
            <w:r w:rsidRPr="00A22945">
              <w:t>still active and being regularly treated over extended periods of time.</w:t>
            </w:r>
          </w:p>
          <w:p w14:paraId="796EC5BC" w14:textId="37FC4656" w:rsidR="0083226A" w:rsidRDefault="00A232B7" w:rsidP="00A22945">
            <w:pPr>
              <w:textAlignment w:val="baseline"/>
              <w:rPr>
                <w:szCs w:val="24"/>
              </w:rPr>
            </w:pPr>
            <w:r w:rsidRPr="00A232B7">
              <w:rPr>
                <w:szCs w:val="24"/>
              </w:rPr>
              <w:t>P</w:t>
            </w:r>
            <w:r w:rsidR="0083226A" w:rsidRPr="00A232B7">
              <w:rPr>
                <w:szCs w:val="24"/>
              </w:rPr>
              <w:t xml:space="preserve">resumptive service connection is warranted if the evidence shows a diagnosis of any of the subcategories of low, intermediate, or high-grade </w:t>
            </w:r>
            <w:proofErr w:type="spellStart"/>
            <w:r w:rsidR="0083226A" w:rsidRPr="00A232B7">
              <w:rPr>
                <w:szCs w:val="24"/>
              </w:rPr>
              <w:t>lymphona</w:t>
            </w:r>
            <w:proofErr w:type="spellEnd"/>
            <w:r w:rsidR="0083226A" w:rsidRPr="00A232B7">
              <w:rPr>
                <w:szCs w:val="24"/>
              </w:rPr>
              <w:t xml:space="preserve"> listed in the table.</w:t>
            </w:r>
          </w:p>
          <w:p w14:paraId="629E9AC4" w14:textId="77777777" w:rsidR="00A232B7" w:rsidRPr="00A232B7" w:rsidRDefault="00A232B7" w:rsidP="00A22945">
            <w:pPr>
              <w:textAlignment w:val="baseline"/>
              <w:rPr>
                <w:szCs w:val="24"/>
              </w:rPr>
            </w:pPr>
          </w:p>
          <w:tbl>
            <w:tblPr>
              <w:tblW w:w="712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375"/>
              <w:gridCol w:w="2375"/>
              <w:gridCol w:w="2375"/>
            </w:tblGrid>
            <w:tr w:rsidR="00A232B7" w:rsidRPr="00A232B7" w14:paraId="12DF7F96" w14:textId="77777777" w:rsidTr="00A232B7">
              <w:trPr>
                <w:trHeight w:val="285"/>
                <w:jc w:val="center"/>
              </w:trPr>
              <w:tc>
                <w:tcPr>
                  <w:tcW w:w="2520" w:type="dxa"/>
                  <w:tcBorders>
                    <w:top w:val="outset" w:sz="6" w:space="0" w:color="auto"/>
                    <w:left w:val="outset" w:sz="6" w:space="0" w:color="auto"/>
                    <w:bottom w:val="outset" w:sz="6" w:space="0" w:color="auto"/>
                    <w:right w:val="outset" w:sz="6" w:space="0" w:color="auto"/>
                  </w:tcBorders>
                  <w:vAlign w:val="bottom"/>
                  <w:hideMark/>
                </w:tcPr>
                <w:p w14:paraId="78A063CE" w14:textId="77777777" w:rsidR="00A232B7" w:rsidRPr="00A232B7" w:rsidRDefault="00A232B7" w:rsidP="00A232B7">
                  <w:pPr>
                    <w:rPr>
                      <w:sz w:val="15"/>
                      <w:szCs w:val="15"/>
                    </w:rPr>
                  </w:pPr>
                  <w:r w:rsidRPr="00A232B7">
                    <w:rPr>
                      <w:rStyle w:val="Strong"/>
                      <w:sz w:val="21"/>
                      <w:szCs w:val="21"/>
                    </w:rPr>
                    <w:t>Low Grade Lymphoma</w:t>
                  </w:r>
                </w:p>
              </w:tc>
              <w:tc>
                <w:tcPr>
                  <w:tcW w:w="2520" w:type="dxa"/>
                  <w:tcBorders>
                    <w:top w:val="outset" w:sz="6" w:space="0" w:color="auto"/>
                    <w:left w:val="outset" w:sz="6" w:space="0" w:color="auto"/>
                    <w:bottom w:val="outset" w:sz="6" w:space="0" w:color="auto"/>
                    <w:right w:val="outset" w:sz="6" w:space="0" w:color="auto"/>
                  </w:tcBorders>
                  <w:vAlign w:val="bottom"/>
                  <w:hideMark/>
                </w:tcPr>
                <w:p w14:paraId="3C21BE10" w14:textId="77777777" w:rsidR="00A232B7" w:rsidRPr="00A232B7" w:rsidRDefault="00A232B7" w:rsidP="00A232B7">
                  <w:pPr>
                    <w:rPr>
                      <w:sz w:val="15"/>
                      <w:szCs w:val="15"/>
                    </w:rPr>
                  </w:pPr>
                  <w:r w:rsidRPr="00A232B7">
                    <w:rPr>
                      <w:rStyle w:val="Strong"/>
                      <w:sz w:val="21"/>
                      <w:szCs w:val="21"/>
                    </w:rPr>
                    <w:t>Intermediate Grade Lymphoma</w:t>
                  </w:r>
                </w:p>
              </w:tc>
              <w:tc>
                <w:tcPr>
                  <w:tcW w:w="2520" w:type="dxa"/>
                  <w:tcBorders>
                    <w:top w:val="outset" w:sz="6" w:space="0" w:color="auto"/>
                    <w:left w:val="outset" w:sz="6" w:space="0" w:color="auto"/>
                    <w:bottom w:val="outset" w:sz="6" w:space="0" w:color="auto"/>
                    <w:right w:val="outset" w:sz="6" w:space="0" w:color="auto"/>
                  </w:tcBorders>
                  <w:vAlign w:val="bottom"/>
                  <w:hideMark/>
                </w:tcPr>
                <w:p w14:paraId="758538C3" w14:textId="77777777" w:rsidR="00A232B7" w:rsidRPr="00A232B7" w:rsidRDefault="00A232B7" w:rsidP="00A232B7">
                  <w:pPr>
                    <w:rPr>
                      <w:sz w:val="15"/>
                      <w:szCs w:val="15"/>
                    </w:rPr>
                  </w:pPr>
                  <w:r w:rsidRPr="00A232B7">
                    <w:rPr>
                      <w:rStyle w:val="Strong"/>
                      <w:sz w:val="21"/>
                      <w:szCs w:val="21"/>
                    </w:rPr>
                    <w:t>High Grade Lymphoma</w:t>
                  </w:r>
                </w:p>
              </w:tc>
            </w:tr>
            <w:tr w:rsidR="00A232B7" w:rsidRPr="00A232B7" w14:paraId="22B120B4" w14:textId="77777777" w:rsidTr="00A232B7">
              <w:trPr>
                <w:trHeight w:val="285"/>
                <w:jc w:val="center"/>
              </w:trPr>
              <w:tc>
                <w:tcPr>
                  <w:tcW w:w="2520" w:type="dxa"/>
                  <w:tcBorders>
                    <w:top w:val="outset" w:sz="6" w:space="0" w:color="auto"/>
                    <w:left w:val="outset" w:sz="6" w:space="0" w:color="auto"/>
                    <w:bottom w:val="outset" w:sz="6" w:space="0" w:color="auto"/>
                    <w:right w:val="outset" w:sz="6" w:space="0" w:color="auto"/>
                  </w:tcBorders>
                  <w:vAlign w:val="bottom"/>
                  <w:hideMark/>
                </w:tcPr>
                <w:p w14:paraId="232E62CE" w14:textId="77777777" w:rsidR="00A232B7" w:rsidRPr="00A232B7" w:rsidRDefault="00A232B7" w:rsidP="00A232B7">
                  <w:pPr>
                    <w:rPr>
                      <w:sz w:val="15"/>
                      <w:szCs w:val="15"/>
                    </w:rPr>
                  </w:pPr>
                  <w:r w:rsidRPr="00A232B7">
                    <w:t xml:space="preserve">Small lymphocytic with </w:t>
                  </w:r>
                  <w:proofErr w:type="spellStart"/>
                  <w:r w:rsidRPr="00A232B7">
                    <w:t>plasmacytoid</w:t>
                  </w:r>
                  <w:proofErr w:type="spellEnd"/>
                  <w:r w:rsidRPr="00A232B7">
                    <w:t xml:space="preserve"> features</w:t>
                  </w:r>
                </w:p>
              </w:tc>
              <w:tc>
                <w:tcPr>
                  <w:tcW w:w="2520" w:type="dxa"/>
                  <w:tcBorders>
                    <w:top w:val="outset" w:sz="6" w:space="0" w:color="auto"/>
                    <w:left w:val="outset" w:sz="6" w:space="0" w:color="auto"/>
                    <w:bottom w:val="outset" w:sz="6" w:space="0" w:color="auto"/>
                    <w:right w:val="outset" w:sz="6" w:space="0" w:color="auto"/>
                  </w:tcBorders>
                  <w:vAlign w:val="bottom"/>
                  <w:hideMark/>
                </w:tcPr>
                <w:p w14:paraId="45912CFC" w14:textId="77777777" w:rsidR="00A232B7" w:rsidRPr="00A232B7" w:rsidRDefault="00A232B7" w:rsidP="00A232B7">
                  <w:pPr>
                    <w:rPr>
                      <w:sz w:val="15"/>
                      <w:szCs w:val="15"/>
                    </w:rPr>
                  </w:pPr>
                  <w:r w:rsidRPr="00A232B7">
                    <w:t>Diffuse, small and large</w:t>
                  </w:r>
                </w:p>
              </w:tc>
              <w:tc>
                <w:tcPr>
                  <w:tcW w:w="2520" w:type="dxa"/>
                  <w:tcBorders>
                    <w:top w:val="outset" w:sz="6" w:space="0" w:color="auto"/>
                    <w:left w:val="outset" w:sz="6" w:space="0" w:color="auto"/>
                    <w:bottom w:val="outset" w:sz="6" w:space="0" w:color="auto"/>
                    <w:right w:val="outset" w:sz="6" w:space="0" w:color="auto"/>
                  </w:tcBorders>
                  <w:vAlign w:val="bottom"/>
                  <w:hideMark/>
                </w:tcPr>
                <w:p w14:paraId="6D77A991" w14:textId="77777777" w:rsidR="00A232B7" w:rsidRPr="00A232B7" w:rsidRDefault="00A232B7" w:rsidP="00A232B7">
                  <w:pPr>
                    <w:rPr>
                      <w:sz w:val="15"/>
                      <w:szCs w:val="15"/>
                    </w:rPr>
                  </w:pPr>
                  <w:r w:rsidRPr="00A232B7">
                    <w:t>Diffuse, small and large</w:t>
                  </w:r>
                </w:p>
              </w:tc>
            </w:tr>
            <w:tr w:rsidR="00A232B7" w:rsidRPr="00A232B7" w14:paraId="793A7B71" w14:textId="77777777" w:rsidTr="00A232B7">
              <w:trPr>
                <w:trHeight w:val="285"/>
                <w:jc w:val="center"/>
              </w:trPr>
              <w:tc>
                <w:tcPr>
                  <w:tcW w:w="2520" w:type="dxa"/>
                  <w:tcBorders>
                    <w:top w:val="outset" w:sz="6" w:space="0" w:color="auto"/>
                    <w:left w:val="outset" w:sz="6" w:space="0" w:color="auto"/>
                    <w:bottom w:val="outset" w:sz="6" w:space="0" w:color="auto"/>
                    <w:right w:val="outset" w:sz="6" w:space="0" w:color="auto"/>
                  </w:tcBorders>
                  <w:hideMark/>
                </w:tcPr>
                <w:p w14:paraId="00406AFE" w14:textId="77777777" w:rsidR="00A232B7" w:rsidRPr="00A232B7" w:rsidRDefault="00A232B7" w:rsidP="00A232B7">
                  <w:pPr>
                    <w:rPr>
                      <w:sz w:val="15"/>
                      <w:szCs w:val="15"/>
                    </w:rPr>
                  </w:pPr>
                  <w:r w:rsidRPr="00A232B7">
                    <w:t>Small lymphocytic lymphoma and B-cell CLL</w:t>
                  </w:r>
                </w:p>
                <w:p w14:paraId="42553E55" w14:textId="74FF9B9B" w:rsidR="00A232B7" w:rsidRPr="00A232B7" w:rsidRDefault="00A232B7" w:rsidP="00A232B7">
                  <w:pPr>
                    <w:rPr>
                      <w:sz w:val="15"/>
                      <w:szCs w:val="15"/>
                    </w:rPr>
                  </w:pPr>
                </w:p>
              </w:tc>
              <w:tc>
                <w:tcPr>
                  <w:tcW w:w="2520" w:type="dxa"/>
                  <w:tcBorders>
                    <w:top w:val="outset" w:sz="6" w:space="0" w:color="auto"/>
                    <w:left w:val="outset" w:sz="6" w:space="0" w:color="auto"/>
                    <w:bottom w:val="outset" w:sz="6" w:space="0" w:color="auto"/>
                    <w:right w:val="outset" w:sz="6" w:space="0" w:color="auto"/>
                  </w:tcBorders>
                  <w:hideMark/>
                </w:tcPr>
                <w:p w14:paraId="5B45153A" w14:textId="77777777" w:rsidR="00A232B7" w:rsidRPr="00A232B7" w:rsidRDefault="00A232B7" w:rsidP="00A232B7">
                  <w:pPr>
                    <w:rPr>
                      <w:sz w:val="15"/>
                      <w:szCs w:val="15"/>
                    </w:rPr>
                  </w:pPr>
                  <w:r w:rsidRPr="00A232B7">
                    <w:t>Diffuse, small cleaved</w:t>
                  </w:r>
                </w:p>
              </w:tc>
              <w:tc>
                <w:tcPr>
                  <w:tcW w:w="2520" w:type="dxa"/>
                  <w:tcBorders>
                    <w:top w:val="outset" w:sz="6" w:space="0" w:color="auto"/>
                    <w:left w:val="outset" w:sz="6" w:space="0" w:color="auto"/>
                    <w:bottom w:val="outset" w:sz="6" w:space="0" w:color="auto"/>
                    <w:right w:val="outset" w:sz="6" w:space="0" w:color="auto"/>
                  </w:tcBorders>
                  <w:hideMark/>
                </w:tcPr>
                <w:p w14:paraId="044C2BD7" w14:textId="77777777" w:rsidR="00A232B7" w:rsidRPr="00A232B7" w:rsidRDefault="00A232B7" w:rsidP="00A232B7">
                  <w:pPr>
                    <w:rPr>
                      <w:sz w:val="15"/>
                      <w:szCs w:val="15"/>
                    </w:rPr>
                  </w:pPr>
                  <w:r w:rsidRPr="00A232B7">
                    <w:t>Lymphoblastic</w:t>
                  </w:r>
                </w:p>
              </w:tc>
            </w:tr>
            <w:tr w:rsidR="00A232B7" w:rsidRPr="00A232B7" w14:paraId="011774CF" w14:textId="77777777" w:rsidTr="00A232B7">
              <w:trPr>
                <w:trHeight w:val="285"/>
                <w:jc w:val="center"/>
              </w:trPr>
              <w:tc>
                <w:tcPr>
                  <w:tcW w:w="2520" w:type="dxa"/>
                  <w:tcBorders>
                    <w:top w:val="outset" w:sz="6" w:space="0" w:color="auto"/>
                    <w:left w:val="outset" w:sz="6" w:space="0" w:color="auto"/>
                    <w:bottom w:val="outset" w:sz="6" w:space="0" w:color="auto"/>
                    <w:right w:val="outset" w:sz="6" w:space="0" w:color="auto"/>
                  </w:tcBorders>
                  <w:vAlign w:val="bottom"/>
                  <w:hideMark/>
                </w:tcPr>
                <w:p w14:paraId="539EA1EC" w14:textId="77777777" w:rsidR="00A232B7" w:rsidRPr="00A232B7" w:rsidRDefault="00A232B7" w:rsidP="00A232B7">
                  <w:pPr>
                    <w:rPr>
                      <w:sz w:val="15"/>
                      <w:szCs w:val="15"/>
                    </w:rPr>
                  </w:pPr>
                  <w:r w:rsidRPr="00A232B7">
                    <w:lastRenderedPageBreak/>
                    <w:t>Intermediate cell</w:t>
                  </w:r>
                </w:p>
              </w:tc>
              <w:tc>
                <w:tcPr>
                  <w:tcW w:w="2520" w:type="dxa"/>
                  <w:tcBorders>
                    <w:top w:val="outset" w:sz="6" w:space="0" w:color="auto"/>
                    <w:left w:val="outset" w:sz="6" w:space="0" w:color="auto"/>
                    <w:bottom w:val="outset" w:sz="6" w:space="0" w:color="auto"/>
                    <w:right w:val="outset" w:sz="6" w:space="0" w:color="auto"/>
                  </w:tcBorders>
                  <w:vAlign w:val="bottom"/>
                  <w:hideMark/>
                </w:tcPr>
                <w:p w14:paraId="07B6CEF4" w14:textId="77777777" w:rsidR="00A232B7" w:rsidRPr="00A232B7" w:rsidRDefault="00A232B7" w:rsidP="00A232B7">
                  <w:pPr>
                    <w:rPr>
                      <w:sz w:val="15"/>
                      <w:szCs w:val="15"/>
                    </w:rPr>
                  </w:pPr>
                  <w:r w:rsidRPr="00A232B7">
                    <w:t>Diffuse, large cleaved</w:t>
                  </w:r>
                </w:p>
              </w:tc>
              <w:tc>
                <w:tcPr>
                  <w:tcW w:w="2520" w:type="dxa"/>
                  <w:tcBorders>
                    <w:top w:val="outset" w:sz="6" w:space="0" w:color="auto"/>
                    <w:left w:val="outset" w:sz="6" w:space="0" w:color="auto"/>
                    <w:bottom w:val="outset" w:sz="6" w:space="0" w:color="auto"/>
                    <w:right w:val="outset" w:sz="6" w:space="0" w:color="auto"/>
                  </w:tcBorders>
                  <w:vAlign w:val="bottom"/>
                  <w:hideMark/>
                </w:tcPr>
                <w:p w14:paraId="0B2E0F8E" w14:textId="77777777" w:rsidR="00A232B7" w:rsidRPr="00A232B7" w:rsidRDefault="00A232B7" w:rsidP="00A232B7">
                  <w:pPr>
                    <w:rPr>
                      <w:sz w:val="15"/>
                      <w:szCs w:val="15"/>
                    </w:rPr>
                  </w:pPr>
                  <w:proofErr w:type="spellStart"/>
                  <w:r w:rsidRPr="00A232B7">
                    <w:t>Immunoblastic</w:t>
                  </w:r>
                  <w:proofErr w:type="spellEnd"/>
                </w:p>
              </w:tc>
            </w:tr>
            <w:tr w:rsidR="00A232B7" w:rsidRPr="00A232B7" w14:paraId="12011D30" w14:textId="77777777" w:rsidTr="00A232B7">
              <w:trPr>
                <w:trHeight w:val="285"/>
                <w:jc w:val="center"/>
              </w:trPr>
              <w:tc>
                <w:tcPr>
                  <w:tcW w:w="2520" w:type="dxa"/>
                  <w:tcBorders>
                    <w:top w:val="outset" w:sz="6" w:space="0" w:color="auto"/>
                    <w:left w:val="outset" w:sz="6" w:space="0" w:color="auto"/>
                    <w:bottom w:val="outset" w:sz="6" w:space="0" w:color="auto"/>
                    <w:right w:val="outset" w:sz="6" w:space="0" w:color="auto"/>
                  </w:tcBorders>
                  <w:vAlign w:val="bottom"/>
                  <w:hideMark/>
                </w:tcPr>
                <w:p w14:paraId="7BE8E1D7" w14:textId="77777777" w:rsidR="00A232B7" w:rsidRPr="00A232B7" w:rsidRDefault="00A232B7" w:rsidP="00A232B7">
                  <w:pPr>
                    <w:rPr>
                      <w:sz w:val="15"/>
                      <w:szCs w:val="15"/>
                    </w:rPr>
                  </w:pPr>
                  <w:r w:rsidRPr="00A232B7">
                    <w:t>Follicular, mixed small and large</w:t>
                  </w:r>
                </w:p>
              </w:tc>
              <w:tc>
                <w:tcPr>
                  <w:tcW w:w="2520" w:type="dxa"/>
                  <w:tcBorders>
                    <w:top w:val="outset" w:sz="6" w:space="0" w:color="auto"/>
                    <w:left w:val="outset" w:sz="6" w:space="0" w:color="auto"/>
                    <w:bottom w:val="outset" w:sz="6" w:space="0" w:color="auto"/>
                    <w:right w:val="outset" w:sz="6" w:space="0" w:color="auto"/>
                  </w:tcBorders>
                  <w:vAlign w:val="bottom"/>
                  <w:hideMark/>
                </w:tcPr>
                <w:p w14:paraId="302D0199" w14:textId="77777777" w:rsidR="00A232B7" w:rsidRPr="00A232B7" w:rsidRDefault="00A232B7" w:rsidP="00A232B7">
                  <w:pPr>
                    <w:rPr>
                      <w:sz w:val="15"/>
                      <w:szCs w:val="15"/>
                    </w:rPr>
                  </w:pPr>
                  <w:r w:rsidRPr="00A232B7">
                    <w:t>Diffuse, large non-cleaved</w:t>
                  </w:r>
                </w:p>
              </w:tc>
              <w:tc>
                <w:tcPr>
                  <w:tcW w:w="2520" w:type="dxa"/>
                  <w:tcBorders>
                    <w:top w:val="outset" w:sz="6" w:space="0" w:color="auto"/>
                    <w:left w:val="outset" w:sz="6" w:space="0" w:color="auto"/>
                    <w:bottom w:val="outset" w:sz="6" w:space="0" w:color="auto"/>
                    <w:right w:val="outset" w:sz="6" w:space="0" w:color="auto"/>
                  </w:tcBorders>
                  <w:vAlign w:val="bottom"/>
                  <w:hideMark/>
                </w:tcPr>
                <w:p w14:paraId="49A31FA0" w14:textId="77777777" w:rsidR="00A232B7" w:rsidRPr="00A232B7" w:rsidRDefault="00A232B7" w:rsidP="00A232B7">
                  <w:pPr>
                    <w:rPr>
                      <w:sz w:val="15"/>
                      <w:szCs w:val="15"/>
                    </w:rPr>
                  </w:pPr>
                  <w:proofErr w:type="spellStart"/>
                  <w:r w:rsidRPr="00A232B7">
                    <w:t>Burkitt’s</w:t>
                  </w:r>
                  <w:proofErr w:type="spellEnd"/>
                </w:p>
              </w:tc>
            </w:tr>
            <w:tr w:rsidR="00A232B7" w:rsidRPr="00A232B7" w14:paraId="6BFB430D" w14:textId="77777777" w:rsidTr="00A232B7">
              <w:trPr>
                <w:trHeight w:val="285"/>
                <w:jc w:val="center"/>
              </w:trPr>
              <w:tc>
                <w:tcPr>
                  <w:tcW w:w="2520" w:type="dxa"/>
                  <w:tcBorders>
                    <w:top w:val="outset" w:sz="6" w:space="0" w:color="auto"/>
                    <w:left w:val="outset" w:sz="6" w:space="0" w:color="auto"/>
                    <w:bottom w:val="outset" w:sz="6" w:space="0" w:color="auto"/>
                    <w:right w:val="outset" w:sz="6" w:space="0" w:color="auto"/>
                  </w:tcBorders>
                  <w:vAlign w:val="bottom"/>
                  <w:hideMark/>
                </w:tcPr>
                <w:p w14:paraId="4FC968AB" w14:textId="77777777" w:rsidR="00A232B7" w:rsidRPr="00A232B7" w:rsidRDefault="00A232B7" w:rsidP="00A232B7">
                  <w:pPr>
                    <w:rPr>
                      <w:sz w:val="15"/>
                      <w:szCs w:val="15"/>
                    </w:rPr>
                  </w:pPr>
                  <w:r w:rsidRPr="00A232B7">
                    <w:t>Mantle zone</w:t>
                  </w:r>
                </w:p>
              </w:tc>
              <w:tc>
                <w:tcPr>
                  <w:tcW w:w="2520" w:type="dxa"/>
                  <w:tcBorders>
                    <w:top w:val="outset" w:sz="6" w:space="0" w:color="auto"/>
                    <w:left w:val="outset" w:sz="6" w:space="0" w:color="auto"/>
                    <w:bottom w:val="outset" w:sz="6" w:space="0" w:color="auto"/>
                    <w:right w:val="outset" w:sz="6" w:space="0" w:color="auto"/>
                  </w:tcBorders>
                  <w:vAlign w:val="bottom"/>
                  <w:hideMark/>
                </w:tcPr>
                <w:p w14:paraId="7CC144BB" w14:textId="77777777" w:rsidR="00A232B7" w:rsidRPr="00A232B7" w:rsidRDefault="00A232B7" w:rsidP="00A232B7">
                  <w:pPr>
                    <w:rPr>
                      <w:sz w:val="15"/>
                      <w:szCs w:val="15"/>
                    </w:rPr>
                  </w:pPr>
                  <w:r w:rsidRPr="00A232B7">
                    <w:t>Diffuse, large</w:t>
                  </w:r>
                </w:p>
              </w:tc>
              <w:tc>
                <w:tcPr>
                  <w:tcW w:w="2520" w:type="dxa"/>
                  <w:tcBorders>
                    <w:top w:val="outset" w:sz="6" w:space="0" w:color="auto"/>
                    <w:left w:val="outset" w:sz="6" w:space="0" w:color="auto"/>
                    <w:bottom w:val="outset" w:sz="6" w:space="0" w:color="auto"/>
                    <w:right w:val="outset" w:sz="6" w:space="0" w:color="auto"/>
                  </w:tcBorders>
                  <w:vAlign w:val="bottom"/>
                  <w:hideMark/>
                </w:tcPr>
                <w:p w14:paraId="1D76A742" w14:textId="77777777" w:rsidR="00A232B7" w:rsidRPr="00A232B7" w:rsidRDefault="00A232B7" w:rsidP="00A232B7">
                  <w:pPr>
                    <w:rPr>
                      <w:sz w:val="15"/>
                      <w:szCs w:val="15"/>
                    </w:rPr>
                  </w:pPr>
                  <w:r w:rsidRPr="00A232B7">
                    <w:t>---</w:t>
                  </w:r>
                </w:p>
              </w:tc>
            </w:tr>
            <w:tr w:rsidR="00A232B7" w:rsidRPr="00A232B7" w14:paraId="7DB8F659" w14:textId="77777777" w:rsidTr="00A232B7">
              <w:trPr>
                <w:trHeight w:val="285"/>
                <w:jc w:val="center"/>
              </w:trPr>
              <w:tc>
                <w:tcPr>
                  <w:tcW w:w="2520" w:type="dxa"/>
                  <w:tcBorders>
                    <w:top w:val="outset" w:sz="6" w:space="0" w:color="auto"/>
                    <w:left w:val="outset" w:sz="6" w:space="0" w:color="auto"/>
                    <w:bottom w:val="outset" w:sz="6" w:space="0" w:color="auto"/>
                    <w:right w:val="outset" w:sz="6" w:space="0" w:color="auto"/>
                  </w:tcBorders>
                  <w:vAlign w:val="bottom"/>
                  <w:hideMark/>
                </w:tcPr>
                <w:p w14:paraId="21482CC8" w14:textId="77777777" w:rsidR="00A232B7" w:rsidRPr="00A232B7" w:rsidRDefault="00A232B7" w:rsidP="00A232B7">
                  <w:pPr>
                    <w:rPr>
                      <w:sz w:val="15"/>
                      <w:szCs w:val="15"/>
                    </w:rPr>
                  </w:pPr>
                  <w:r w:rsidRPr="00A232B7">
                    <w:t>Follicular, small cleaved</w:t>
                  </w:r>
                </w:p>
              </w:tc>
              <w:tc>
                <w:tcPr>
                  <w:tcW w:w="2520" w:type="dxa"/>
                  <w:tcBorders>
                    <w:top w:val="outset" w:sz="6" w:space="0" w:color="auto"/>
                    <w:left w:val="outset" w:sz="6" w:space="0" w:color="auto"/>
                    <w:bottom w:val="outset" w:sz="6" w:space="0" w:color="auto"/>
                    <w:right w:val="outset" w:sz="6" w:space="0" w:color="auto"/>
                  </w:tcBorders>
                  <w:vAlign w:val="bottom"/>
                  <w:hideMark/>
                </w:tcPr>
                <w:p w14:paraId="68EAAD13" w14:textId="77777777" w:rsidR="00A232B7" w:rsidRPr="00A232B7" w:rsidRDefault="00A232B7" w:rsidP="00A232B7">
                  <w:pPr>
                    <w:rPr>
                      <w:sz w:val="15"/>
                      <w:szCs w:val="15"/>
                    </w:rPr>
                  </w:pPr>
                  <w:r w:rsidRPr="00A232B7">
                    <w:t>Follicular, large</w:t>
                  </w:r>
                </w:p>
              </w:tc>
              <w:tc>
                <w:tcPr>
                  <w:tcW w:w="2520" w:type="dxa"/>
                  <w:tcBorders>
                    <w:top w:val="outset" w:sz="6" w:space="0" w:color="auto"/>
                    <w:left w:val="outset" w:sz="6" w:space="0" w:color="auto"/>
                    <w:bottom w:val="outset" w:sz="6" w:space="0" w:color="auto"/>
                    <w:right w:val="outset" w:sz="6" w:space="0" w:color="auto"/>
                  </w:tcBorders>
                  <w:vAlign w:val="bottom"/>
                  <w:hideMark/>
                </w:tcPr>
                <w:p w14:paraId="0DFEA97E" w14:textId="77777777" w:rsidR="00A232B7" w:rsidRPr="00A232B7" w:rsidRDefault="00A232B7" w:rsidP="00A232B7">
                  <w:pPr>
                    <w:rPr>
                      <w:sz w:val="15"/>
                      <w:szCs w:val="15"/>
                    </w:rPr>
                  </w:pPr>
                  <w:r w:rsidRPr="00A232B7">
                    <w:t>---</w:t>
                  </w:r>
                </w:p>
              </w:tc>
            </w:tr>
            <w:tr w:rsidR="00A232B7" w:rsidRPr="00A232B7" w14:paraId="405C9DC3" w14:textId="77777777" w:rsidTr="00A232B7">
              <w:trPr>
                <w:trHeight w:val="285"/>
                <w:jc w:val="center"/>
              </w:trPr>
              <w:tc>
                <w:tcPr>
                  <w:tcW w:w="2520" w:type="dxa"/>
                  <w:tcBorders>
                    <w:top w:val="outset" w:sz="6" w:space="0" w:color="auto"/>
                    <w:left w:val="outset" w:sz="6" w:space="0" w:color="auto"/>
                    <w:bottom w:val="outset" w:sz="6" w:space="0" w:color="auto"/>
                    <w:right w:val="outset" w:sz="6" w:space="0" w:color="auto"/>
                  </w:tcBorders>
                  <w:vAlign w:val="bottom"/>
                  <w:hideMark/>
                </w:tcPr>
                <w:p w14:paraId="3BCFC1A6" w14:textId="77777777" w:rsidR="00A232B7" w:rsidRPr="00A232B7" w:rsidRDefault="00A232B7" w:rsidP="00A232B7">
                  <w:pPr>
                    <w:rPr>
                      <w:sz w:val="15"/>
                      <w:szCs w:val="15"/>
                    </w:rPr>
                  </w:pPr>
                  <w:proofErr w:type="spellStart"/>
                  <w:r w:rsidRPr="00A232B7">
                    <w:t>Waldenstrom’s</w:t>
                  </w:r>
                  <w:proofErr w:type="spellEnd"/>
                  <w:r w:rsidRPr="00A232B7">
                    <w:t xml:space="preserve"> </w:t>
                  </w:r>
                  <w:proofErr w:type="spellStart"/>
                  <w:r w:rsidRPr="00A232B7">
                    <w:t>macroglobulinemia</w:t>
                  </w:r>
                  <w:proofErr w:type="spellEnd"/>
                </w:p>
              </w:tc>
              <w:tc>
                <w:tcPr>
                  <w:tcW w:w="2520" w:type="dxa"/>
                  <w:tcBorders>
                    <w:top w:val="outset" w:sz="6" w:space="0" w:color="auto"/>
                    <w:left w:val="outset" w:sz="6" w:space="0" w:color="auto"/>
                    <w:bottom w:val="outset" w:sz="6" w:space="0" w:color="auto"/>
                    <w:right w:val="outset" w:sz="6" w:space="0" w:color="auto"/>
                  </w:tcBorders>
                  <w:vAlign w:val="bottom"/>
                  <w:hideMark/>
                </w:tcPr>
                <w:p w14:paraId="2C44C6D0" w14:textId="77777777" w:rsidR="00A232B7" w:rsidRPr="00A232B7" w:rsidRDefault="00A232B7" w:rsidP="00A232B7">
                  <w:pPr>
                    <w:rPr>
                      <w:sz w:val="15"/>
                      <w:szCs w:val="15"/>
                    </w:rPr>
                  </w:pPr>
                  <w:r w:rsidRPr="00A232B7">
                    <w:t>---</w:t>
                  </w:r>
                </w:p>
              </w:tc>
              <w:tc>
                <w:tcPr>
                  <w:tcW w:w="2520" w:type="dxa"/>
                  <w:tcBorders>
                    <w:top w:val="outset" w:sz="6" w:space="0" w:color="auto"/>
                    <w:left w:val="outset" w:sz="6" w:space="0" w:color="auto"/>
                    <w:bottom w:val="outset" w:sz="6" w:space="0" w:color="auto"/>
                    <w:right w:val="outset" w:sz="6" w:space="0" w:color="auto"/>
                  </w:tcBorders>
                  <w:vAlign w:val="bottom"/>
                  <w:hideMark/>
                </w:tcPr>
                <w:p w14:paraId="658BD44E" w14:textId="77777777" w:rsidR="00A232B7" w:rsidRPr="00A232B7" w:rsidRDefault="00A232B7" w:rsidP="00A232B7">
                  <w:pPr>
                    <w:rPr>
                      <w:sz w:val="15"/>
                      <w:szCs w:val="15"/>
                    </w:rPr>
                  </w:pPr>
                  <w:r w:rsidRPr="00A232B7">
                    <w:t>---</w:t>
                  </w:r>
                </w:p>
              </w:tc>
            </w:tr>
            <w:tr w:rsidR="00A232B7" w:rsidRPr="00A232B7" w14:paraId="4E20FD34" w14:textId="77777777" w:rsidTr="00A232B7">
              <w:trPr>
                <w:trHeight w:val="285"/>
                <w:jc w:val="center"/>
              </w:trPr>
              <w:tc>
                <w:tcPr>
                  <w:tcW w:w="2520" w:type="dxa"/>
                  <w:tcBorders>
                    <w:top w:val="outset" w:sz="6" w:space="0" w:color="auto"/>
                    <w:left w:val="outset" w:sz="6" w:space="0" w:color="auto"/>
                    <w:bottom w:val="outset" w:sz="6" w:space="0" w:color="auto"/>
                    <w:right w:val="outset" w:sz="6" w:space="0" w:color="auto"/>
                  </w:tcBorders>
                  <w:hideMark/>
                </w:tcPr>
                <w:p w14:paraId="3C1D0B1F" w14:textId="77777777" w:rsidR="00A232B7" w:rsidRPr="00A232B7" w:rsidRDefault="00A232B7" w:rsidP="00A232B7">
                  <w:pPr>
                    <w:rPr>
                      <w:sz w:val="15"/>
                      <w:szCs w:val="15"/>
                    </w:rPr>
                  </w:pPr>
                  <w:r w:rsidRPr="00A232B7">
                    <w:t xml:space="preserve">Mycosis </w:t>
                  </w:r>
                  <w:proofErr w:type="spellStart"/>
                  <w:r w:rsidRPr="00A232B7">
                    <w:t>fungoides</w:t>
                  </w:r>
                  <w:proofErr w:type="spellEnd"/>
                </w:p>
                <w:p w14:paraId="41407077" w14:textId="1975C937" w:rsidR="00A232B7" w:rsidRPr="00A232B7" w:rsidRDefault="00A232B7" w:rsidP="00A232B7">
                  <w:pPr>
                    <w:rPr>
                      <w:sz w:val="15"/>
                      <w:szCs w:val="15"/>
                    </w:rPr>
                  </w:pPr>
                  <w:r w:rsidRPr="00A232B7">
                    <w:rPr>
                      <w:rStyle w:val="Emphasis"/>
                      <w:b/>
                      <w:bCs/>
                      <w:sz w:val="21"/>
                      <w:szCs w:val="21"/>
                    </w:rPr>
                    <w:t>Reference</w:t>
                  </w:r>
                  <w:r w:rsidR="00D1621F">
                    <w:t>:</w:t>
                  </w:r>
                  <w:r w:rsidRPr="00A232B7">
                    <w:t xml:space="preserve"> For more information on considering claims for SC for mycosis </w:t>
                  </w:r>
                  <w:proofErr w:type="spellStart"/>
                  <w:r w:rsidRPr="00A232B7">
                    <w:t>fungoides</w:t>
                  </w:r>
                  <w:proofErr w:type="spellEnd"/>
                  <w:r w:rsidRPr="00A232B7">
                    <w:t xml:space="preserve">, see </w:t>
                  </w:r>
                  <w:r w:rsidRPr="00A232B7">
                    <w:rPr>
                      <w:sz w:val="21"/>
                      <w:szCs w:val="21"/>
                    </w:rPr>
                    <w:t>M21-1, Part III, Subpart iv, 4.l.5.l</w:t>
                  </w:r>
                  <w:r w:rsidRPr="00A232B7">
                    <w:t>.</w:t>
                  </w:r>
                </w:p>
              </w:tc>
              <w:tc>
                <w:tcPr>
                  <w:tcW w:w="2520" w:type="dxa"/>
                  <w:tcBorders>
                    <w:top w:val="outset" w:sz="6" w:space="0" w:color="auto"/>
                    <w:left w:val="outset" w:sz="6" w:space="0" w:color="auto"/>
                    <w:bottom w:val="outset" w:sz="6" w:space="0" w:color="auto"/>
                    <w:right w:val="outset" w:sz="6" w:space="0" w:color="auto"/>
                  </w:tcBorders>
                  <w:vAlign w:val="center"/>
                  <w:hideMark/>
                </w:tcPr>
                <w:p w14:paraId="602754A7" w14:textId="77777777" w:rsidR="00A232B7" w:rsidRPr="00A232B7" w:rsidRDefault="00A232B7" w:rsidP="00A232B7">
                  <w:pPr>
                    <w:rPr>
                      <w:sz w:val="15"/>
                      <w:szCs w:val="15"/>
                    </w:rPr>
                  </w:pPr>
                  <w:r w:rsidRPr="00A232B7">
                    <w:t>---</w:t>
                  </w:r>
                </w:p>
              </w:tc>
              <w:tc>
                <w:tcPr>
                  <w:tcW w:w="2520" w:type="dxa"/>
                  <w:tcBorders>
                    <w:top w:val="outset" w:sz="6" w:space="0" w:color="auto"/>
                    <w:left w:val="outset" w:sz="6" w:space="0" w:color="auto"/>
                    <w:bottom w:val="outset" w:sz="6" w:space="0" w:color="auto"/>
                    <w:right w:val="outset" w:sz="6" w:space="0" w:color="auto"/>
                  </w:tcBorders>
                  <w:vAlign w:val="bottom"/>
                  <w:hideMark/>
                </w:tcPr>
                <w:p w14:paraId="5FE77930" w14:textId="77777777" w:rsidR="00A232B7" w:rsidRPr="00A232B7" w:rsidRDefault="00A232B7" w:rsidP="00A232B7">
                  <w:pPr>
                    <w:rPr>
                      <w:sz w:val="15"/>
                      <w:szCs w:val="15"/>
                    </w:rPr>
                  </w:pPr>
                  <w:r w:rsidRPr="00A232B7">
                    <w:t>---</w:t>
                  </w:r>
                </w:p>
              </w:tc>
            </w:tr>
          </w:tbl>
          <w:p w14:paraId="33E0098F" w14:textId="77777777" w:rsidR="009D5177" w:rsidRPr="00A22945" w:rsidRDefault="009D5177" w:rsidP="00A22945">
            <w:pPr>
              <w:textAlignment w:val="baseline"/>
              <w:rPr>
                <w:i/>
                <w:szCs w:val="24"/>
              </w:rPr>
            </w:pPr>
          </w:p>
        </w:tc>
      </w:tr>
      <w:tr w:rsidR="0083226A" w:rsidRPr="00A22945" w14:paraId="3B594417" w14:textId="77777777" w:rsidTr="0083226A">
        <w:trPr>
          <w:trHeight w:val="212"/>
        </w:trPr>
        <w:tc>
          <w:tcPr>
            <w:tcW w:w="9835" w:type="dxa"/>
            <w:tcBorders>
              <w:top w:val="nil"/>
              <w:left w:val="nil"/>
              <w:bottom w:val="nil"/>
              <w:right w:val="nil"/>
            </w:tcBorders>
          </w:tcPr>
          <w:p w14:paraId="369B1124" w14:textId="77777777" w:rsidR="00212873" w:rsidRDefault="00212873" w:rsidP="00A22945">
            <w:pPr>
              <w:textAlignment w:val="baseline"/>
              <w:rPr>
                <w:b/>
                <w:i/>
                <w:highlight w:val="yellow"/>
              </w:rPr>
            </w:pPr>
          </w:p>
          <w:p w14:paraId="6CD41595" w14:textId="58830D1E" w:rsidR="00212873" w:rsidRPr="00212873" w:rsidRDefault="00212873" w:rsidP="00212873">
            <w:pPr>
              <w:jc w:val="center"/>
              <w:textAlignment w:val="baseline"/>
              <w:rPr>
                <w:b/>
              </w:rPr>
            </w:pPr>
            <w:r w:rsidRPr="00212873">
              <w:rPr>
                <w:b/>
              </w:rPr>
              <w:t>Multiple Myeloma</w:t>
            </w:r>
          </w:p>
          <w:p w14:paraId="2857BD76" w14:textId="77777777" w:rsidR="0083226A" w:rsidRPr="00A22945" w:rsidRDefault="0083226A" w:rsidP="006F298D">
            <w:pPr>
              <w:textAlignment w:val="baseline"/>
            </w:pPr>
            <w:r w:rsidRPr="00A22945">
              <w:t>Multiple myeloma is evaluated analogous to Hodgkin’s disease under DC 7799-7709:</w:t>
            </w:r>
          </w:p>
          <w:p w14:paraId="490C1EF9" w14:textId="77777777" w:rsidR="0083226A" w:rsidRPr="00A22945" w:rsidRDefault="0083226A" w:rsidP="00A22945">
            <w:pPr>
              <w:ind w:left="360"/>
              <w:textAlignment w:val="baseline"/>
            </w:pPr>
            <w:r w:rsidRPr="00A22945">
              <w:rPr>
                <w:noProof/>
              </w:rPr>
              <w:drawing>
                <wp:inline distT="0" distB="0" distL="0" distR="0" wp14:anchorId="32CB978B" wp14:editId="49738633">
                  <wp:extent cx="5454503" cy="899177"/>
                  <wp:effectExtent l="19050" t="19050" r="13335" b="1524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507818" cy="907966"/>
                          </a:xfrm>
                          <a:prstGeom prst="rect">
                            <a:avLst/>
                          </a:prstGeom>
                          <a:noFill/>
                          <a:ln w="12700">
                            <a:solidFill>
                              <a:srgbClr val="1F497D"/>
                            </a:solidFill>
                            <a:miter lim="800000"/>
                            <a:headEnd/>
                            <a:tailEnd/>
                          </a:ln>
                          <a:extLst/>
                        </pic:spPr>
                      </pic:pic>
                    </a:graphicData>
                  </a:graphic>
                </wp:inline>
              </w:drawing>
            </w:r>
          </w:p>
          <w:p w14:paraId="4DC7ABE4" w14:textId="77777777" w:rsidR="006F298D" w:rsidRDefault="006F298D" w:rsidP="006F298D"/>
          <w:p w14:paraId="12DF996F" w14:textId="502A00CC" w:rsidR="006F298D" w:rsidRPr="006F298D" w:rsidRDefault="006F298D" w:rsidP="006F298D">
            <w:pPr>
              <w:rPr>
                <w:sz w:val="15"/>
                <w:szCs w:val="15"/>
              </w:rPr>
            </w:pPr>
            <w:r w:rsidRPr="006F298D">
              <w:t>Assign a perma</w:t>
            </w:r>
            <w:r w:rsidR="00291BB1">
              <w:t>nent and total evaluation (P&amp;T) for multiple myeloma.</w:t>
            </w:r>
            <w:r w:rsidRPr="006F298D">
              <w:t xml:space="preserve"> Multiple myeloma is considered an incurable malignancy.</w:t>
            </w:r>
          </w:p>
          <w:p w14:paraId="5EBE6C12" w14:textId="617C5C4C" w:rsidR="006F298D" w:rsidRPr="006F298D" w:rsidRDefault="006F298D" w:rsidP="006F298D">
            <w:pPr>
              <w:rPr>
                <w:sz w:val="15"/>
                <w:szCs w:val="15"/>
              </w:rPr>
            </w:pPr>
            <w:r w:rsidRPr="006F298D">
              <w:t xml:space="preserve">This is a general rule, and there may be rare exceptions based on </w:t>
            </w:r>
            <w:r w:rsidR="00291BB1">
              <w:t>the facts in a particular case.</w:t>
            </w:r>
            <w:r w:rsidRPr="006F298D">
              <w:t xml:space="preserve"> If the evidence clearly shows that the multiple myeloma is no longer active, then a P&amp;T evaluation is not warranted.  </w:t>
            </w:r>
          </w:p>
          <w:p w14:paraId="20934C87" w14:textId="582856F2" w:rsidR="00536F93" w:rsidRPr="006F298D" w:rsidRDefault="006F298D" w:rsidP="006F298D">
            <w:pPr>
              <w:rPr>
                <w:sz w:val="15"/>
                <w:szCs w:val="15"/>
              </w:rPr>
            </w:pPr>
            <w:r w:rsidRPr="006F298D">
              <w:t>Consider ancillary benefits associated with the award of a P&amp;T disability evaluation.</w:t>
            </w:r>
          </w:p>
          <w:p w14:paraId="05E84986" w14:textId="77777777" w:rsidR="0083226A" w:rsidRPr="00A22945" w:rsidRDefault="0083226A" w:rsidP="006F298D">
            <w:pPr>
              <w:ind w:left="360"/>
              <w:textAlignment w:val="baseline"/>
            </w:pPr>
          </w:p>
        </w:tc>
      </w:tr>
    </w:tbl>
    <w:p w14:paraId="702B04C4" w14:textId="77777777" w:rsidR="00536F93" w:rsidRDefault="00536F93">
      <w:r>
        <w:br w:type="page"/>
      </w:r>
    </w:p>
    <w:tbl>
      <w:tblPr>
        <w:tblW w:w="9835" w:type="dxa"/>
        <w:tblLayout w:type="fixed"/>
        <w:tblCellMar>
          <w:left w:w="115" w:type="dxa"/>
          <w:right w:w="115" w:type="dxa"/>
        </w:tblCellMar>
        <w:tblLook w:val="0000" w:firstRow="0" w:lastRow="0" w:firstColumn="0" w:lastColumn="0" w:noHBand="0" w:noVBand="0"/>
      </w:tblPr>
      <w:tblGrid>
        <w:gridCol w:w="9835"/>
      </w:tblGrid>
      <w:tr w:rsidR="0083226A" w:rsidRPr="00A22945" w14:paraId="568D3593" w14:textId="77777777" w:rsidTr="00FB11ED">
        <w:trPr>
          <w:trHeight w:val="212"/>
        </w:trPr>
        <w:tc>
          <w:tcPr>
            <w:tcW w:w="9835" w:type="dxa"/>
          </w:tcPr>
          <w:p w14:paraId="127CE704" w14:textId="1B6BF028" w:rsidR="00536F93" w:rsidRDefault="00536F93" w:rsidP="00536F93">
            <w:pPr>
              <w:jc w:val="center"/>
              <w:textAlignment w:val="baseline"/>
              <w:rPr>
                <w:b/>
                <w:bCs/>
                <w:iCs/>
              </w:rPr>
            </w:pPr>
            <w:r>
              <w:rPr>
                <w:b/>
                <w:bCs/>
                <w:iCs/>
              </w:rPr>
              <w:lastRenderedPageBreak/>
              <w:t>Parkinson’s D</w:t>
            </w:r>
            <w:r w:rsidR="0083226A" w:rsidRPr="00536F93">
              <w:rPr>
                <w:b/>
                <w:bCs/>
                <w:iCs/>
              </w:rPr>
              <w:t>isease</w:t>
            </w:r>
          </w:p>
          <w:p w14:paraId="6D90397B" w14:textId="77777777" w:rsidR="00E67856" w:rsidRPr="00536F93" w:rsidRDefault="00E67856" w:rsidP="00536F93">
            <w:pPr>
              <w:jc w:val="center"/>
              <w:textAlignment w:val="baseline"/>
              <w:rPr>
                <w:b/>
                <w:bCs/>
              </w:rPr>
            </w:pPr>
          </w:p>
          <w:p w14:paraId="0B136BA7" w14:textId="781759BD" w:rsidR="00536F93" w:rsidRPr="00536F93" w:rsidRDefault="00536F93" w:rsidP="00536F93">
            <w:pPr>
              <w:overflowPunct/>
              <w:autoSpaceDE/>
              <w:autoSpaceDN/>
              <w:adjustRightInd/>
              <w:spacing w:before="75"/>
              <w:rPr>
                <w:szCs w:val="24"/>
              </w:rPr>
            </w:pPr>
            <w:r w:rsidRPr="00E67856">
              <w:rPr>
                <w:bCs/>
                <w:iCs/>
                <w:szCs w:val="24"/>
              </w:rPr>
              <w:t>Parkinson’s disease</w:t>
            </w:r>
            <w:r w:rsidRPr="00E67856">
              <w:rPr>
                <w:b/>
                <w:bCs/>
                <w:szCs w:val="24"/>
              </w:rPr>
              <w:t xml:space="preserve"> </w:t>
            </w:r>
            <w:r w:rsidRPr="00536F93">
              <w:rPr>
                <w:szCs w:val="24"/>
              </w:rPr>
              <w:t>is a chronic, slowly progressive central nervous system disorder characterized by muscular rigidity, a tremor of resting muscles, slow and decreased voluntary moveme</w:t>
            </w:r>
            <w:r w:rsidR="00291BB1">
              <w:rPr>
                <w:szCs w:val="24"/>
              </w:rPr>
              <w:t>nts and positional instability.</w:t>
            </w:r>
            <w:r w:rsidRPr="00536F93">
              <w:rPr>
                <w:szCs w:val="24"/>
              </w:rPr>
              <w:t xml:space="preserve"> An outdated term for Parkinson’</w:t>
            </w:r>
            <w:r w:rsidR="00291BB1">
              <w:rPr>
                <w:szCs w:val="24"/>
              </w:rPr>
              <w:t xml:space="preserve">s disease is paralysis </w:t>
            </w:r>
            <w:proofErr w:type="spellStart"/>
            <w:r w:rsidR="00291BB1">
              <w:rPr>
                <w:szCs w:val="24"/>
              </w:rPr>
              <w:t>agitans</w:t>
            </w:r>
            <w:proofErr w:type="spellEnd"/>
            <w:r w:rsidR="00291BB1">
              <w:rPr>
                <w:szCs w:val="24"/>
              </w:rPr>
              <w:t>.</w:t>
            </w:r>
          </w:p>
          <w:p w14:paraId="03159C72" w14:textId="77777777" w:rsidR="00536F93" w:rsidRPr="00536F93" w:rsidRDefault="00536F93" w:rsidP="00536F93">
            <w:pPr>
              <w:overflowPunct/>
              <w:autoSpaceDE/>
              <w:autoSpaceDN/>
              <w:adjustRightInd/>
              <w:spacing w:before="0"/>
              <w:rPr>
                <w:szCs w:val="24"/>
              </w:rPr>
            </w:pPr>
            <w:r w:rsidRPr="00536F93">
              <w:rPr>
                <w:szCs w:val="24"/>
              </w:rPr>
              <w:t> </w:t>
            </w:r>
          </w:p>
          <w:p w14:paraId="6F1F6C6C" w14:textId="77777777" w:rsidR="00536F93" w:rsidRPr="00536F93" w:rsidRDefault="00536F93" w:rsidP="00536F93">
            <w:pPr>
              <w:overflowPunct/>
              <w:autoSpaceDE/>
              <w:autoSpaceDN/>
              <w:adjustRightInd/>
              <w:spacing w:before="0"/>
              <w:rPr>
                <w:szCs w:val="24"/>
              </w:rPr>
            </w:pPr>
            <w:r w:rsidRPr="00536F93">
              <w:rPr>
                <w:szCs w:val="24"/>
              </w:rPr>
              <w:t>Early signs and symptoms of the condition may include:</w:t>
            </w:r>
          </w:p>
          <w:p w14:paraId="238F4F1E" w14:textId="77777777" w:rsidR="00536F93" w:rsidRPr="00536F93" w:rsidRDefault="00536F93" w:rsidP="00C66621">
            <w:pPr>
              <w:numPr>
                <w:ilvl w:val="0"/>
                <w:numId w:val="20"/>
              </w:numPr>
              <w:overflowPunct/>
              <w:autoSpaceDE/>
              <w:autoSpaceDN/>
              <w:adjustRightInd/>
              <w:spacing w:before="100" w:beforeAutospacing="1" w:after="100" w:afterAutospacing="1"/>
              <w:rPr>
                <w:szCs w:val="24"/>
              </w:rPr>
            </w:pPr>
            <w:r w:rsidRPr="00536F93">
              <w:rPr>
                <w:szCs w:val="24"/>
              </w:rPr>
              <w:t>infrequent blinking</w:t>
            </w:r>
          </w:p>
          <w:p w14:paraId="4BDB013F" w14:textId="77777777" w:rsidR="00536F93" w:rsidRPr="00536F93" w:rsidRDefault="00536F93" w:rsidP="00C66621">
            <w:pPr>
              <w:numPr>
                <w:ilvl w:val="0"/>
                <w:numId w:val="20"/>
              </w:numPr>
              <w:overflowPunct/>
              <w:autoSpaceDE/>
              <w:autoSpaceDN/>
              <w:adjustRightInd/>
              <w:spacing w:before="100" w:beforeAutospacing="1" w:after="100" w:afterAutospacing="1"/>
              <w:rPr>
                <w:szCs w:val="24"/>
              </w:rPr>
            </w:pPr>
            <w:r w:rsidRPr="00536F93">
              <w:rPr>
                <w:szCs w:val="24"/>
              </w:rPr>
              <w:t>lack of facial expression</w:t>
            </w:r>
          </w:p>
          <w:p w14:paraId="2BCBB570" w14:textId="77777777" w:rsidR="00536F93" w:rsidRPr="00536F93" w:rsidRDefault="00536F93" w:rsidP="00C66621">
            <w:pPr>
              <w:numPr>
                <w:ilvl w:val="0"/>
                <w:numId w:val="20"/>
              </w:numPr>
              <w:overflowPunct/>
              <w:autoSpaceDE/>
              <w:autoSpaceDN/>
              <w:adjustRightInd/>
              <w:spacing w:before="100" w:beforeAutospacing="1" w:after="100" w:afterAutospacing="1"/>
              <w:rPr>
                <w:szCs w:val="24"/>
              </w:rPr>
            </w:pPr>
            <w:r w:rsidRPr="00536F93">
              <w:rPr>
                <w:szCs w:val="24"/>
              </w:rPr>
              <w:t>decreased movement, and</w:t>
            </w:r>
          </w:p>
          <w:p w14:paraId="40FC6493" w14:textId="77777777" w:rsidR="00536F93" w:rsidRPr="00536F93" w:rsidRDefault="00536F93" w:rsidP="00C66621">
            <w:pPr>
              <w:numPr>
                <w:ilvl w:val="0"/>
                <w:numId w:val="20"/>
              </w:numPr>
              <w:overflowPunct/>
              <w:autoSpaceDE/>
              <w:autoSpaceDN/>
              <w:adjustRightInd/>
              <w:spacing w:before="100" w:beforeAutospacing="1" w:after="100" w:afterAutospacing="1"/>
              <w:rPr>
                <w:szCs w:val="24"/>
              </w:rPr>
            </w:pPr>
            <w:proofErr w:type="gramStart"/>
            <w:r w:rsidRPr="00536F93">
              <w:rPr>
                <w:szCs w:val="24"/>
              </w:rPr>
              <w:t>impaired</w:t>
            </w:r>
            <w:proofErr w:type="gramEnd"/>
            <w:r w:rsidRPr="00536F93">
              <w:rPr>
                <w:szCs w:val="24"/>
              </w:rPr>
              <w:t xml:space="preserve"> postural reflexes. </w:t>
            </w:r>
          </w:p>
          <w:p w14:paraId="2DAB41E8" w14:textId="192EEA2B" w:rsidR="00536F93" w:rsidRPr="00536F93" w:rsidRDefault="00536F93" w:rsidP="00536F93">
            <w:pPr>
              <w:overflowPunct/>
              <w:autoSpaceDE/>
              <w:autoSpaceDN/>
              <w:adjustRightInd/>
              <w:spacing w:before="0"/>
              <w:rPr>
                <w:szCs w:val="24"/>
              </w:rPr>
            </w:pPr>
            <w:r w:rsidRPr="00536F93">
              <w:rPr>
                <w:szCs w:val="24"/>
              </w:rPr>
              <w:t>The condition is characterized by muscle tremors at rest which diminish during moveme</w:t>
            </w:r>
            <w:r w:rsidR="00291BB1">
              <w:rPr>
                <w:szCs w:val="24"/>
              </w:rPr>
              <w:t>nt and are absent during sleep.</w:t>
            </w:r>
            <w:r w:rsidRPr="00536F93">
              <w:rPr>
                <w:szCs w:val="24"/>
              </w:rPr>
              <w:t xml:space="preserve"> The tremors are enhanced by emotional tension or fatigue and the hands are most affected. Muscle rigidity </w:t>
            </w:r>
            <w:r w:rsidR="00D1621F">
              <w:rPr>
                <w:szCs w:val="24"/>
              </w:rPr>
              <w:t>may be present without tremors.</w:t>
            </w:r>
            <w:r w:rsidRPr="00536F93">
              <w:rPr>
                <w:szCs w:val="24"/>
              </w:rPr>
              <w:t xml:space="preserve"> As the muscle rigidity progresses, movement becomes slow (</w:t>
            </w:r>
            <w:proofErr w:type="spellStart"/>
            <w:r w:rsidRPr="00536F93">
              <w:rPr>
                <w:szCs w:val="24"/>
              </w:rPr>
              <w:t>bradykinesia</w:t>
            </w:r>
            <w:proofErr w:type="spellEnd"/>
            <w:r w:rsidRPr="00536F93">
              <w:rPr>
                <w:szCs w:val="24"/>
              </w:rPr>
              <w:t>), decreased or diminished (</w:t>
            </w:r>
            <w:proofErr w:type="spellStart"/>
            <w:r w:rsidRPr="00536F93">
              <w:rPr>
                <w:szCs w:val="24"/>
              </w:rPr>
              <w:t>hypokinesia</w:t>
            </w:r>
            <w:proofErr w:type="spellEnd"/>
            <w:r w:rsidRPr="00536F93">
              <w:rPr>
                <w:szCs w:val="24"/>
              </w:rPr>
              <w:t>), and dif</w:t>
            </w:r>
            <w:r w:rsidR="00291BB1">
              <w:rPr>
                <w:szCs w:val="24"/>
              </w:rPr>
              <w:t>ficult to initiate (</w:t>
            </w:r>
            <w:proofErr w:type="spellStart"/>
            <w:r w:rsidR="00291BB1">
              <w:rPr>
                <w:szCs w:val="24"/>
              </w:rPr>
              <w:t>akinesia</w:t>
            </w:r>
            <w:proofErr w:type="spellEnd"/>
            <w:r w:rsidR="00291BB1">
              <w:rPr>
                <w:szCs w:val="24"/>
              </w:rPr>
              <w:t xml:space="preserve">). </w:t>
            </w:r>
            <w:r w:rsidRPr="00536F93">
              <w:rPr>
                <w:szCs w:val="24"/>
              </w:rPr>
              <w:t>Other signs and symptoms may include:</w:t>
            </w:r>
          </w:p>
          <w:p w14:paraId="1E0C2757" w14:textId="77777777" w:rsidR="00536F93" w:rsidRPr="00536F93" w:rsidRDefault="00536F93" w:rsidP="00C66621">
            <w:pPr>
              <w:numPr>
                <w:ilvl w:val="0"/>
                <w:numId w:val="21"/>
              </w:numPr>
              <w:overflowPunct/>
              <w:autoSpaceDE/>
              <w:autoSpaceDN/>
              <w:adjustRightInd/>
              <w:spacing w:before="100" w:beforeAutospacing="1" w:after="100" w:afterAutospacing="1"/>
              <w:rPr>
                <w:szCs w:val="24"/>
              </w:rPr>
            </w:pPr>
            <w:r w:rsidRPr="00536F93">
              <w:rPr>
                <w:szCs w:val="24"/>
              </w:rPr>
              <w:t>muscular aches and fatigue</w:t>
            </w:r>
          </w:p>
          <w:p w14:paraId="534E0813" w14:textId="77777777" w:rsidR="00536F93" w:rsidRPr="00536F93" w:rsidRDefault="00536F93" w:rsidP="00C66621">
            <w:pPr>
              <w:numPr>
                <w:ilvl w:val="0"/>
                <w:numId w:val="21"/>
              </w:numPr>
              <w:overflowPunct/>
              <w:autoSpaceDE/>
              <w:autoSpaceDN/>
              <w:adjustRightInd/>
              <w:spacing w:before="100" w:beforeAutospacing="1" w:after="100" w:afterAutospacing="1"/>
              <w:rPr>
                <w:szCs w:val="24"/>
              </w:rPr>
            </w:pPr>
            <w:r w:rsidRPr="00536F93">
              <w:rPr>
                <w:szCs w:val="24"/>
              </w:rPr>
              <w:t>mask-like expression with open mouth</w:t>
            </w:r>
          </w:p>
          <w:p w14:paraId="7398A813" w14:textId="77777777" w:rsidR="00536F93" w:rsidRPr="00536F93" w:rsidRDefault="00536F93" w:rsidP="00C66621">
            <w:pPr>
              <w:numPr>
                <w:ilvl w:val="0"/>
                <w:numId w:val="21"/>
              </w:numPr>
              <w:overflowPunct/>
              <w:autoSpaceDE/>
              <w:autoSpaceDN/>
              <w:adjustRightInd/>
              <w:spacing w:before="100" w:beforeAutospacing="1" w:after="100" w:afterAutospacing="1"/>
              <w:rPr>
                <w:szCs w:val="24"/>
              </w:rPr>
            </w:pPr>
            <w:r w:rsidRPr="00536F93">
              <w:rPr>
                <w:szCs w:val="24"/>
              </w:rPr>
              <w:t>drooling</w:t>
            </w:r>
          </w:p>
          <w:p w14:paraId="4274E5AD" w14:textId="77777777" w:rsidR="00536F93" w:rsidRPr="00536F93" w:rsidRDefault="00536F93" w:rsidP="00C66621">
            <w:pPr>
              <w:numPr>
                <w:ilvl w:val="0"/>
                <w:numId w:val="21"/>
              </w:numPr>
              <w:overflowPunct/>
              <w:autoSpaceDE/>
              <w:autoSpaceDN/>
              <w:adjustRightInd/>
              <w:spacing w:before="100" w:beforeAutospacing="1" w:after="100" w:afterAutospacing="1"/>
              <w:rPr>
                <w:szCs w:val="24"/>
              </w:rPr>
            </w:pPr>
            <w:r w:rsidRPr="00536F93">
              <w:rPr>
                <w:szCs w:val="24"/>
              </w:rPr>
              <w:t>stooped posture</w:t>
            </w:r>
          </w:p>
          <w:p w14:paraId="199BF298" w14:textId="77777777" w:rsidR="00536F93" w:rsidRPr="00536F93" w:rsidRDefault="00536F93" w:rsidP="00C66621">
            <w:pPr>
              <w:numPr>
                <w:ilvl w:val="0"/>
                <w:numId w:val="21"/>
              </w:numPr>
              <w:overflowPunct/>
              <w:autoSpaceDE/>
              <w:autoSpaceDN/>
              <w:adjustRightInd/>
              <w:spacing w:before="100" w:beforeAutospacing="1" w:after="100" w:afterAutospacing="1"/>
              <w:rPr>
                <w:szCs w:val="24"/>
              </w:rPr>
            </w:pPr>
            <w:r w:rsidRPr="00536F93">
              <w:rPr>
                <w:szCs w:val="24"/>
              </w:rPr>
              <w:t>gait characterized by involuntary, short, accelerating steps</w:t>
            </w:r>
          </w:p>
          <w:p w14:paraId="0EB67568" w14:textId="77777777" w:rsidR="00536F93" w:rsidRPr="00536F93" w:rsidRDefault="00536F93" w:rsidP="00C66621">
            <w:pPr>
              <w:numPr>
                <w:ilvl w:val="0"/>
                <w:numId w:val="21"/>
              </w:numPr>
              <w:overflowPunct/>
              <w:autoSpaceDE/>
              <w:autoSpaceDN/>
              <w:adjustRightInd/>
              <w:spacing w:before="100" w:beforeAutospacing="1" w:after="100" w:afterAutospacing="1"/>
              <w:rPr>
                <w:szCs w:val="24"/>
              </w:rPr>
            </w:pPr>
            <w:r w:rsidRPr="00536F93">
              <w:rPr>
                <w:szCs w:val="24"/>
              </w:rPr>
              <w:t>difficulty in walking</w:t>
            </w:r>
          </w:p>
          <w:p w14:paraId="08C2D580" w14:textId="77777777" w:rsidR="00536F93" w:rsidRPr="00536F93" w:rsidRDefault="00536F93" w:rsidP="00C66621">
            <w:pPr>
              <w:numPr>
                <w:ilvl w:val="0"/>
                <w:numId w:val="21"/>
              </w:numPr>
              <w:overflowPunct/>
              <w:autoSpaceDE/>
              <w:autoSpaceDN/>
              <w:adjustRightInd/>
              <w:spacing w:before="100" w:beforeAutospacing="1" w:after="100" w:afterAutospacing="1"/>
              <w:rPr>
                <w:szCs w:val="24"/>
              </w:rPr>
            </w:pPr>
            <w:r w:rsidRPr="00536F93">
              <w:rPr>
                <w:szCs w:val="24"/>
              </w:rPr>
              <w:t>loss of postural reflexes (tendency to fall forward or backward with respective shift in center of gravity)</w:t>
            </w:r>
          </w:p>
          <w:p w14:paraId="35854440" w14:textId="77777777" w:rsidR="00536F93" w:rsidRPr="00536F93" w:rsidRDefault="00536F93" w:rsidP="00C66621">
            <w:pPr>
              <w:numPr>
                <w:ilvl w:val="0"/>
                <w:numId w:val="21"/>
              </w:numPr>
              <w:overflowPunct/>
              <w:autoSpaceDE/>
              <w:autoSpaceDN/>
              <w:adjustRightInd/>
              <w:spacing w:before="100" w:beforeAutospacing="1" w:after="100" w:afterAutospacing="1"/>
              <w:rPr>
                <w:szCs w:val="24"/>
              </w:rPr>
            </w:pPr>
            <w:r w:rsidRPr="00536F93">
              <w:rPr>
                <w:szCs w:val="24"/>
              </w:rPr>
              <w:t>speech manifestations – specifically low speech volume with stuttering or slurred speech, or uniformity of tone and high pitch, and</w:t>
            </w:r>
          </w:p>
          <w:p w14:paraId="5498204B" w14:textId="1F004940" w:rsidR="00536F93" w:rsidRPr="00536F93" w:rsidRDefault="00291BB1" w:rsidP="00C66621">
            <w:pPr>
              <w:numPr>
                <w:ilvl w:val="0"/>
                <w:numId w:val="21"/>
              </w:numPr>
              <w:overflowPunct/>
              <w:autoSpaceDE/>
              <w:autoSpaceDN/>
              <w:adjustRightInd/>
              <w:spacing w:before="100" w:beforeAutospacing="1" w:after="100" w:afterAutospacing="1"/>
              <w:rPr>
                <w:szCs w:val="24"/>
              </w:rPr>
            </w:pPr>
            <w:proofErr w:type="gramStart"/>
            <w:r>
              <w:rPr>
                <w:szCs w:val="24"/>
              </w:rPr>
              <w:t>dysphagia</w:t>
            </w:r>
            <w:proofErr w:type="gramEnd"/>
            <w:r>
              <w:rPr>
                <w:szCs w:val="24"/>
              </w:rPr>
              <w:t>.</w:t>
            </w:r>
          </w:p>
          <w:p w14:paraId="594198B4" w14:textId="6E827A1C" w:rsidR="0083226A" w:rsidRDefault="0083226A" w:rsidP="00536F93">
            <w:pPr>
              <w:textAlignment w:val="baseline"/>
            </w:pPr>
            <w:r w:rsidRPr="00A22945">
              <w:t xml:space="preserve">Parkinson’s disease is evaluated under paralysis </w:t>
            </w:r>
            <w:proofErr w:type="spellStart"/>
            <w:r w:rsidRPr="00A22945">
              <w:t>agitans</w:t>
            </w:r>
            <w:proofErr w:type="spellEnd"/>
            <w:r w:rsidRPr="00A22945">
              <w:t xml:space="preserve"> </w:t>
            </w:r>
            <w:r w:rsidR="00D1621F">
              <w:t>–</w:t>
            </w:r>
            <w:r w:rsidRPr="00A22945">
              <w:t xml:space="preserve"> DC 8004:</w:t>
            </w:r>
          </w:p>
          <w:p w14:paraId="52C1F358" w14:textId="77777777" w:rsidR="007E622F" w:rsidRPr="00A22945" w:rsidRDefault="007E622F" w:rsidP="00536F93">
            <w:pPr>
              <w:textAlignment w:val="baseline"/>
            </w:pPr>
          </w:p>
          <w:p w14:paraId="448C235B" w14:textId="77777777" w:rsidR="0083226A" w:rsidRPr="00A22945" w:rsidRDefault="0083226A" w:rsidP="00A22945">
            <w:pPr>
              <w:textAlignment w:val="baseline"/>
            </w:pPr>
            <w:r w:rsidRPr="00A22945">
              <w:rPr>
                <w:noProof/>
              </w:rPr>
              <w:drawing>
                <wp:inline distT="0" distB="0" distL="0" distR="0" wp14:anchorId="4BF222C8" wp14:editId="7C3D2440">
                  <wp:extent cx="6136161" cy="340242"/>
                  <wp:effectExtent l="19050" t="19050" r="17145" b="22225"/>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295102" cy="349055"/>
                          </a:xfrm>
                          <a:prstGeom prst="rect">
                            <a:avLst/>
                          </a:prstGeom>
                          <a:noFill/>
                          <a:ln w="12700">
                            <a:solidFill>
                              <a:srgbClr val="1F497D"/>
                            </a:solidFill>
                            <a:miter lim="800000"/>
                            <a:headEnd/>
                            <a:tailEnd/>
                          </a:ln>
                          <a:extLst/>
                        </pic:spPr>
                      </pic:pic>
                    </a:graphicData>
                  </a:graphic>
                </wp:inline>
              </w:drawing>
            </w:r>
          </w:p>
          <w:p w14:paraId="75A15513" w14:textId="77777777" w:rsidR="007E622F" w:rsidRDefault="007E622F" w:rsidP="00E67856">
            <w:pPr>
              <w:textAlignment w:val="baseline"/>
            </w:pPr>
          </w:p>
          <w:p w14:paraId="11612320" w14:textId="1568293E" w:rsidR="007E622F" w:rsidRPr="00A22945" w:rsidRDefault="0083226A" w:rsidP="007E622F">
            <w:pPr>
              <w:textAlignment w:val="baseline"/>
            </w:pPr>
            <w:r w:rsidRPr="00A22945">
              <w:t xml:space="preserve">The 30 percent evaluation will be assigned until complications can be separately evaluated and provide an evaluation of higher than 30 percent. </w:t>
            </w:r>
          </w:p>
        </w:tc>
      </w:tr>
    </w:tbl>
    <w:p w14:paraId="0235A3E4" w14:textId="77777777" w:rsidR="007E622F" w:rsidRDefault="007E622F">
      <w:r>
        <w:br w:type="page"/>
      </w:r>
    </w:p>
    <w:tbl>
      <w:tblPr>
        <w:tblW w:w="9835" w:type="dxa"/>
        <w:tblLayout w:type="fixed"/>
        <w:tblCellMar>
          <w:left w:w="115" w:type="dxa"/>
          <w:right w:w="115" w:type="dxa"/>
        </w:tblCellMar>
        <w:tblLook w:val="0000" w:firstRow="0" w:lastRow="0" w:firstColumn="0" w:lastColumn="0" w:noHBand="0" w:noVBand="0"/>
      </w:tblPr>
      <w:tblGrid>
        <w:gridCol w:w="9835"/>
      </w:tblGrid>
      <w:tr w:rsidR="0083226A" w:rsidRPr="00A22945" w14:paraId="23D429E1" w14:textId="77777777" w:rsidTr="00FB11ED">
        <w:trPr>
          <w:trHeight w:val="212"/>
        </w:trPr>
        <w:tc>
          <w:tcPr>
            <w:tcW w:w="9835" w:type="dxa"/>
          </w:tcPr>
          <w:p w14:paraId="118B68B2" w14:textId="5802E5C5" w:rsidR="0083226A" w:rsidRPr="00A22945" w:rsidRDefault="007E622F" w:rsidP="007E622F">
            <w:pPr>
              <w:textAlignment w:val="baseline"/>
            </w:pPr>
            <w:r>
              <w:lastRenderedPageBreak/>
              <w:t>When e</w:t>
            </w:r>
            <w:r w:rsidR="0083226A" w:rsidRPr="00A22945">
              <w:t>valuat</w:t>
            </w:r>
            <w:r>
              <w:t>ing</w:t>
            </w:r>
            <w:r w:rsidR="0083226A" w:rsidRPr="00A22945">
              <w:t xml:space="preserve"> residual disability</w:t>
            </w:r>
            <w:r>
              <w:t xml:space="preserve"> and/or complications of Parkinson’s disease, ensure to</w:t>
            </w:r>
            <w:r w:rsidR="0083226A" w:rsidRPr="00A22945">
              <w:t>:</w:t>
            </w:r>
          </w:p>
          <w:p w14:paraId="2C3C2359" w14:textId="77777777" w:rsidR="0083226A" w:rsidRPr="00A22945" w:rsidRDefault="0083226A" w:rsidP="00C66621">
            <w:pPr>
              <w:numPr>
                <w:ilvl w:val="0"/>
                <w:numId w:val="9"/>
              </w:numPr>
              <w:textAlignment w:val="baseline"/>
            </w:pPr>
            <w:r w:rsidRPr="00A22945">
              <w:t>Evaluate each affected body system or body part separately</w:t>
            </w:r>
          </w:p>
          <w:p w14:paraId="1A24C708" w14:textId="77777777" w:rsidR="0083226A" w:rsidRPr="00A22945" w:rsidRDefault="0083226A" w:rsidP="00C66621">
            <w:pPr>
              <w:numPr>
                <w:ilvl w:val="0"/>
                <w:numId w:val="9"/>
              </w:numPr>
              <w:textAlignment w:val="baseline"/>
            </w:pPr>
            <w:r w:rsidRPr="00A22945">
              <w:t>Show the DC for Parkinson’s only once by listing with the most severely affected function</w:t>
            </w:r>
          </w:p>
          <w:p w14:paraId="0FF42C24" w14:textId="77777777" w:rsidR="0083226A" w:rsidRDefault="0083226A" w:rsidP="00C66621">
            <w:pPr>
              <w:numPr>
                <w:ilvl w:val="0"/>
                <w:numId w:val="9"/>
              </w:numPr>
              <w:textAlignment w:val="baseline"/>
            </w:pPr>
            <w:r w:rsidRPr="00A22945">
              <w:t>Code involvement of other manifestations under their specific DC and show as secondary to PD.</w:t>
            </w:r>
          </w:p>
          <w:p w14:paraId="2FAD614D" w14:textId="77777777" w:rsidR="00CA5AE3" w:rsidRPr="00A22945" w:rsidRDefault="00CA5AE3" w:rsidP="00CA5AE3">
            <w:pPr>
              <w:ind w:left="720"/>
              <w:textAlignment w:val="baseline"/>
            </w:pPr>
          </w:p>
          <w:p w14:paraId="3FE1B879" w14:textId="629B421A" w:rsidR="0083226A" w:rsidRPr="00A22945" w:rsidRDefault="0083226A" w:rsidP="007E622F">
            <w:pPr>
              <w:jc w:val="center"/>
              <w:textAlignment w:val="baseline"/>
            </w:pPr>
            <w:r w:rsidRPr="00A22945">
              <w:rPr>
                <w:noProof/>
              </w:rPr>
              <w:drawing>
                <wp:inline distT="0" distB="0" distL="0" distR="0" wp14:anchorId="16AF1A35" wp14:editId="196E1878">
                  <wp:extent cx="5486400" cy="3497180"/>
                  <wp:effectExtent l="19050" t="19050" r="19050" b="27305"/>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14788" cy="3515276"/>
                          </a:xfrm>
                          <a:prstGeom prst="rect">
                            <a:avLst/>
                          </a:prstGeom>
                          <a:noFill/>
                          <a:ln w="12700">
                            <a:solidFill>
                              <a:srgbClr val="1F497D"/>
                            </a:solidFill>
                            <a:miter lim="800000"/>
                            <a:headEnd/>
                            <a:tailEnd/>
                          </a:ln>
                          <a:extLst/>
                        </pic:spPr>
                      </pic:pic>
                    </a:graphicData>
                  </a:graphic>
                </wp:inline>
              </w:drawing>
            </w:r>
          </w:p>
          <w:p w14:paraId="516ED452" w14:textId="5EDD15D4" w:rsidR="0083226A" w:rsidRPr="00A22945" w:rsidRDefault="0083226A" w:rsidP="00A22945">
            <w:pPr>
              <w:textAlignment w:val="baseline"/>
              <w:rPr>
                <w:b/>
                <w:i/>
              </w:rPr>
            </w:pPr>
          </w:p>
        </w:tc>
      </w:tr>
    </w:tbl>
    <w:p w14:paraId="79CC4A84" w14:textId="77777777" w:rsidR="0083226A" w:rsidRDefault="0083226A">
      <w:r>
        <w:br w:type="page"/>
      </w:r>
    </w:p>
    <w:tbl>
      <w:tblPr>
        <w:tblW w:w="9835" w:type="dxa"/>
        <w:tblLayout w:type="fixed"/>
        <w:tblCellMar>
          <w:left w:w="115" w:type="dxa"/>
          <w:right w:w="115" w:type="dxa"/>
        </w:tblCellMar>
        <w:tblLook w:val="0000" w:firstRow="0" w:lastRow="0" w:firstColumn="0" w:lastColumn="0" w:noHBand="0" w:noVBand="0"/>
      </w:tblPr>
      <w:tblGrid>
        <w:gridCol w:w="9835"/>
      </w:tblGrid>
      <w:tr w:rsidR="00A22945" w:rsidRPr="00A22945" w14:paraId="2ACD34A6" w14:textId="77777777" w:rsidTr="00FB11ED">
        <w:trPr>
          <w:trHeight w:val="212"/>
        </w:trPr>
        <w:tc>
          <w:tcPr>
            <w:tcW w:w="9835" w:type="dxa"/>
            <w:vAlign w:val="center"/>
          </w:tcPr>
          <w:p w14:paraId="7549C9BC" w14:textId="6E4575FD" w:rsidR="00A22945" w:rsidRPr="00A22945" w:rsidRDefault="00A22945" w:rsidP="00A22945">
            <w:pPr>
              <w:spacing w:after="120"/>
              <w:jc w:val="center"/>
              <w:textAlignment w:val="baseline"/>
              <w:outlineLvl w:val="0"/>
              <w:rPr>
                <w:rFonts w:ascii="Times New Roman Bold" w:hAnsi="Times New Roman Bold"/>
                <w:b/>
                <w:smallCaps/>
                <w:color w:val="0070C0"/>
                <w:sz w:val="28"/>
                <w:szCs w:val="36"/>
              </w:rPr>
            </w:pPr>
            <w:r w:rsidRPr="00A22945">
              <w:rPr>
                <w:color w:val="0070C0"/>
              </w:rPr>
              <w:lastRenderedPageBreak/>
              <w:br w:type="page"/>
            </w:r>
            <w:bookmarkStart w:id="18" w:name="_Toc475111613"/>
            <w:bookmarkStart w:id="19" w:name="_Toc485284772"/>
            <w:r w:rsidRPr="00A22945">
              <w:rPr>
                <w:rFonts w:ascii="Times New Roman Bold" w:hAnsi="Times New Roman Bold"/>
                <w:b/>
                <w:smallCaps/>
                <w:sz w:val="28"/>
                <w:szCs w:val="36"/>
              </w:rPr>
              <w:t>Topic 4: Effective Date</w:t>
            </w:r>
            <w:bookmarkEnd w:id="18"/>
            <w:bookmarkEnd w:id="19"/>
          </w:p>
        </w:tc>
      </w:tr>
      <w:tr w:rsidR="0083226A" w:rsidRPr="00A22945" w14:paraId="3B7E43B8" w14:textId="77777777" w:rsidTr="00FB11ED">
        <w:trPr>
          <w:trHeight w:val="212"/>
        </w:trPr>
        <w:tc>
          <w:tcPr>
            <w:tcW w:w="9835" w:type="dxa"/>
          </w:tcPr>
          <w:p w14:paraId="457D17AC" w14:textId="77777777" w:rsidR="00CA5AE3" w:rsidRPr="00CA5AE3" w:rsidRDefault="00CA5AE3" w:rsidP="00CA5AE3">
            <w:pPr>
              <w:overflowPunct/>
              <w:autoSpaceDE/>
              <w:autoSpaceDN/>
              <w:adjustRightInd/>
              <w:spacing w:before="200" w:after="100"/>
              <w:outlineLvl w:val="1"/>
              <w:rPr>
                <w:b/>
                <w:bCs/>
                <w:szCs w:val="24"/>
              </w:rPr>
            </w:pPr>
            <w:r w:rsidRPr="00CA5AE3">
              <w:rPr>
                <w:b/>
                <w:bCs/>
                <w:szCs w:val="24"/>
              </w:rPr>
              <w:t xml:space="preserve">§3.114   Change of law or </w:t>
            </w:r>
            <w:proofErr w:type="gramStart"/>
            <w:r w:rsidRPr="00CA5AE3">
              <w:rPr>
                <w:b/>
                <w:bCs/>
                <w:szCs w:val="24"/>
              </w:rPr>
              <w:t>Department of Veterans Affairs</w:t>
            </w:r>
            <w:proofErr w:type="gramEnd"/>
            <w:r w:rsidRPr="00CA5AE3">
              <w:rPr>
                <w:b/>
                <w:bCs/>
                <w:szCs w:val="24"/>
              </w:rPr>
              <w:t xml:space="preserve"> issue.</w:t>
            </w:r>
          </w:p>
          <w:p w14:paraId="6B0204FD" w14:textId="77777777" w:rsidR="00CA5AE3" w:rsidRPr="00CA5AE3" w:rsidRDefault="00CA5AE3" w:rsidP="00CA5AE3">
            <w:pPr>
              <w:overflowPunct/>
              <w:autoSpaceDE/>
              <w:autoSpaceDN/>
              <w:adjustRightInd/>
              <w:spacing w:before="100" w:beforeAutospacing="1" w:after="100" w:afterAutospacing="1"/>
              <w:ind w:firstLine="480"/>
              <w:jc w:val="center"/>
              <w:rPr>
                <w:szCs w:val="24"/>
              </w:rPr>
            </w:pPr>
            <w:r w:rsidRPr="00CA5AE3">
              <w:rPr>
                <w:szCs w:val="24"/>
              </w:rPr>
              <w:t xml:space="preserve">(a) </w:t>
            </w:r>
            <w:r w:rsidRPr="00CA5AE3">
              <w:rPr>
                <w:i/>
                <w:iCs/>
                <w:szCs w:val="24"/>
              </w:rPr>
              <w:t>Effective date of award.</w:t>
            </w:r>
            <w:r w:rsidRPr="00CA5AE3">
              <w:rPr>
                <w:szCs w:val="24"/>
              </w:rPr>
              <w:t xml:space="preserve"> Where pension, compensation, dependency and indemnity compensation, or a monetary allowance under 38 U.S.C. chapter 18 for an individual who is a child of a Vietnam veteran or child of a veteran with covered service in Korea is awarded or increased pursuant to a liberalizing law, or a liberalizing VA issue approved by the Secretary or by the Secretary's direction, the effective date of such award or increase shall be fixed in accordance with the facts found, but shall not be earlier than the effective date of the act or administrative issue. Where pension, compensation, dependency and indemnity compensation, or a monetary allowance under 38 U.S.C. chapter 18 for an individual who is a child of a Vietnam veteran or child of a veteran with covered service in Korea is awarded or increased pursuant to a liberalizing law or VA issue which became effective on or after the date of its enactment or issuance, in order for a claimant to be eligible for a retroactive payment under the provisions of this paragraph the evidence must show that the claimant met all eligibility criteria for the liberalized benefit on the effective date of the liberalizing law or VA issue and that such eligibility existed continuously from that date to the date of claim or administrative determination of entitlement. The provisions of this paragraph are applicable to original and reopened claims as well as claims for increase.</w:t>
            </w:r>
          </w:p>
          <w:p w14:paraId="47864024" w14:textId="77777777" w:rsidR="00CA5AE3" w:rsidRPr="00CA5AE3" w:rsidRDefault="00CA5AE3" w:rsidP="00CA5AE3">
            <w:pPr>
              <w:overflowPunct/>
              <w:autoSpaceDE/>
              <w:autoSpaceDN/>
              <w:adjustRightInd/>
              <w:spacing w:before="100" w:beforeAutospacing="1" w:after="100" w:afterAutospacing="1"/>
              <w:ind w:firstLine="480"/>
              <w:jc w:val="center"/>
              <w:rPr>
                <w:szCs w:val="24"/>
              </w:rPr>
            </w:pPr>
            <w:r w:rsidRPr="00CA5AE3">
              <w:rPr>
                <w:szCs w:val="24"/>
              </w:rPr>
              <w:t>(1) If a claim is reviewed on the initiative of VA within 1 year from the effective date of the law or VA issue, or at the request of a claimant received within 1 year from that date, benefits may be authorized from the effective date of the law or VA issue.</w:t>
            </w:r>
          </w:p>
          <w:p w14:paraId="04578404" w14:textId="77777777" w:rsidR="00CA5AE3" w:rsidRPr="00CA5AE3" w:rsidRDefault="00CA5AE3" w:rsidP="00CA5AE3">
            <w:pPr>
              <w:overflowPunct/>
              <w:autoSpaceDE/>
              <w:autoSpaceDN/>
              <w:adjustRightInd/>
              <w:spacing w:before="100" w:beforeAutospacing="1" w:after="100" w:afterAutospacing="1"/>
              <w:ind w:firstLine="480"/>
              <w:jc w:val="center"/>
              <w:rPr>
                <w:szCs w:val="24"/>
              </w:rPr>
            </w:pPr>
            <w:r w:rsidRPr="00CA5AE3">
              <w:rPr>
                <w:szCs w:val="24"/>
              </w:rPr>
              <w:t>(2) If a claim is reviewed on the initiative of VA more than 1 year after the effective date of the law or VA issue, benefits may be authorized for a period of 1 year prior to the date of administrative determination of entitlement.</w:t>
            </w:r>
          </w:p>
          <w:p w14:paraId="38C6BE46" w14:textId="622296D4" w:rsidR="0083226A" w:rsidRPr="00A22945" w:rsidRDefault="00CA5AE3" w:rsidP="00636CFD">
            <w:pPr>
              <w:overflowPunct/>
              <w:autoSpaceDE/>
              <w:autoSpaceDN/>
              <w:adjustRightInd/>
              <w:spacing w:before="100" w:beforeAutospacing="1" w:after="100" w:afterAutospacing="1"/>
              <w:ind w:firstLine="480"/>
              <w:jc w:val="center"/>
            </w:pPr>
            <w:r w:rsidRPr="00CA5AE3">
              <w:rPr>
                <w:szCs w:val="24"/>
              </w:rPr>
              <w:t>(3) If a claim is reviewed at the request of the claimant more than 1 year after the effective date of the law or VA issue, benefits may be authorized for a period of 1 year prior to the date of receipt of such request.</w:t>
            </w:r>
          </w:p>
        </w:tc>
      </w:tr>
      <w:tr w:rsidR="0083226A" w:rsidRPr="00A22945" w14:paraId="39BAF5A7" w14:textId="77777777" w:rsidTr="00FB11ED">
        <w:trPr>
          <w:trHeight w:val="212"/>
        </w:trPr>
        <w:tc>
          <w:tcPr>
            <w:tcW w:w="9835" w:type="dxa"/>
          </w:tcPr>
          <w:p w14:paraId="15F973F6" w14:textId="77777777" w:rsidR="00636CFD" w:rsidRDefault="00636CFD" w:rsidP="00636CFD">
            <w:pPr>
              <w:jc w:val="center"/>
              <w:textAlignment w:val="baseline"/>
            </w:pPr>
            <w:r w:rsidRPr="00A22945">
              <w:rPr>
                <w:noProof/>
              </w:rPr>
              <w:drawing>
                <wp:inline distT="0" distB="0" distL="0" distR="0" wp14:anchorId="09759F9A" wp14:editId="2AF9C0AB">
                  <wp:extent cx="5869172" cy="1250335"/>
                  <wp:effectExtent l="19050" t="19050" r="17780" b="26035"/>
                  <wp:docPr id="1"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Grp="1"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919967" cy="1261156"/>
                          </a:xfrm>
                          <a:prstGeom prst="rect">
                            <a:avLst/>
                          </a:prstGeom>
                          <a:noFill/>
                          <a:ln w="12700">
                            <a:solidFill>
                              <a:srgbClr val="1F497D"/>
                            </a:solidFill>
                            <a:miter lim="800000"/>
                            <a:headEnd/>
                            <a:tailEnd/>
                          </a:ln>
                          <a:extLst/>
                        </pic:spPr>
                      </pic:pic>
                    </a:graphicData>
                  </a:graphic>
                </wp:inline>
              </w:drawing>
            </w:r>
          </w:p>
          <w:p w14:paraId="78E65633" w14:textId="4B7A5CAA" w:rsidR="0083226A" w:rsidRPr="00A22945" w:rsidRDefault="00CA5AE3" w:rsidP="00A22945">
            <w:pPr>
              <w:textAlignment w:val="baseline"/>
            </w:pPr>
            <w:r w:rsidRPr="00636CFD">
              <w:rPr>
                <w:b/>
              </w:rPr>
              <w:t>Scenario:</w:t>
            </w:r>
            <w:r>
              <w:t xml:space="preserve"> </w:t>
            </w:r>
            <w:r w:rsidR="0083226A" w:rsidRPr="00A22945">
              <w:t>The Veteran submits a claim for liv</w:t>
            </w:r>
            <w:r w:rsidR="00291BB1">
              <w:t xml:space="preserve">er cancer on January 30, 2018. </w:t>
            </w:r>
            <w:r w:rsidR="0083226A" w:rsidRPr="00A22945">
              <w:t xml:space="preserve">His DD-214 shows that he served honorably in the Marine </w:t>
            </w:r>
            <w:r w:rsidR="00291BB1">
              <w:t xml:space="preserve">Corps from 3/13/65 to 5/26/67. </w:t>
            </w:r>
            <w:r w:rsidR="0083226A" w:rsidRPr="00A22945">
              <w:t xml:space="preserve">Personnel records show the Veteran was stationed at Camp Lejeune from April 1965 to September 1965.  </w:t>
            </w:r>
          </w:p>
          <w:p w14:paraId="6DB7A828" w14:textId="3D55B8BE" w:rsidR="0083226A" w:rsidRPr="00A22945" w:rsidRDefault="0083226A" w:rsidP="00636CFD">
            <w:pPr>
              <w:textAlignment w:val="baseline"/>
            </w:pPr>
            <w:r w:rsidRPr="00A22945">
              <w:t>In support of his claim he submits private treatment records that include laboratory tests confirming a diagnosis of l</w:t>
            </w:r>
            <w:r w:rsidR="00291BB1">
              <w:t xml:space="preserve">iver cancer on August 9, 2014. </w:t>
            </w:r>
            <w:r w:rsidRPr="00A22945">
              <w:t>Current treatment includes palliative chemotherapy.  The Veteran is considered terminal.</w:t>
            </w:r>
            <w:r w:rsidR="00291BB1">
              <w:t xml:space="preserve"> </w:t>
            </w:r>
            <w:r w:rsidRPr="00A22945">
              <w:t>What rating action should be taken?</w:t>
            </w:r>
          </w:p>
        </w:tc>
      </w:tr>
      <w:tr w:rsidR="00A83634" w:rsidRPr="00A83634" w14:paraId="222FC30A" w14:textId="77777777" w:rsidTr="00FB11ED">
        <w:trPr>
          <w:trHeight w:val="212"/>
        </w:trPr>
        <w:tc>
          <w:tcPr>
            <w:tcW w:w="9835" w:type="dxa"/>
            <w:vAlign w:val="center"/>
          </w:tcPr>
          <w:p w14:paraId="1E3CEBD3" w14:textId="133C6C15" w:rsidR="00A83634" w:rsidRPr="00A83634" w:rsidRDefault="00A83634" w:rsidP="00A83634">
            <w:pPr>
              <w:spacing w:after="120"/>
              <w:jc w:val="center"/>
              <w:textAlignment w:val="baseline"/>
              <w:outlineLvl w:val="0"/>
              <w:rPr>
                <w:rFonts w:ascii="Times New Roman Bold" w:hAnsi="Times New Roman Bold"/>
                <w:b/>
                <w:smallCaps/>
                <w:color w:val="0070C0"/>
                <w:sz w:val="28"/>
                <w:szCs w:val="36"/>
              </w:rPr>
            </w:pPr>
            <w:r w:rsidRPr="00A83634">
              <w:rPr>
                <w:color w:val="0070C0"/>
              </w:rPr>
              <w:lastRenderedPageBreak/>
              <w:br w:type="page"/>
            </w:r>
            <w:bookmarkStart w:id="20" w:name="_Toc475111614"/>
            <w:bookmarkStart w:id="21" w:name="_Toc485284773"/>
            <w:r w:rsidRPr="00A83634">
              <w:rPr>
                <w:rFonts w:ascii="Times New Roman Bold" w:hAnsi="Times New Roman Bold"/>
                <w:b/>
                <w:smallCaps/>
                <w:sz w:val="28"/>
                <w:szCs w:val="36"/>
              </w:rPr>
              <w:t>Topic 5: Rating Requirements</w:t>
            </w:r>
            <w:bookmarkEnd w:id="20"/>
            <w:bookmarkEnd w:id="21"/>
          </w:p>
        </w:tc>
      </w:tr>
      <w:tr w:rsidR="0083226A" w:rsidRPr="00A83634" w14:paraId="03444B90" w14:textId="77777777" w:rsidTr="00FB11ED">
        <w:trPr>
          <w:trHeight w:val="212"/>
        </w:trPr>
        <w:tc>
          <w:tcPr>
            <w:tcW w:w="9835" w:type="dxa"/>
          </w:tcPr>
          <w:p w14:paraId="7F238F10" w14:textId="77777777" w:rsidR="0083226A" w:rsidRPr="00A83634" w:rsidRDefault="0083226A" w:rsidP="00FA12D0">
            <w:pPr>
              <w:textAlignment w:val="baseline"/>
            </w:pPr>
            <w:r w:rsidRPr="00A83634">
              <w:t>When awarding or denying a claim due to exposure to contaminants in the Camp Lejeune water supply users must:</w:t>
            </w:r>
          </w:p>
          <w:p w14:paraId="12344383" w14:textId="77777777" w:rsidR="0083226A" w:rsidRPr="00A83634" w:rsidRDefault="0083226A" w:rsidP="00C66621">
            <w:pPr>
              <w:numPr>
                <w:ilvl w:val="0"/>
                <w:numId w:val="10"/>
              </w:numPr>
              <w:textAlignment w:val="baseline"/>
            </w:pPr>
            <w:r w:rsidRPr="00A83634">
              <w:t>select the appropriate reason(s) for awarding or denying the claim in the DECISION BASIS</w:t>
            </w:r>
          </w:p>
          <w:p w14:paraId="7A0EC53D" w14:textId="77777777" w:rsidR="0083226A" w:rsidRPr="00A83634" w:rsidRDefault="0083226A" w:rsidP="00C66621">
            <w:pPr>
              <w:numPr>
                <w:ilvl w:val="0"/>
                <w:numId w:val="10"/>
              </w:numPr>
              <w:textAlignment w:val="baseline"/>
            </w:pPr>
            <w:r w:rsidRPr="00A83634">
              <w:t xml:space="preserve">affix the </w:t>
            </w:r>
            <w:r w:rsidRPr="00A83634">
              <w:rPr>
                <w:b/>
                <w:bCs/>
                <w:i/>
                <w:iCs/>
              </w:rPr>
              <w:t>Environmental Hazard-Camp Lejeune</w:t>
            </w:r>
            <w:r w:rsidRPr="00A83634">
              <w:rPr>
                <w:b/>
                <w:bCs/>
              </w:rPr>
              <w:t xml:space="preserve"> </w:t>
            </w:r>
            <w:r w:rsidRPr="00A83634">
              <w:t>special issue in VBMS-R, and</w:t>
            </w:r>
          </w:p>
          <w:p w14:paraId="23B1AE65" w14:textId="44558DD9" w:rsidR="0083226A" w:rsidRDefault="0083226A" w:rsidP="00C66621">
            <w:pPr>
              <w:numPr>
                <w:ilvl w:val="0"/>
                <w:numId w:val="10"/>
              </w:numPr>
              <w:textAlignment w:val="baseline"/>
            </w:pPr>
            <w:proofErr w:type="gramStart"/>
            <w:r w:rsidRPr="00A83634">
              <w:t>insert</w:t>
            </w:r>
            <w:proofErr w:type="gramEnd"/>
            <w:r w:rsidRPr="00A83634">
              <w:t xml:space="preserve"> the appropriate text as</w:t>
            </w:r>
            <w:r w:rsidR="00B05850">
              <w:t xml:space="preserve"> provided in M21-1 IV.ii.2.C.6.i or j</w:t>
            </w:r>
            <w:r w:rsidRPr="00A83634">
              <w:t>.</w:t>
            </w:r>
          </w:p>
          <w:p w14:paraId="03FA0AA3" w14:textId="77777777" w:rsidR="00FA12D0" w:rsidRPr="00A83634" w:rsidRDefault="00FA12D0" w:rsidP="00FA12D0">
            <w:pPr>
              <w:ind w:left="1080"/>
              <w:textAlignment w:val="baseline"/>
            </w:pPr>
          </w:p>
          <w:p w14:paraId="21102410" w14:textId="33133C38" w:rsidR="0083226A" w:rsidRPr="00FA12D0" w:rsidRDefault="0083226A" w:rsidP="00A83634">
            <w:pPr>
              <w:spacing w:after="240"/>
              <w:textAlignment w:val="baseline"/>
              <w:rPr>
                <w:color w:val="0070C0"/>
              </w:rPr>
            </w:pPr>
            <w:r w:rsidRPr="00FA12D0">
              <w:t>The special issue in VBMS-R must be affixed for both grants and denials.</w:t>
            </w:r>
          </w:p>
        </w:tc>
      </w:tr>
      <w:tr w:rsidR="0083226A" w:rsidRPr="00A83634" w14:paraId="02B969F0" w14:textId="77777777" w:rsidTr="00FB11ED">
        <w:trPr>
          <w:trHeight w:val="212"/>
        </w:trPr>
        <w:tc>
          <w:tcPr>
            <w:tcW w:w="9835" w:type="dxa"/>
          </w:tcPr>
          <w:p w14:paraId="70BC678E" w14:textId="77777777" w:rsidR="0083226A" w:rsidRDefault="0083226A" w:rsidP="00873529">
            <w:pPr>
              <w:textAlignment w:val="baseline"/>
            </w:pPr>
            <w:r w:rsidRPr="00A83634">
              <w:t xml:space="preserve">If awarding a Camp Lejeune claim on a presumptive basis, the following text must be included in both the </w:t>
            </w:r>
            <w:r w:rsidRPr="00A83634">
              <w:rPr>
                <w:u w:val="single"/>
              </w:rPr>
              <w:t>RATING NARRATIVE</w:t>
            </w:r>
            <w:r w:rsidRPr="00A83634">
              <w:t xml:space="preserve"> and </w:t>
            </w:r>
            <w:r w:rsidRPr="00A83634">
              <w:rPr>
                <w:u w:val="single"/>
              </w:rPr>
              <w:t>NOTIFICATION LETTER</w:t>
            </w:r>
            <w:r w:rsidRPr="00A83634">
              <w:t xml:space="preserve"> user text fields:</w:t>
            </w:r>
          </w:p>
          <w:p w14:paraId="36B4521A" w14:textId="77777777" w:rsidR="00873529" w:rsidRDefault="00873529" w:rsidP="00873529">
            <w:pPr>
              <w:textAlignment w:val="baseline"/>
            </w:pPr>
          </w:p>
          <w:p w14:paraId="3EBE896F" w14:textId="5293C833" w:rsidR="00873529" w:rsidRDefault="00873529" w:rsidP="00873529">
            <w:pPr>
              <w:textAlignment w:val="baseline"/>
              <w:rPr>
                <w:i/>
              </w:rPr>
            </w:pPr>
            <w:r w:rsidRPr="00873529">
              <w:rPr>
                <w:i/>
              </w:rPr>
              <w:t>Service connection may be granted for specific diseases or conditions which are presumed to have been caused by exposure to contaminants in the</w:t>
            </w:r>
            <w:r w:rsidR="00291BB1">
              <w:rPr>
                <w:i/>
              </w:rPr>
              <w:t xml:space="preserve"> water supply at Camp Lejeune. </w:t>
            </w:r>
            <w:r w:rsidRPr="00873529">
              <w:rPr>
                <w:i/>
              </w:rPr>
              <w:t>Although not shown in service, service connection for [insert condition] has been granted on the basis of presumption due to exposure to contaminants in the water supply at Camp Lejeune.</w:t>
            </w:r>
          </w:p>
          <w:p w14:paraId="75D896CA" w14:textId="77777777" w:rsidR="00873529" w:rsidRPr="00873529" w:rsidRDefault="00873529" w:rsidP="00873529">
            <w:pPr>
              <w:textAlignment w:val="baseline"/>
              <w:rPr>
                <w:i/>
              </w:rPr>
            </w:pPr>
          </w:p>
          <w:p w14:paraId="06DDAD06" w14:textId="77777777" w:rsidR="0083226A" w:rsidRPr="00A83634" w:rsidRDefault="0083226A" w:rsidP="00A83634">
            <w:pPr>
              <w:jc w:val="center"/>
              <w:textAlignment w:val="baseline"/>
            </w:pPr>
            <w:r w:rsidRPr="00A83634">
              <w:rPr>
                <w:noProof/>
              </w:rPr>
              <w:drawing>
                <wp:inline distT="0" distB="0" distL="0" distR="0" wp14:anchorId="590F2D75" wp14:editId="58454E45">
                  <wp:extent cx="5492499" cy="1424763"/>
                  <wp:effectExtent l="19050" t="19050" r="13335" b="23495"/>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509621" cy="1429205"/>
                          </a:xfrm>
                          <a:prstGeom prst="rect">
                            <a:avLst/>
                          </a:prstGeom>
                          <a:noFill/>
                          <a:ln w="12700">
                            <a:solidFill>
                              <a:srgbClr val="1F497D"/>
                            </a:solidFill>
                            <a:miter lim="800000"/>
                            <a:headEnd/>
                            <a:tailEnd/>
                          </a:ln>
                          <a:extLst/>
                        </pic:spPr>
                      </pic:pic>
                    </a:graphicData>
                  </a:graphic>
                </wp:inline>
              </w:drawing>
            </w:r>
          </w:p>
          <w:p w14:paraId="126D35E6" w14:textId="77777777" w:rsidR="00873529" w:rsidRPr="00A83634" w:rsidRDefault="00873529" w:rsidP="00873529">
            <w:pPr>
              <w:textAlignment w:val="baseline"/>
            </w:pPr>
          </w:p>
        </w:tc>
      </w:tr>
    </w:tbl>
    <w:p w14:paraId="1E64B82C" w14:textId="77777777" w:rsidR="00873529" w:rsidRDefault="00873529">
      <w:r>
        <w:br w:type="page"/>
      </w:r>
    </w:p>
    <w:tbl>
      <w:tblPr>
        <w:tblW w:w="9835" w:type="dxa"/>
        <w:tblLayout w:type="fixed"/>
        <w:tblCellMar>
          <w:left w:w="115" w:type="dxa"/>
          <w:right w:w="115" w:type="dxa"/>
        </w:tblCellMar>
        <w:tblLook w:val="0000" w:firstRow="0" w:lastRow="0" w:firstColumn="0" w:lastColumn="0" w:noHBand="0" w:noVBand="0"/>
      </w:tblPr>
      <w:tblGrid>
        <w:gridCol w:w="9835"/>
      </w:tblGrid>
      <w:tr w:rsidR="0083226A" w:rsidRPr="00A83634" w14:paraId="7F6ECD06" w14:textId="77777777" w:rsidTr="00FB11ED">
        <w:trPr>
          <w:trHeight w:val="212"/>
        </w:trPr>
        <w:tc>
          <w:tcPr>
            <w:tcW w:w="9835" w:type="dxa"/>
          </w:tcPr>
          <w:p w14:paraId="6DAA674C" w14:textId="16A3A103" w:rsidR="0083226A" w:rsidRDefault="0083226A" w:rsidP="00873529">
            <w:pPr>
              <w:textAlignment w:val="baseline"/>
            </w:pPr>
            <w:r w:rsidRPr="00A83634">
              <w:lastRenderedPageBreak/>
              <w:t>If denying a Camp Lejeune claim on a presumptive basis, the following text must be included in the RATING NARRATIVE field:</w:t>
            </w:r>
          </w:p>
          <w:p w14:paraId="0BCD33B4" w14:textId="77777777" w:rsidR="00873529" w:rsidRDefault="00873529" w:rsidP="00873529">
            <w:pPr>
              <w:textAlignment w:val="baseline"/>
            </w:pPr>
          </w:p>
          <w:p w14:paraId="57D3DEC5" w14:textId="1806B5C4" w:rsidR="00873529" w:rsidRPr="00873529" w:rsidRDefault="00873529" w:rsidP="00873529">
            <w:pPr>
              <w:ind w:left="720"/>
              <w:rPr>
                <w:i/>
              </w:rPr>
            </w:pPr>
            <w:r w:rsidRPr="00873529">
              <w:rPr>
                <w:i/>
              </w:rPr>
              <w:t>VA has acknowledged a relationship between exposure to contaminants in the water supply at Camp Lejeune during the period beginning on August 1, 1953, and ending on December 31, 1987, and the subsequent developmen</w:t>
            </w:r>
            <w:r w:rsidR="00291BB1">
              <w:rPr>
                <w:i/>
              </w:rPr>
              <w:t xml:space="preserve">t of the following conditions: </w:t>
            </w:r>
            <w:r w:rsidRPr="00873529">
              <w:rPr>
                <w:i/>
              </w:rPr>
              <w:t xml:space="preserve">kidney cancer, liver cancer, non-Hodgkin’s lymphoma, adult leukemia, multiple myeloma, Parkinson’s disease, aplastic anemia and other </w:t>
            </w:r>
            <w:proofErr w:type="spellStart"/>
            <w:r w:rsidRPr="00873529">
              <w:rPr>
                <w:i/>
              </w:rPr>
              <w:t>myelodysplastic</w:t>
            </w:r>
            <w:proofErr w:type="spellEnd"/>
            <w:r w:rsidRPr="00873529">
              <w:rPr>
                <w:i/>
              </w:rPr>
              <w:t xml:space="preserve"> </w:t>
            </w:r>
            <w:r w:rsidR="00291BB1">
              <w:rPr>
                <w:i/>
              </w:rPr>
              <w:t xml:space="preserve">syndromes, and bladder cancer. </w:t>
            </w:r>
            <w:r w:rsidRPr="00873529">
              <w:rPr>
                <w:i/>
              </w:rPr>
              <w:t>Service at Camp Lejeune for Veterans, Reservists, and former National Guard members must have been for at least 30 days (cumulative) du</w:t>
            </w:r>
            <w:r w:rsidR="00291BB1">
              <w:rPr>
                <w:i/>
              </w:rPr>
              <w:t xml:space="preserve">ring the specified time frame. </w:t>
            </w:r>
            <w:r w:rsidRPr="00873529">
              <w:rPr>
                <w:bCs/>
                <w:i/>
              </w:rPr>
              <w:t>A presumption of service connection based on exposure to contaminants in the water supply at Camp Lejeune is not warranted for any other condition.</w:t>
            </w:r>
          </w:p>
          <w:p w14:paraId="5A453FA1" w14:textId="77777777" w:rsidR="00873529" w:rsidRPr="00A83634" w:rsidRDefault="00873529" w:rsidP="00873529">
            <w:pPr>
              <w:textAlignment w:val="baseline"/>
            </w:pPr>
          </w:p>
          <w:p w14:paraId="3D49BA52" w14:textId="77777777" w:rsidR="0083226A" w:rsidRPr="00A83634" w:rsidRDefault="0083226A" w:rsidP="00A83634">
            <w:pPr>
              <w:jc w:val="center"/>
              <w:textAlignment w:val="baseline"/>
            </w:pPr>
            <w:r w:rsidRPr="00A83634">
              <w:rPr>
                <w:noProof/>
              </w:rPr>
              <w:drawing>
                <wp:inline distT="0" distB="0" distL="0" distR="0" wp14:anchorId="2BC1B16B" wp14:editId="771CB1D8">
                  <wp:extent cx="4012304" cy="1967023"/>
                  <wp:effectExtent l="19050" t="19050" r="26670" b="14605"/>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126535" cy="2023025"/>
                          </a:xfrm>
                          <a:prstGeom prst="rect">
                            <a:avLst/>
                          </a:prstGeom>
                          <a:noFill/>
                          <a:ln w="12700">
                            <a:solidFill>
                              <a:srgbClr val="1F497D"/>
                            </a:solidFill>
                            <a:miter lim="800000"/>
                            <a:headEnd/>
                            <a:tailEnd/>
                          </a:ln>
                          <a:extLst/>
                        </pic:spPr>
                      </pic:pic>
                    </a:graphicData>
                  </a:graphic>
                </wp:inline>
              </w:drawing>
            </w:r>
          </w:p>
          <w:p w14:paraId="507DA6A4" w14:textId="77777777" w:rsidR="0083226A" w:rsidRPr="00A83634" w:rsidRDefault="0083226A" w:rsidP="00A83634">
            <w:pPr>
              <w:jc w:val="center"/>
              <w:textAlignment w:val="baseline"/>
            </w:pPr>
          </w:p>
        </w:tc>
      </w:tr>
      <w:tr w:rsidR="0083226A" w:rsidRPr="00A83634" w14:paraId="0FC3F547" w14:textId="77777777" w:rsidTr="00FB11ED">
        <w:trPr>
          <w:trHeight w:val="212"/>
        </w:trPr>
        <w:tc>
          <w:tcPr>
            <w:tcW w:w="9835" w:type="dxa"/>
          </w:tcPr>
          <w:p w14:paraId="5A03FC36" w14:textId="17E610E2" w:rsidR="0083226A" w:rsidRDefault="0083226A" w:rsidP="00873529">
            <w:pPr>
              <w:textAlignment w:val="baseline"/>
            </w:pPr>
            <w:r w:rsidRPr="00A83634">
              <w:t xml:space="preserve">If denying a Camp Lejeune claim on a presumptive basis, all applicable denial reasons must be included in both the </w:t>
            </w:r>
            <w:r w:rsidRPr="00A83634">
              <w:rPr>
                <w:u w:val="single"/>
              </w:rPr>
              <w:t>RATING NARRATIVE</w:t>
            </w:r>
            <w:r w:rsidRPr="00A83634">
              <w:t xml:space="preserve"> and </w:t>
            </w:r>
            <w:r w:rsidRPr="00A83634">
              <w:rPr>
                <w:u w:val="single"/>
              </w:rPr>
              <w:t>NOTIFICATION LETTER</w:t>
            </w:r>
            <w:r w:rsidRPr="00A83634">
              <w:t xml:space="preserve"> user text fields:</w:t>
            </w:r>
          </w:p>
          <w:p w14:paraId="5EF28662" w14:textId="77777777" w:rsidR="00873529" w:rsidRPr="00A83634" w:rsidRDefault="00873529" w:rsidP="00873529">
            <w:pPr>
              <w:textAlignment w:val="baseline"/>
            </w:pPr>
          </w:p>
          <w:p w14:paraId="2C2D2506" w14:textId="77777777" w:rsidR="00873529" w:rsidRDefault="00873529" w:rsidP="00C66621">
            <w:pPr>
              <w:pStyle w:val="ListParagraph"/>
              <w:numPr>
                <w:ilvl w:val="0"/>
                <w:numId w:val="22"/>
              </w:numPr>
              <w:textAlignment w:val="baseline"/>
            </w:pPr>
            <w:r>
              <w:t>T</w:t>
            </w:r>
            <w:r w:rsidRPr="00873529">
              <w:t>he claimed disability is not a condition associated with exposure to contaminants at Camp Lejeune</w:t>
            </w:r>
            <w:r>
              <w:t>:</w:t>
            </w:r>
          </w:p>
          <w:p w14:paraId="64AA9728" w14:textId="0E2824A2" w:rsidR="00F818FF" w:rsidRDefault="00873529" w:rsidP="00873529">
            <w:pPr>
              <w:ind w:left="720"/>
              <w:textAlignment w:val="baseline"/>
              <w:rPr>
                <w:i/>
              </w:rPr>
            </w:pPr>
            <w:r w:rsidRPr="00873529">
              <w:rPr>
                <w:i/>
              </w:rPr>
              <w:t>A</w:t>
            </w:r>
            <w:r w:rsidR="00F818FF">
              <w:rPr>
                <w:i/>
              </w:rPr>
              <w:t xml:space="preserve"> review of all of the objective medical evidence does not indicate that there is a reasonable possibility that your [insert condition] may be associated with your exposure to contaminants in the water supply at Camp Lejeune</w:t>
            </w:r>
          </w:p>
          <w:p w14:paraId="136606A7" w14:textId="33302085" w:rsidR="00873529" w:rsidRDefault="00873529" w:rsidP="00F818FF">
            <w:pPr>
              <w:ind w:left="720"/>
              <w:textAlignment w:val="baseline"/>
              <w:rPr>
                <w:i/>
              </w:rPr>
            </w:pPr>
            <w:r w:rsidRPr="00873529">
              <w:rPr>
                <w:i/>
              </w:rPr>
              <w:t xml:space="preserve"> </w:t>
            </w:r>
          </w:p>
          <w:p w14:paraId="4C19E153" w14:textId="77777777" w:rsidR="00873529" w:rsidRDefault="00873529" w:rsidP="00C66621">
            <w:pPr>
              <w:pStyle w:val="ListParagraph"/>
              <w:numPr>
                <w:ilvl w:val="0"/>
                <w:numId w:val="22"/>
              </w:numPr>
              <w:textAlignment w:val="baseline"/>
            </w:pPr>
            <w:r>
              <w:t>There is no diagnosis of the claimed condition:</w:t>
            </w:r>
          </w:p>
          <w:p w14:paraId="49A222B8" w14:textId="77777777" w:rsidR="00873529" w:rsidRDefault="00873529" w:rsidP="00873529">
            <w:pPr>
              <w:ind w:left="720"/>
              <w:textAlignment w:val="baseline"/>
              <w:rPr>
                <w:i/>
              </w:rPr>
            </w:pPr>
            <w:r w:rsidRPr="00873529">
              <w:rPr>
                <w:i/>
              </w:rPr>
              <w:t>Service connection based on exposure to contaminants in the water supply at Camp Lejeune is denied because the evidence does not show a diagnosis of a condition for which VA has acknowledged a relationship with exposure to contaminants in the water supply at Camp Lejeune.</w:t>
            </w:r>
          </w:p>
          <w:p w14:paraId="6C1ABF90" w14:textId="77777777" w:rsidR="00873529" w:rsidRDefault="00873529" w:rsidP="00A83634">
            <w:pPr>
              <w:textAlignment w:val="baseline"/>
              <w:rPr>
                <w:i/>
              </w:rPr>
            </w:pPr>
          </w:p>
          <w:p w14:paraId="19321CB8" w14:textId="3849C4CA" w:rsidR="00873529" w:rsidRDefault="00873529" w:rsidP="00C66621">
            <w:pPr>
              <w:pStyle w:val="ListParagraph"/>
              <w:numPr>
                <w:ilvl w:val="0"/>
                <w:numId w:val="22"/>
              </w:numPr>
              <w:textAlignment w:val="baseline"/>
            </w:pPr>
            <w:r w:rsidRPr="00873529">
              <w:lastRenderedPageBreak/>
              <w:t>VA received a negative SME medical opinion</w:t>
            </w:r>
            <w:r w:rsidR="008B4C58">
              <w:t>:</w:t>
            </w:r>
          </w:p>
          <w:p w14:paraId="3284826E" w14:textId="77777777" w:rsidR="008B4C58" w:rsidRDefault="008B4C58" w:rsidP="008B4C58">
            <w:pPr>
              <w:pStyle w:val="ListParagraph"/>
              <w:textAlignment w:val="baseline"/>
            </w:pPr>
          </w:p>
          <w:p w14:paraId="398C33CE" w14:textId="00824EA1" w:rsidR="008B4C58" w:rsidRDefault="008B4C58" w:rsidP="008B4C58">
            <w:pPr>
              <w:ind w:left="720"/>
              <w:rPr>
                <w:i/>
              </w:rPr>
            </w:pPr>
            <w:r w:rsidRPr="00873529">
              <w:rPr>
                <w:i/>
              </w:rPr>
              <w:t>Yo</w:t>
            </w:r>
            <w:r w:rsidR="00291BB1">
              <w:rPr>
                <w:i/>
              </w:rPr>
              <w:t xml:space="preserve">u claimed [insert condition]. </w:t>
            </w:r>
            <w:r w:rsidRPr="00873529">
              <w:rPr>
                <w:i/>
              </w:rPr>
              <w:t>As this condition is not one of the presumptive conditions VA has acknowledged as related to exposure to contaminants in the water supply at Camp Lejeune, we r</w:t>
            </w:r>
            <w:r w:rsidR="00291BB1">
              <w:rPr>
                <w:i/>
              </w:rPr>
              <w:t xml:space="preserve">equested a VA medical opinion. </w:t>
            </w:r>
            <w:r w:rsidRPr="00873529">
              <w:rPr>
                <w:i/>
              </w:rPr>
              <w:t xml:space="preserve">The examiner stated that the evidence of record and available medical and scientific research does not demonstrate a link between your </w:t>
            </w:r>
            <w:r w:rsidR="00F818FF">
              <w:rPr>
                <w:i/>
              </w:rPr>
              <w:t>[insert</w:t>
            </w:r>
            <w:r w:rsidRPr="00873529">
              <w:rPr>
                <w:i/>
              </w:rPr>
              <w:t xml:space="preserve"> condition</w:t>
            </w:r>
            <w:r w:rsidR="00F818FF">
              <w:rPr>
                <w:i/>
              </w:rPr>
              <w:t>]</w:t>
            </w:r>
            <w:r w:rsidRPr="00873529">
              <w:rPr>
                <w:i/>
              </w:rPr>
              <w:t xml:space="preserve"> and exposure to contaminants in the water supply at Camp Lejeune. </w:t>
            </w:r>
          </w:p>
          <w:p w14:paraId="333F169A" w14:textId="77777777" w:rsidR="008B4C58" w:rsidRDefault="008B4C58" w:rsidP="008B4C58">
            <w:pPr>
              <w:ind w:left="720"/>
              <w:rPr>
                <w:i/>
              </w:rPr>
            </w:pPr>
          </w:p>
          <w:p w14:paraId="1652D888" w14:textId="034990EF" w:rsidR="008B4C58" w:rsidRDefault="008B4C58" w:rsidP="00C66621">
            <w:pPr>
              <w:pStyle w:val="ListParagraph"/>
              <w:numPr>
                <w:ilvl w:val="0"/>
                <w:numId w:val="22"/>
              </w:numPr>
            </w:pPr>
            <w:r w:rsidRPr="008B4C58">
              <w:t>The Veteran did not serve at Camp Lejeune:</w:t>
            </w:r>
          </w:p>
          <w:p w14:paraId="1E449794" w14:textId="77777777" w:rsidR="008B4C58" w:rsidRDefault="008B4C58" w:rsidP="008B4C58">
            <w:pPr>
              <w:pStyle w:val="ListParagraph"/>
            </w:pPr>
          </w:p>
          <w:p w14:paraId="4877BBF1" w14:textId="3D08A08A" w:rsidR="008B4C58" w:rsidRDefault="008B4C58" w:rsidP="008B4C58">
            <w:pPr>
              <w:pStyle w:val="ListParagraph"/>
              <w:rPr>
                <w:i/>
              </w:rPr>
            </w:pPr>
            <w:r w:rsidRPr="00873529">
              <w:rPr>
                <w:i/>
              </w:rPr>
              <w:t>The available service records do not show that you served within the borders of the entirety of United States Marine Corps Camp Lejeune during the affected period of contamination; there</w:t>
            </w:r>
            <w:r w:rsidR="00D1621F">
              <w:rPr>
                <w:i/>
              </w:rPr>
              <w:t xml:space="preserve">fore, we must deny your claim. </w:t>
            </w:r>
            <w:r w:rsidRPr="00873529">
              <w:rPr>
                <w:i/>
              </w:rPr>
              <w:t>If you are able to produce or provide information of supportive records showing official military orders or other official assignment within the borders of the entirety of United States Marine Corps Camp Lejeune, please submit that</w:t>
            </w:r>
            <w:r w:rsidR="00641F4F">
              <w:rPr>
                <w:i/>
              </w:rPr>
              <w:t xml:space="preserve"> evidence within one year of </w:t>
            </w:r>
            <w:r w:rsidRPr="00873529">
              <w:rPr>
                <w:i/>
              </w:rPr>
              <w:t>notification</w:t>
            </w:r>
            <w:r w:rsidR="00641F4F">
              <w:rPr>
                <w:i/>
              </w:rPr>
              <w:t xml:space="preserve"> of </w:t>
            </w:r>
            <w:r w:rsidRPr="00873529">
              <w:rPr>
                <w:i/>
              </w:rPr>
              <w:t>this decision.</w:t>
            </w:r>
          </w:p>
          <w:p w14:paraId="4D7D1800" w14:textId="77777777" w:rsidR="008B4C58" w:rsidRDefault="008B4C58" w:rsidP="008B4C58">
            <w:pPr>
              <w:pStyle w:val="ListParagraph"/>
              <w:rPr>
                <w:i/>
              </w:rPr>
            </w:pPr>
          </w:p>
          <w:p w14:paraId="530E91D7" w14:textId="6264F2CF" w:rsidR="008B4C58" w:rsidRDefault="008B4C58" w:rsidP="00C66621">
            <w:pPr>
              <w:pStyle w:val="ListParagraph"/>
              <w:numPr>
                <w:ilvl w:val="0"/>
                <w:numId w:val="22"/>
              </w:numPr>
            </w:pPr>
            <w:r>
              <w:t>The Veteran’s Camp Lejeune service was for less than 30 days:</w:t>
            </w:r>
          </w:p>
          <w:p w14:paraId="062EE3B3" w14:textId="77777777" w:rsidR="008B4C58" w:rsidRDefault="008B4C58" w:rsidP="008B4C58">
            <w:pPr>
              <w:pStyle w:val="ListParagraph"/>
            </w:pPr>
          </w:p>
          <w:p w14:paraId="4FE1FB1B" w14:textId="076CF0A3" w:rsidR="008B4C58" w:rsidRPr="008B4C58" w:rsidRDefault="008B4C58" w:rsidP="008B4C58">
            <w:pPr>
              <w:pStyle w:val="ListParagraph"/>
            </w:pPr>
            <w:r w:rsidRPr="00873529">
              <w:rPr>
                <w:i/>
              </w:rPr>
              <w:t>The available service records do not show that you served within the borders of the entirety of United States Marine Corps Camp Lejeune for at least 30 days during the affected period of contamination; therefore, we must deny your claim.</w:t>
            </w:r>
            <w:r w:rsidRPr="00B772CE">
              <w:rPr>
                <w:i/>
              </w:rPr>
              <w:t xml:space="preserve">  </w:t>
            </w:r>
          </w:p>
          <w:p w14:paraId="208C89A8" w14:textId="77777777" w:rsidR="008B4C58" w:rsidRDefault="008B4C58" w:rsidP="008B4C58">
            <w:pPr>
              <w:pStyle w:val="ListParagraph"/>
              <w:textAlignment w:val="baseline"/>
            </w:pPr>
          </w:p>
          <w:p w14:paraId="15FC6BE5" w14:textId="5933E588" w:rsidR="008B4C58" w:rsidRPr="00873529" w:rsidRDefault="008B4C58" w:rsidP="008B4C58">
            <w:pPr>
              <w:pStyle w:val="ListParagraph"/>
              <w:textAlignment w:val="baseline"/>
            </w:pPr>
          </w:p>
        </w:tc>
      </w:tr>
      <w:bookmarkEnd w:id="3"/>
      <w:bookmarkEnd w:id="4"/>
      <w:bookmarkEnd w:id="5"/>
      <w:bookmarkEnd w:id="9"/>
      <w:bookmarkEnd w:id="10"/>
      <w:bookmarkEnd w:id="11"/>
      <w:bookmarkEnd w:id="12"/>
    </w:tbl>
    <w:p w14:paraId="5852F2E9" w14:textId="77777777" w:rsidR="00873529" w:rsidRDefault="00873529" w:rsidP="00873529">
      <w:pPr>
        <w:ind w:left="720"/>
        <w:rPr>
          <w:i/>
        </w:rPr>
      </w:pPr>
    </w:p>
    <w:p w14:paraId="56ED4BB2" w14:textId="6FACEED2" w:rsidR="007A5600" w:rsidRDefault="00873529" w:rsidP="00873529">
      <w:pPr>
        <w:ind w:left="720"/>
      </w:pPr>
      <w:r w:rsidRPr="00873529">
        <w:rPr>
          <w:i/>
        </w:rPr>
        <w:t xml:space="preserve">   </w:t>
      </w:r>
    </w:p>
    <w:sectPr w:rsidR="007A5600">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68417" w14:textId="77777777" w:rsidR="005457F5" w:rsidRDefault="005457F5">
      <w:pPr>
        <w:spacing w:before="0"/>
      </w:pPr>
      <w:r>
        <w:separator/>
      </w:r>
    </w:p>
  </w:endnote>
  <w:endnote w:type="continuationSeparator" w:id="0">
    <w:p w14:paraId="7F19CBE5" w14:textId="77777777" w:rsidR="005457F5" w:rsidRDefault="005457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D4BB7" w14:textId="05143E39" w:rsidR="00291BB1" w:rsidRDefault="00336A2E">
    <w:pPr>
      <w:pStyle w:val="VBAFooter"/>
    </w:pPr>
    <w:r>
      <w:t>June</w:t>
    </w:r>
    <w:r w:rsidR="00291BB1">
      <w:t xml:space="preserve"> 2017   </w:t>
    </w:r>
    <w:r w:rsidR="00291BB1">
      <w:tab/>
    </w:r>
    <w:r w:rsidR="00291BB1">
      <w:tab/>
      <w:t xml:space="preserve">Page </w:t>
    </w:r>
    <w:r w:rsidR="00291BB1">
      <w:fldChar w:fldCharType="begin"/>
    </w:r>
    <w:r w:rsidR="00291BB1">
      <w:instrText xml:space="preserve"> PAGE   \* MERGEFORMAT </w:instrText>
    </w:r>
    <w:r w:rsidR="00291BB1">
      <w:fldChar w:fldCharType="separate"/>
    </w:r>
    <w:r w:rsidR="0052058A">
      <w:rPr>
        <w:noProof/>
      </w:rPr>
      <w:t>21</w:t>
    </w:r>
    <w:r w:rsidR="00291BB1">
      <w:fldChar w:fldCharType="end"/>
    </w:r>
  </w:p>
  <w:p w14:paraId="56ED4BB8" w14:textId="77777777" w:rsidR="00291BB1" w:rsidRDefault="00291BB1">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CA711" w14:textId="77777777" w:rsidR="005457F5" w:rsidRDefault="005457F5">
      <w:pPr>
        <w:spacing w:before="0"/>
      </w:pPr>
      <w:r>
        <w:separator/>
      </w:r>
    </w:p>
  </w:footnote>
  <w:footnote w:type="continuationSeparator" w:id="0">
    <w:p w14:paraId="0CAE4A5D" w14:textId="77777777" w:rsidR="005457F5" w:rsidRDefault="005457F5">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03571"/>
    <w:multiLevelType w:val="hybridMultilevel"/>
    <w:tmpl w:val="9184F9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352B87"/>
    <w:multiLevelType w:val="hybridMultilevel"/>
    <w:tmpl w:val="96724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165E50"/>
    <w:multiLevelType w:val="hybridMultilevel"/>
    <w:tmpl w:val="9F60AE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746CD8"/>
    <w:multiLevelType w:val="multilevel"/>
    <w:tmpl w:val="DF14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A23B9C"/>
    <w:multiLevelType w:val="multilevel"/>
    <w:tmpl w:val="3C50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970605"/>
    <w:multiLevelType w:val="multilevel"/>
    <w:tmpl w:val="3098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7B2544"/>
    <w:multiLevelType w:val="hybridMultilevel"/>
    <w:tmpl w:val="CBB2F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ED652C"/>
    <w:multiLevelType w:val="multilevel"/>
    <w:tmpl w:val="15549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7A2504"/>
    <w:multiLevelType w:val="hybridMultilevel"/>
    <w:tmpl w:val="A08805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251E3D"/>
    <w:multiLevelType w:val="hybridMultilevel"/>
    <w:tmpl w:val="833AD896"/>
    <w:lvl w:ilvl="0" w:tplc="C06692F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F91AD9"/>
    <w:multiLevelType w:val="hybridMultilevel"/>
    <w:tmpl w:val="AB86A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0B6890"/>
    <w:multiLevelType w:val="hybridMultilevel"/>
    <w:tmpl w:val="F3E401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AFC0C7A"/>
    <w:multiLevelType w:val="hybridMultilevel"/>
    <w:tmpl w:val="E9EE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3B474B"/>
    <w:multiLevelType w:val="hybridMultilevel"/>
    <w:tmpl w:val="6F3023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A1F5EB0"/>
    <w:multiLevelType w:val="hybridMultilevel"/>
    <w:tmpl w:val="F0EE6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EE90100"/>
    <w:multiLevelType w:val="hybridMultilevel"/>
    <w:tmpl w:val="39A61486"/>
    <w:lvl w:ilvl="0" w:tplc="6B3695E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263F52"/>
    <w:multiLevelType w:val="hybridMultilevel"/>
    <w:tmpl w:val="0C72D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DEF57B3"/>
    <w:multiLevelType w:val="hybridMultilevel"/>
    <w:tmpl w:val="67EC6358"/>
    <w:lvl w:ilvl="0" w:tplc="2E06170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1A017D"/>
    <w:multiLevelType w:val="hybridMultilevel"/>
    <w:tmpl w:val="D7626C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1615C0"/>
    <w:multiLevelType w:val="hybridMultilevel"/>
    <w:tmpl w:val="4EF46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4746F2"/>
    <w:multiLevelType w:val="hybridMultilevel"/>
    <w:tmpl w:val="1BEED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3D50FB4"/>
    <w:multiLevelType w:val="hybridMultilevel"/>
    <w:tmpl w:val="24D2E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5947650"/>
    <w:multiLevelType w:val="hybridMultilevel"/>
    <w:tmpl w:val="4C5CE934"/>
    <w:lvl w:ilvl="0" w:tplc="953486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ACB1FC6"/>
    <w:multiLevelType w:val="hybridMultilevel"/>
    <w:tmpl w:val="1BEC7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2"/>
  </w:num>
  <w:num w:numId="4">
    <w:abstractNumId w:val="21"/>
  </w:num>
  <w:num w:numId="5">
    <w:abstractNumId w:val="0"/>
  </w:num>
  <w:num w:numId="6">
    <w:abstractNumId w:val="20"/>
  </w:num>
  <w:num w:numId="7">
    <w:abstractNumId w:val="9"/>
  </w:num>
  <w:num w:numId="8">
    <w:abstractNumId w:val="2"/>
  </w:num>
  <w:num w:numId="9">
    <w:abstractNumId w:val="19"/>
  </w:num>
  <w:num w:numId="10">
    <w:abstractNumId w:val="14"/>
  </w:num>
  <w:num w:numId="11">
    <w:abstractNumId w:val="17"/>
  </w:num>
  <w:num w:numId="12">
    <w:abstractNumId w:val="22"/>
  </w:num>
  <w:num w:numId="13">
    <w:abstractNumId w:val="18"/>
  </w:num>
  <w:num w:numId="14">
    <w:abstractNumId w:val="16"/>
  </w:num>
  <w:num w:numId="15">
    <w:abstractNumId w:val="10"/>
  </w:num>
  <w:num w:numId="16">
    <w:abstractNumId w:val="3"/>
  </w:num>
  <w:num w:numId="17">
    <w:abstractNumId w:val="4"/>
  </w:num>
  <w:num w:numId="18">
    <w:abstractNumId w:val="24"/>
  </w:num>
  <w:num w:numId="19">
    <w:abstractNumId w:val="7"/>
  </w:num>
  <w:num w:numId="20">
    <w:abstractNumId w:val="5"/>
  </w:num>
  <w:num w:numId="21">
    <w:abstractNumId w:val="8"/>
  </w:num>
  <w:num w:numId="22">
    <w:abstractNumId w:val="11"/>
  </w:num>
  <w:num w:numId="23">
    <w:abstractNumId w:val="1"/>
  </w:num>
  <w:num w:numId="24">
    <w:abstractNumId w:val="23"/>
  </w:num>
  <w:num w:numId="25">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15074"/>
    <w:rsid w:val="000473CB"/>
    <w:rsid w:val="00055389"/>
    <w:rsid w:val="00057092"/>
    <w:rsid w:val="000B0FEC"/>
    <w:rsid w:val="000B44D3"/>
    <w:rsid w:val="000B6BE9"/>
    <w:rsid w:val="000C7EA4"/>
    <w:rsid w:val="000E1384"/>
    <w:rsid w:val="000E3279"/>
    <w:rsid w:val="001026F8"/>
    <w:rsid w:val="00111E5A"/>
    <w:rsid w:val="00112664"/>
    <w:rsid w:val="00116E1E"/>
    <w:rsid w:val="00131CD7"/>
    <w:rsid w:val="00150E4C"/>
    <w:rsid w:val="00160DF6"/>
    <w:rsid w:val="001876BB"/>
    <w:rsid w:val="001948B1"/>
    <w:rsid w:val="00197D34"/>
    <w:rsid w:val="001B3CD3"/>
    <w:rsid w:val="001B7BDF"/>
    <w:rsid w:val="001C38D3"/>
    <w:rsid w:val="001D4739"/>
    <w:rsid w:val="001D7D19"/>
    <w:rsid w:val="001F51A7"/>
    <w:rsid w:val="00210817"/>
    <w:rsid w:val="00212873"/>
    <w:rsid w:val="00226635"/>
    <w:rsid w:val="00231BE5"/>
    <w:rsid w:val="002435F5"/>
    <w:rsid w:val="00244857"/>
    <w:rsid w:val="00291BB1"/>
    <w:rsid w:val="002B748A"/>
    <w:rsid w:val="002C7C82"/>
    <w:rsid w:val="002D0898"/>
    <w:rsid w:val="002E4761"/>
    <w:rsid w:val="002F3458"/>
    <w:rsid w:val="003029F4"/>
    <w:rsid w:val="00306C96"/>
    <w:rsid w:val="00307371"/>
    <w:rsid w:val="00317183"/>
    <w:rsid w:val="00335191"/>
    <w:rsid w:val="00336A2E"/>
    <w:rsid w:val="00351EEB"/>
    <w:rsid w:val="00360872"/>
    <w:rsid w:val="00363A78"/>
    <w:rsid w:val="00375E4E"/>
    <w:rsid w:val="00376D9A"/>
    <w:rsid w:val="00393E2E"/>
    <w:rsid w:val="003A182F"/>
    <w:rsid w:val="003A5FD5"/>
    <w:rsid w:val="003B11BD"/>
    <w:rsid w:val="003C1D11"/>
    <w:rsid w:val="003C3F7E"/>
    <w:rsid w:val="003E1540"/>
    <w:rsid w:val="003E222C"/>
    <w:rsid w:val="003F7729"/>
    <w:rsid w:val="00435177"/>
    <w:rsid w:val="00450993"/>
    <w:rsid w:val="00450CFC"/>
    <w:rsid w:val="0045393B"/>
    <w:rsid w:val="0046093B"/>
    <w:rsid w:val="004923B8"/>
    <w:rsid w:val="00493A2C"/>
    <w:rsid w:val="004A5AFF"/>
    <w:rsid w:val="004E3F90"/>
    <w:rsid w:val="004F5E0B"/>
    <w:rsid w:val="00500ABD"/>
    <w:rsid w:val="00515E1B"/>
    <w:rsid w:val="005175F0"/>
    <w:rsid w:val="0052058A"/>
    <w:rsid w:val="0052286D"/>
    <w:rsid w:val="00522F28"/>
    <w:rsid w:val="005231D7"/>
    <w:rsid w:val="00531018"/>
    <w:rsid w:val="00533B5F"/>
    <w:rsid w:val="005361DF"/>
    <w:rsid w:val="00536F93"/>
    <w:rsid w:val="005424DD"/>
    <w:rsid w:val="005457F5"/>
    <w:rsid w:val="005612BE"/>
    <w:rsid w:val="00570669"/>
    <w:rsid w:val="0059389D"/>
    <w:rsid w:val="0059633D"/>
    <w:rsid w:val="005C1876"/>
    <w:rsid w:val="005D39A0"/>
    <w:rsid w:val="005D5E6A"/>
    <w:rsid w:val="005E6CC5"/>
    <w:rsid w:val="005F2E88"/>
    <w:rsid w:val="005F4B4F"/>
    <w:rsid w:val="00602DC2"/>
    <w:rsid w:val="00606D97"/>
    <w:rsid w:val="00636CFD"/>
    <w:rsid w:val="00641F4F"/>
    <w:rsid w:val="00642E69"/>
    <w:rsid w:val="00647757"/>
    <w:rsid w:val="00655F6D"/>
    <w:rsid w:val="0066568E"/>
    <w:rsid w:val="006A62F1"/>
    <w:rsid w:val="006B0C0F"/>
    <w:rsid w:val="006B22D6"/>
    <w:rsid w:val="006C63A8"/>
    <w:rsid w:val="006D2983"/>
    <w:rsid w:val="006F298D"/>
    <w:rsid w:val="006F6315"/>
    <w:rsid w:val="007121FB"/>
    <w:rsid w:val="0072021D"/>
    <w:rsid w:val="00727F13"/>
    <w:rsid w:val="0075126F"/>
    <w:rsid w:val="007A0BFF"/>
    <w:rsid w:val="007A5600"/>
    <w:rsid w:val="007E3D5D"/>
    <w:rsid w:val="007E622F"/>
    <w:rsid w:val="007F11AC"/>
    <w:rsid w:val="008111C0"/>
    <w:rsid w:val="0081167E"/>
    <w:rsid w:val="0083226A"/>
    <w:rsid w:val="00855DAF"/>
    <w:rsid w:val="008634E1"/>
    <w:rsid w:val="00873529"/>
    <w:rsid w:val="008A3127"/>
    <w:rsid w:val="008B0A54"/>
    <w:rsid w:val="008B4C58"/>
    <w:rsid w:val="008C37AF"/>
    <w:rsid w:val="008C4657"/>
    <w:rsid w:val="008D5C0A"/>
    <w:rsid w:val="008F1989"/>
    <w:rsid w:val="009063D5"/>
    <w:rsid w:val="0093356A"/>
    <w:rsid w:val="00965B80"/>
    <w:rsid w:val="00975461"/>
    <w:rsid w:val="0097762D"/>
    <w:rsid w:val="009849D2"/>
    <w:rsid w:val="009A1E5F"/>
    <w:rsid w:val="009A29B0"/>
    <w:rsid w:val="009A671D"/>
    <w:rsid w:val="009D5177"/>
    <w:rsid w:val="009F463A"/>
    <w:rsid w:val="00A01A12"/>
    <w:rsid w:val="00A02EC0"/>
    <w:rsid w:val="00A22945"/>
    <w:rsid w:val="00A232B7"/>
    <w:rsid w:val="00A26F18"/>
    <w:rsid w:val="00A674A9"/>
    <w:rsid w:val="00A831F4"/>
    <w:rsid w:val="00A83634"/>
    <w:rsid w:val="00AA1A39"/>
    <w:rsid w:val="00AB6B37"/>
    <w:rsid w:val="00AC704E"/>
    <w:rsid w:val="00AD6F0D"/>
    <w:rsid w:val="00AD7CBE"/>
    <w:rsid w:val="00AE3B90"/>
    <w:rsid w:val="00B00995"/>
    <w:rsid w:val="00B05850"/>
    <w:rsid w:val="00B060CE"/>
    <w:rsid w:val="00B11797"/>
    <w:rsid w:val="00B11B27"/>
    <w:rsid w:val="00B15CAD"/>
    <w:rsid w:val="00B21AE7"/>
    <w:rsid w:val="00B32A85"/>
    <w:rsid w:val="00B44DFB"/>
    <w:rsid w:val="00B4565D"/>
    <w:rsid w:val="00B540B7"/>
    <w:rsid w:val="00B85D76"/>
    <w:rsid w:val="00B933CE"/>
    <w:rsid w:val="00BC2C82"/>
    <w:rsid w:val="00BC7058"/>
    <w:rsid w:val="00BD181F"/>
    <w:rsid w:val="00C31CBF"/>
    <w:rsid w:val="00C32528"/>
    <w:rsid w:val="00C60613"/>
    <w:rsid w:val="00C66621"/>
    <w:rsid w:val="00C7114B"/>
    <w:rsid w:val="00C7783D"/>
    <w:rsid w:val="00C85BE4"/>
    <w:rsid w:val="00C9049A"/>
    <w:rsid w:val="00CA5AE3"/>
    <w:rsid w:val="00CC6ED3"/>
    <w:rsid w:val="00CF0F66"/>
    <w:rsid w:val="00CF292D"/>
    <w:rsid w:val="00D05745"/>
    <w:rsid w:val="00D1621F"/>
    <w:rsid w:val="00D24FA6"/>
    <w:rsid w:val="00D3532F"/>
    <w:rsid w:val="00D5239A"/>
    <w:rsid w:val="00D64FDE"/>
    <w:rsid w:val="00D65B59"/>
    <w:rsid w:val="00D71929"/>
    <w:rsid w:val="00D71D1F"/>
    <w:rsid w:val="00D77DF2"/>
    <w:rsid w:val="00D900C6"/>
    <w:rsid w:val="00D90DC8"/>
    <w:rsid w:val="00DA38DE"/>
    <w:rsid w:val="00DB5B64"/>
    <w:rsid w:val="00DC151F"/>
    <w:rsid w:val="00DE3946"/>
    <w:rsid w:val="00E07C52"/>
    <w:rsid w:val="00E105E4"/>
    <w:rsid w:val="00E17BAA"/>
    <w:rsid w:val="00E22A2F"/>
    <w:rsid w:val="00E22BB7"/>
    <w:rsid w:val="00E3307B"/>
    <w:rsid w:val="00E33EF8"/>
    <w:rsid w:val="00E35C8B"/>
    <w:rsid w:val="00E35FB8"/>
    <w:rsid w:val="00E36FB0"/>
    <w:rsid w:val="00E45692"/>
    <w:rsid w:val="00E47B59"/>
    <w:rsid w:val="00E509C5"/>
    <w:rsid w:val="00E56D7F"/>
    <w:rsid w:val="00E61B04"/>
    <w:rsid w:val="00E62865"/>
    <w:rsid w:val="00E67856"/>
    <w:rsid w:val="00E8051F"/>
    <w:rsid w:val="00E8529A"/>
    <w:rsid w:val="00EB1CE8"/>
    <w:rsid w:val="00EC2EA1"/>
    <w:rsid w:val="00EC4154"/>
    <w:rsid w:val="00ED2598"/>
    <w:rsid w:val="00ED3731"/>
    <w:rsid w:val="00EE7427"/>
    <w:rsid w:val="00EF1808"/>
    <w:rsid w:val="00EF4A0A"/>
    <w:rsid w:val="00F01C71"/>
    <w:rsid w:val="00F04839"/>
    <w:rsid w:val="00F34CCD"/>
    <w:rsid w:val="00F47561"/>
    <w:rsid w:val="00F47C7D"/>
    <w:rsid w:val="00F56C4A"/>
    <w:rsid w:val="00F80C4B"/>
    <w:rsid w:val="00F818FF"/>
    <w:rsid w:val="00F86C93"/>
    <w:rsid w:val="00F91357"/>
    <w:rsid w:val="00FA12D0"/>
    <w:rsid w:val="00FA681B"/>
    <w:rsid w:val="00FB11D8"/>
    <w:rsid w:val="00FB11ED"/>
    <w:rsid w:val="00FB1B99"/>
    <w:rsid w:val="00FD7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D4B5A"/>
  <w15:docId w15:val="{ED8CFB39-1F69-4F6B-B1FC-B71D5213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Normal"/>
    <w:next w:val="Normal"/>
    <w:link w:val="Heading2Char"/>
    <w:uiPriority w:val="9"/>
    <w:semiHidden/>
    <w:unhideWhenUsed/>
    <w:qFormat/>
    <w:rsid w:val="00E36FB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uiPriority w:val="99"/>
  </w:style>
  <w:style w:type="character" w:customStyle="1" w:styleId="CommentTextChar">
    <w:name w:val="Comment Text Char"/>
    <w:uiPriority w:val="99"/>
    <w:rPr>
      <w:rFonts w:eastAsia="Times New Roman"/>
      <w:sz w:val="24"/>
    </w:rPr>
  </w:style>
  <w:style w:type="character" w:styleId="CommentReference">
    <w:name w:val="annotation reference"/>
    <w:uiPriority w:val="99"/>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unhideWhenUsed/>
    <w:rsid w:val="000B44D3"/>
    <w:rPr>
      <w:szCs w:val="24"/>
    </w:rPr>
  </w:style>
  <w:style w:type="paragraph" w:styleId="ListParagraph">
    <w:name w:val="List Paragraph"/>
    <w:basedOn w:val="Normal"/>
    <w:uiPriority w:val="34"/>
    <w:qFormat/>
    <w:rsid w:val="00CF0F66"/>
    <w:pPr>
      <w:ind w:left="720"/>
      <w:contextualSpacing/>
    </w:pPr>
  </w:style>
  <w:style w:type="paragraph" w:styleId="BodyText">
    <w:name w:val="Body Text"/>
    <w:basedOn w:val="Normal"/>
    <w:link w:val="BodyTextChar"/>
    <w:uiPriority w:val="99"/>
    <w:semiHidden/>
    <w:unhideWhenUsed/>
    <w:rsid w:val="00CF0F66"/>
    <w:pPr>
      <w:spacing w:after="120"/>
    </w:pPr>
  </w:style>
  <w:style w:type="character" w:customStyle="1" w:styleId="BodyTextChar">
    <w:name w:val="Body Text Char"/>
    <w:basedOn w:val="DefaultParagraphFont"/>
    <w:link w:val="BodyText"/>
    <w:uiPriority w:val="99"/>
    <w:semiHidden/>
    <w:rsid w:val="00CF0F66"/>
    <w:rPr>
      <w:rFonts w:eastAsia="Times New Roman"/>
      <w:sz w:val="24"/>
    </w:rPr>
  </w:style>
  <w:style w:type="paragraph" w:customStyle="1" w:styleId="VBALevel1Heading">
    <w:name w:val="VBA Level 1 Heading"/>
    <w:basedOn w:val="Normal"/>
    <w:rsid w:val="00CF0F66"/>
    <w:pPr>
      <w:textAlignment w:val="baseline"/>
    </w:pPr>
    <w:rPr>
      <w:b/>
      <w:caps/>
    </w:rPr>
  </w:style>
  <w:style w:type="paragraph" w:customStyle="1" w:styleId="VBALevel3Heading">
    <w:name w:val="VBA Level 3 Heading"/>
    <w:basedOn w:val="Normal"/>
    <w:qFormat/>
    <w:rsid w:val="00CF0F66"/>
    <w:pPr>
      <w:textAlignment w:val="baseline"/>
    </w:pPr>
    <w:rPr>
      <w:i/>
      <w:color w:val="0070C0"/>
    </w:rPr>
  </w:style>
  <w:style w:type="paragraph" w:customStyle="1" w:styleId="VBATimeReq">
    <w:name w:val="VBA Time Req"/>
    <w:basedOn w:val="Normal"/>
    <w:qFormat/>
    <w:rsid w:val="00CF0F66"/>
    <w:pPr>
      <w:textAlignment w:val="baseline"/>
    </w:pPr>
    <w:rPr>
      <w:color w:val="0070C0"/>
    </w:rPr>
  </w:style>
  <w:style w:type="paragraph" w:customStyle="1" w:styleId="VBALessonTopicTitle">
    <w:name w:val="VBA Lesson Topic Title"/>
    <w:basedOn w:val="Heading1"/>
    <w:qFormat/>
    <w:rsid w:val="00CF0F66"/>
    <w:pPr>
      <w:spacing w:before="120" w:after="120"/>
      <w:textAlignment w:val="baseline"/>
    </w:pPr>
    <w:rPr>
      <w:color w:val="0070C0"/>
    </w:rPr>
  </w:style>
  <w:style w:type="paragraph" w:customStyle="1" w:styleId="VBASlideNumber">
    <w:name w:val="VBA Slide Number"/>
    <w:basedOn w:val="VBALevel3Heading"/>
    <w:qFormat/>
    <w:rsid w:val="00CF0F66"/>
  </w:style>
  <w:style w:type="paragraph" w:customStyle="1" w:styleId="VBALevel2Heading">
    <w:name w:val="VBA Level 2 Heading"/>
    <w:basedOn w:val="VBALevel1Heading"/>
    <w:qFormat/>
    <w:rsid w:val="00CF0F66"/>
    <w:rPr>
      <w:caps w:val="0"/>
      <w:color w:val="0070C0"/>
    </w:rPr>
  </w:style>
  <w:style w:type="paragraph" w:customStyle="1" w:styleId="VBAHandoutNumber">
    <w:name w:val="VBA Handout Number"/>
    <w:basedOn w:val="VBALevel3Heading"/>
    <w:qFormat/>
    <w:rsid w:val="00CF0F66"/>
  </w:style>
  <w:style w:type="paragraph" w:styleId="CommentSubject">
    <w:name w:val="annotation subject"/>
    <w:basedOn w:val="CommentText"/>
    <w:next w:val="CommentText"/>
    <w:link w:val="CommentSubjectChar"/>
    <w:uiPriority w:val="99"/>
    <w:semiHidden/>
    <w:unhideWhenUsed/>
    <w:rsid w:val="00363A78"/>
    <w:rPr>
      <w:b/>
      <w:bCs/>
      <w:sz w:val="20"/>
    </w:rPr>
  </w:style>
  <w:style w:type="character" w:customStyle="1" w:styleId="CommentTextChar1">
    <w:name w:val="Comment Text Char1"/>
    <w:basedOn w:val="DefaultParagraphFont"/>
    <w:link w:val="CommentText"/>
    <w:semiHidden/>
    <w:rsid w:val="00363A78"/>
    <w:rPr>
      <w:rFonts w:eastAsia="Times New Roman"/>
      <w:sz w:val="24"/>
    </w:rPr>
  </w:style>
  <w:style w:type="character" w:customStyle="1" w:styleId="CommentSubjectChar">
    <w:name w:val="Comment Subject Char"/>
    <w:basedOn w:val="CommentTextChar1"/>
    <w:link w:val="CommentSubject"/>
    <w:uiPriority w:val="99"/>
    <w:semiHidden/>
    <w:rsid w:val="00363A78"/>
    <w:rPr>
      <w:rFonts w:eastAsia="Times New Roman"/>
      <w:b/>
      <w:bCs/>
      <w:sz w:val="24"/>
    </w:rPr>
  </w:style>
  <w:style w:type="character" w:styleId="FollowedHyperlink">
    <w:name w:val="FollowedHyperlink"/>
    <w:basedOn w:val="DefaultParagraphFont"/>
    <w:uiPriority w:val="99"/>
    <w:semiHidden/>
    <w:unhideWhenUsed/>
    <w:rsid w:val="00E61B04"/>
    <w:rPr>
      <w:color w:val="800080" w:themeColor="followedHyperlink"/>
      <w:u w:val="single"/>
    </w:rPr>
  </w:style>
  <w:style w:type="character" w:customStyle="1" w:styleId="Heading2Char">
    <w:name w:val="Heading 2 Char"/>
    <w:basedOn w:val="DefaultParagraphFont"/>
    <w:link w:val="Heading2"/>
    <w:uiPriority w:val="9"/>
    <w:semiHidden/>
    <w:rsid w:val="00E36FB0"/>
    <w:rPr>
      <w:rFonts w:asciiTheme="majorHAnsi" w:eastAsiaTheme="majorEastAsia" w:hAnsiTheme="majorHAnsi" w:cstheme="majorBidi"/>
      <w:b/>
      <w:bCs/>
      <w:color w:val="4F81BD" w:themeColor="accent1"/>
      <w:sz w:val="26"/>
      <w:szCs w:val="26"/>
    </w:rPr>
  </w:style>
  <w:style w:type="paragraph" w:styleId="BlockText">
    <w:name w:val="Block Text"/>
    <w:basedOn w:val="Normal"/>
    <w:qFormat/>
    <w:rsid w:val="00A22945"/>
    <w:pPr>
      <w:overflowPunct/>
      <w:autoSpaceDE/>
      <w:autoSpaceDN/>
      <w:adjustRightInd/>
    </w:pPr>
    <w:rPr>
      <w:color w:val="000000"/>
      <w:szCs w:val="24"/>
    </w:rPr>
  </w:style>
  <w:style w:type="character" w:styleId="BookTitle">
    <w:name w:val="Book Title"/>
    <w:basedOn w:val="DefaultParagraphFont"/>
    <w:uiPriority w:val="33"/>
    <w:qFormat/>
    <w:rsid w:val="00A83634"/>
    <w:rPr>
      <w:b/>
      <w:bCs/>
      <w:smallCaps/>
      <w:spacing w:val="5"/>
    </w:rPr>
  </w:style>
  <w:style w:type="table" w:styleId="TableGrid">
    <w:name w:val="Table Grid"/>
    <w:basedOn w:val="TableNormal"/>
    <w:uiPriority w:val="59"/>
    <w:rsid w:val="00EC2EA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A232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97746">
      <w:bodyDiv w:val="1"/>
      <w:marLeft w:val="0"/>
      <w:marRight w:val="0"/>
      <w:marTop w:val="0"/>
      <w:marBottom w:val="0"/>
      <w:divBdr>
        <w:top w:val="none" w:sz="0" w:space="0" w:color="auto"/>
        <w:left w:val="none" w:sz="0" w:space="0" w:color="auto"/>
        <w:bottom w:val="none" w:sz="0" w:space="0" w:color="auto"/>
        <w:right w:val="none" w:sz="0" w:space="0" w:color="auto"/>
      </w:divBdr>
      <w:divsChild>
        <w:div w:id="358556488">
          <w:marLeft w:val="0"/>
          <w:marRight w:val="0"/>
          <w:marTop w:val="0"/>
          <w:marBottom w:val="0"/>
          <w:divBdr>
            <w:top w:val="none" w:sz="0" w:space="0" w:color="auto"/>
            <w:left w:val="none" w:sz="0" w:space="0" w:color="auto"/>
            <w:bottom w:val="none" w:sz="0" w:space="0" w:color="auto"/>
            <w:right w:val="none" w:sz="0" w:space="0" w:color="auto"/>
          </w:divBdr>
          <w:divsChild>
            <w:div w:id="567615587">
              <w:marLeft w:val="0"/>
              <w:marRight w:val="0"/>
              <w:marTop w:val="0"/>
              <w:marBottom w:val="0"/>
              <w:divBdr>
                <w:top w:val="none" w:sz="0" w:space="0" w:color="auto"/>
                <w:left w:val="none" w:sz="0" w:space="0" w:color="auto"/>
                <w:bottom w:val="none" w:sz="0" w:space="0" w:color="auto"/>
                <w:right w:val="none" w:sz="0" w:space="0" w:color="auto"/>
              </w:divBdr>
              <w:divsChild>
                <w:div w:id="343093793">
                  <w:marLeft w:val="0"/>
                  <w:marRight w:val="0"/>
                  <w:marTop w:val="0"/>
                  <w:marBottom w:val="0"/>
                  <w:divBdr>
                    <w:top w:val="none" w:sz="0" w:space="0" w:color="auto"/>
                    <w:left w:val="none" w:sz="0" w:space="0" w:color="auto"/>
                    <w:bottom w:val="none" w:sz="0" w:space="0" w:color="auto"/>
                    <w:right w:val="none" w:sz="0" w:space="0" w:color="auto"/>
                  </w:divBdr>
                  <w:divsChild>
                    <w:div w:id="1737318290">
                      <w:marLeft w:val="0"/>
                      <w:marRight w:val="0"/>
                      <w:marTop w:val="0"/>
                      <w:marBottom w:val="0"/>
                      <w:divBdr>
                        <w:top w:val="none" w:sz="0" w:space="0" w:color="auto"/>
                        <w:left w:val="none" w:sz="0" w:space="0" w:color="auto"/>
                        <w:bottom w:val="none" w:sz="0" w:space="0" w:color="auto"/>
                        <w:right w:val="none" w:sz="0" w:space="0" w:color="auto"/>
                      </w:divBdr>
                      <w:divsChild>
                        <w:div w:id="1485008192">
                          <w:marLeft w:val="0"/>
                          <w:marRight w:val="0"/>
                          <w:marTop w:val="0"/>
                          <w:marBottom w:val="0"/>
                          <w:divBdr>
                            <w:top w:val="none" w:sz="0" w:space="0" w:color="auto"/>
                            <w:left w:val="none" w:sz="0" w:space="0" w:color="auto"/>
                            <w:bottom w:val="none" w:sz="0" w:space="0" w:color="auto"/>
                            <w:right w:val="none" w:sz="0" w:space="0" w:color="auto"/>
                          </w:divBdr>
                          <w:divsChild>
                            <w:div w:id="916207952">
                              <w:marLeft w:val="0"/>
                              <w:marRight w:val="0"/>
                              <w:marTop w:val="0"/>
                              <w:marBottom w:val="0"/>
                              <w:divBdr>
                                <w:top w:val="single" w:sz="6" w:space="0" w:color="CCCCCC"/>
                                <w:left w:val="single" w:sz="6" w:space="0" w:color="CCCCCC"/>
                                <w:bottom w:val="single" w:sz="6" w:space="0" w:color="CCCCCC"/>
                                <w:right w:val="single" w:sz="6" w:space="0" w:color="CCCCCC"/>
                              </w:divBdr>
                              <w:divsChild>
                                <w:div w:id="481044024">
                                  <w:marLeft w:val="0"/>
                                  <w:marRight w:val="0"/>
                                  <w:marTop w:val="75"/>
                                  <w:marBottom w:val="0"/>
                                  <w:divBdr>
                                    <w:top w:val="none" w:sz="0" w:space="0" w:color="auto"/>
                                    <w:left w:val="none" w:sz="0" w:space="0" w:color="auto"/>
                                    <w:bottom w:val="none" w:sz="0" w:space="0" w:color="auto"/>
                                    <w:right w:val="none" w:sz="0" w:space="0" w:color="auto"/>
                                  </w:divBdr>
                                  <w:divsChild>
                                    <w:div w:id="1130056181">
                                      <w:marLeft w:val="0"/>
                                      <w:marRight w:val="0"/>
                                      <w:marTop w:val="0"/>
                                      <w:marBottom w:val="0"/>
                                      <w:divBdr>
                                        <w:top w:val="none" w:sz="0" w:space="0" w:color="auto"/>
                                        <w:left w:val="none" w:sz="0" w:space="0" w:color="auto"/>
                                        <w:bottom w:val="none" w:sz="0" w:space="0" w:color="auto"/>
                                        <w:right w:val="none" w:sz="0" w:space="0" w:color="auto"/>
                                      </w:divBdr>
                                      <w:divsChild>
                                        <w:div w:id="648556748">
                                          <w:marLeft w:val="0"/>
                                          <w:marRight w:val="0"/>
                                          <w:marTop w:val="0"/>
                                          <w:marBottom w:val="0"/>
                                          <w:divBdr>
                                            <w:top w:val="none" w:sz="0" w:space="0" w:color="auto"/>
                                            <w:left w:val="none" w:sz="0" w:space="0" w:color="auto"/>
                                            <w:bottom w:val="none" w:sz="0" w:space="0" w:color="auto"/>
                                            <w:right w:val="none" w:sz="0" w:space="0" w:color="auto"/>
                                          </w:divBdr>
                                        </w:div>
                                        <w:div w:id="439227612">
                                          <w:marLeft w:val="0"/>
                                          <w:marRight w:val="0"/>
                                          <w:marTop w:val="0"/>
                                          <w:marBottom w:val="0"/>
                                          <w:divBdr>
                                            <w:top w:val="none" w:sz="0" w:space="0" w:color="auto"/>
                                            <w:left w:val="none" w:sz="0" w:space="0" w:color="auto"/>
                                            <w:bottom w:val="none" w:sz="0" w:space="0" w:color="auto"/>
                                            <w:right w:val="none" w:sz="0" w:space="0" w:color="auto"/>
                                          </w:divBdr>
                                        </w:div>
                                        <w:div w:id="1358233943">
                                          <w:marLeft w:val="0"/>
                                          <w:marRight w:val="0"/>
                                          <w:marTop w:val="0"/>
                                          <w:marBottom w:val="0"/>
                                          <w:divBdr>
                                            <w:top w:val="none" w:sz="0" w:space="0" w:color="auto"/>
                                            <w:left w:val="none" w:sz="0" w:space="0" w:color="auto"/>
                                            <w:bottom w:val="none" w:sz="0" w:space="0" w:color="auto"/>
                                            <w:right w:val="none" w:sz="0" w:space="0" w:color="auto"/>
                                          </w:divBdr>
                                        </w:div>
                                        <w:div w:id="1764254600">
                                          <w:marLeft w:val="0"/>
                                          <w:marRight w:val="0"/>
                                          <w:marTop w:val="0"/>
                                          <w:marBottom w:val="0"/>
                                          <w:divBdr>
                                            <w:top w:val="none" w:sz="0" w:space="0" w:color="auto"/>
                                            <w:left w:val="none" w:sz="0" w:space="0" w:color="auto"/>
                                            <w:bottom w:val="none" w:sz="0" w:space="0" w:color="auto"/>
                                            <w:right w:val="none" w:sz="0" w:space="0" w:color="auto"/>
                                          </w:divBdr>
                                        </w:div>
                                        <w:div w:id="2063748792">
                                          <w:marLeft w:val="0"/>
                                          <w:marRight w:val="0"/>
                                          <w:marTop w:val="0"/>
                                          <w:marBottom w:val="0"/>
                                          <w:divBdr>
                                            <w:top w:val="none" w:sz="0" w:space="0" w:color="auto"/>
                                            <w:left w:val="none" w:sz="0" w:space="0" w:color="auto"/>
                                            <w:bottom w:val="none" w:sz="0" w:space="0" w:color="auto"/>
                                            <w:right w:val="none" w:sz="0" w:space="0" w:color="auto"/>
                                          </w:divBdr>
                                        </w:div>
                                        <w:div w:id="224337234">
                                          <w:marLeft w:val="0"/>
                                          <w:marRight w:val="0"/>
                                          <w:marTop w:val="0"/>
                                          <w:marBottom w:val="0"/>
                                          <w:divBdr>
                                            <w:top w:val="none" w:sz="0" w:space="0" w:color="auto"/>
                                            <w:left w:val="none" w:sz="0" w:space="0" w:color="auto"/>
                                            <w:bottom w:val="none" w:sz="0" w:space="0" w:color="auto"/>
                                            <w:right w:val="none" w:sz="0" w:space="0" w:color="auto"/>
                                          </w:divBdr>
                                        </w:div>
                                        <w:div w:id="764031761">
                                          <w:marLeft w:val="0"/>
                                          <w:marRight w:val="0"/>
                                          <w:marTop w:val="0"/>
                                          <w:marBottom w:val="0"/>
                                          <w:divBdr>
                                            <w:top w:val="none" w:sz="0" w:space="0" w:color="auto"/>
                                            <w:left w:val="none" w:sz="0" w:space="0" w:color="auto"/>
                                            <w:bottom w:val="none" w:sz="0" w:space="0" w:color="auto"/>
                                            <w:right w:val="none" w:sz="0" w:space="0" w:color="auto"/>
                                          </w:divBdr>
                                        </w:div>
                                        <w:div w:id="537203419">
                                          <w:marLeft w:val="0"/>
                                          <w:marRight w:val="0"/>
                                          <w:marTop w:val="0"/>
                                          <w:marBottom w:val="0"/>
                                          <w:divBdr>
                                            <w:top w:val="none" w:sz="0" w:space="0" w:color="auto"/>
                                            <w:left w:val="none" w:sz="0" w:space="0" w:color="auto"/>
                                            <w:bottom w:val="none" w:sz="0" w:space="0" w:color="auto"/>
                                            <w:right w:val="none" w:sz="0" w:space="0" w:color="auto"/>
                                          </w:divBdr>
                                        </w:div>
                                        <w:div w:id="1493451354">
                                          <w:marLeft w:val="0"/>
                                          <w:marRight w:val="0"/>
                                          <w:marTop w:val="0"/>
                                          <w:marBottom w:val="0"/>
                                          <w:divBdr>
                                            <w:top w:val="none" w:sz="0" w:space="0" w:color="auto"/>
                                            <w:left w:val="none" w:sz="0" w:space="0" w:color="auto"/>
                                            <w:bottom w:val="none" w:sz="0" w:space="0" w:color="auto"/>
                                            <w:right w:val="none" w:sz="0" w:space="0" w:color="auto"/>
                                          </w:divBdr>
                                        </w:div>
                                        <w:div w:id="423690361">
                                          <w:marLeft w:val="0"/>
                                          <w:marRight w:val="0"/>
                                          <w:marTop w:val="0"/>
                                          <w:marBottom w:val="0"/>
                                          <w:divBdr>
                                            <w:top w:val="none" w:sz="0" w:space="0" w:color="auto"/>
                                            <w:left w:val="none" w:sz="0" w:space="0" w:color="auto"/>
                                            <w:bottom w:val="none" w:sz="0" w:space="0" w:color="auto"/>
                                            <w:right w:val="none" w:sz="0" w:space="0" w:color="auto"/>
                                          </w:divBdr>
                                        </w:div>
                                        <w:div w:id="478886274">
                                          <w:marLeft w:val="0"/>
                                          <w:marRight w:val="0"/>
                                          <w:marTop w:val="0"/>
                                          <w:marBottom w:val="0"/>
                                          <w:divBdr>
                                            <w:top w:val="none" w:sz="0" w:space="0" w:color="auto"/>
                                            <w:left w:val="none" w:sz="0" w:space="0" w:color="auto"/>
                                            <w:bottom w:val="none" w:sz="0" w:space="0" w:color="auto"/>
                                            <w:right w:val="none" w:sz="0" w:space="0" w:color="auto"/>
                                          </w:divBdr>
                                        </w:div>
                                        <w:div w:id="948857405">
                                          <w:marLeft w:val="0"/>
                                          <w:marRight w:val="0"/>
                                          <w:marTop w:val="0"/>
                                          <w:marBottom w:val="0"/>
                                          <w:divBdr>
                                            <w:top w:val="none" w:sz="0" w:space="0" w:color="auto"/>
                                            <w:left w:val="none" w:sz="0" w:space="0" w:color="auto"/>
                                            <w:bottom w:val="none" w:sz="0" w:space="0" w:color="auto"/>
                                            <w:right w:val="none" w:sz="0" w:space="0" w:color="auto"/>
                                          </w:divBdr>
                                        </w:div>
                                        <w:div w:id="1563439684">
                                          <w:marLeft w:val="0"/>
                                          <w:marRight w:val="0"/>
                                          <w:marTop w:val="0"/>
                                          <w:marBottom w:val="0"/>
                                          <w:divBdr>
                                            <w:top w:val="none" w:sz="0" w:space="0" w:color="auto"/>
                                            <w:left w:val="none" w:sz="0" w:space="0" w:color="auto"/>
                                            <w:bottom w:val="none" w:sz="0" w:space="0" w:color="auto"/>
                                            <w:right w:val="none" w:sz="0" w:space="0" w:color="auto"/>
                                          </w:divBdr>
                                        </w:div>
                                        <w:div w:id="1773165788">
                                          <w:marLeft w:val="0"/>
                                          <w:marRight w:val="0"/>
                                          <w:marTop w:val="0"/>
                                          <w:marBottom w:val="0"/>
                                          <w:divBdr>
                                            <w:top w:val="none" w:sz="0" w:space="0" w:color="auto"/>
                                            <w:left w:val="none" w:sz="0" w:space="0" w:color="auto"/>
                                            <w:bottom w:val="none" w:sz="0" w:space="0" w:color="auto"/>
                                            <w:right w:val="none" w:sz="0" w:space="0" w:color="auto"/>
                                          </w:divBdr>
                                        </w:div>
                                        <w:div w:id="221714496">
                                          <w:marLeft w:val="0"/>
                                          <w:marRight w:val="0"/>
                                          <w:marTop w:val="0"/>
                                          <w:marBottom w:val="0"/>
                                          <w:divBdr>
                                            <w:top w:val="none" w:sz="0" w:space="0" w:color="auto"/>
                                            <w:left w:val="none" w:sz="0" w:space="0" w:color="auto"/>
                                            <w:bottom w:val="none" w:sz="0" w:space="0" w:color="auto"/>
                                            <w:right w:val="none" w:sz="0" w:space="0" w:color="auto"/>
                                          </w:divBdr>
                                        </w:div>
                                        <w:div w:id="1065379308">
                                          <w:marLeft w:val="0"/>
                                          <w:marRight w:val="0"/>
                                          <w:marTop w:val="0"/>
                                          <w:marBottom w:val="0"/>
                                          <w:divBdr>
                                            <w:top w:val="none" w:sz="0" w:space="0" w:color="auto"/>
                                            <w:left w:val="none" w:sz="0" w:space="0" w:color="auto"/>
                                            <w:bottom w:val="none" w:sz="0" w:space="0" w:color="auto"/>
                                            <w:right w:val="none" w:sz="0" w:space="0" w:color="auto"/>
                                          </w:divBdr>
                                        </w:div>
                                        <w:div w:id="699168867">
                                          <w:marLeft w:val="0"/>
                                          <w:marRight w:val="0"/>
                                          <w:marTop w:val="0"/>
                                          <w:marBottom w:val="0"/>
                                          <w:divBdr>
                                            <w:top w:val="none" w:sz="0" w:space="0" w:color="auto"/>
                                            <w:left w:val="none" w:sz="0" w:space="0" w:color="auto"/>
                                            <w:bottom w:val="none" w:sz="0" w:space="0" w:color="auto"/>
                                            <w:right w:val="none" w:sz="0" w:space="0" w:color="auto"/>
                                          </w:divBdr>
                                        </w:div>
                                        <w:div w:id="727606232">
                                          <w:marLeft w:val="0"/>
                                          <w:marRight w:val="0"/>
                                          <w:marTop w:val="0"/>
                                          <w:marBottom w:val="0"/>
                                          <w:divBdr>
                                            <w:top w:val="none" w:sz="0" w:space="0" w:color="auto"/>
                                            <w:left w:val="none" w:sz="0" w:space="0" w:color="auto"/>
                                            <w:bottom w:val="none" w:sz="0" w:space="0" w:color="auto"/>
                                            <w:right w:val="none" w:sz="0" w:space="0" w:color="auto"/>
                                          </w:divBdr>
                                        </w:div>
                                        <w:div w:id="1804344684">
                                          <w:marLeft w:val="0"/>
                                          <w:marRight w:val="0"/>
                                          <w:marTop w:val="0"/>
                                          <w:marBottom w:val="0"/>
                                          <w:divBdr>
                                            <w:top w:val="none" w:sz="0" w:space="0" w:color="auto"/>
                                            <w:left w:val="none" w:sz="0" w:space="0" w:color="auto"/>
                                            <w:bottom w:val="none" w:sz="0" w:space="0" w:color="auto"/>
                                            <w:right w:val="none" w:sz="0" w:space="0" w:color="auto"/>
                                          </w:divBdr>
                                        </w:div>
                                      </w:divsChild>
                                    </w:div>
                                    <w:div w:id="1749379332">
                                      <w:marLeft w:val="0"/>
                                      <w:marRight w:val="0"/>
                                      <w:marTop w:val="0"/>
                                      <w:marBottom w:val="0"/>
                                      <w:divBdr>
                                        <w:top w:val="none" w:sz="0" w:space="0" w:color="auto"/>
                                        <w:left w:val="none" w:sz="0" w:space="0" w:color="auto"/>
                                        <w:bottom w:val="none" w:sz="0" w:space="0" w:color="auto"/>
                                        <w:right w:val="none" w:sz="0" w:space="0" w:color="auto"/>
                                      </w:divBdr>
                                    </w:div>
                                    <w:div w:id="185002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05630">
      <w:bodyDiv w:val="1"/>
      <w:marLeft w:val="0"/>
      <w:marRight w:val="0"/>
      <w:marTop w:val="0"/>
      <w:marBottom w:val="0"/>
      <w:divBdr>
        <w:top w:val="none" w:sz="0" w:space="0" w:color="auto"/>
        <w:left w:val="none" w:sz="0" w:space="0" w:color="auto"/>
        <w:bottom w:val="none" w:sz="0" w:space="0" w:color="auto"/>
        <w:right w:val="none" w:sz="0" w:space="0" w:color="auto"/>
      </w:divBdr>
      <w:divsChild>
        <w:div w:id="1685861907">
          <w:marLeft w:val="0"/>
          <w:marRight w:val="0"/>
          <w:marTop w:val="0"/>
          <w:marBottom w:val="0"/>
          <w:divBdr>
            <w:top w:val="none" w:sz="0" w:space="0" w:color="auto"/>
            <w:left w:val="none" w:sz="0" w:space="0" w:color="auto"/>
            <w:bottom w:val="none" w:sz="0" w:space="0" w:color="auto"/>
            <w:right w:val="none" w:sz="0" w:space="0" w:color="auto"/>
          </w:divBdr>
          <w:divsChild>
            <w:div w:id="1835871678">
              <w:marLeft w:val="0"/>
              <w:marRight w:val="0"/>
              <w:marTop w:val="0"/>
              <w:marBottom w:val="0"/>
              <w:divBdr>
                <w:top w:val="none" w:sz="0" w:space="0" w:color="auto"/>
                <w:left w:val="none" w:sz="0" w:space="0" w:color="auto"/>
                <w:bottom w:val="none" w:sz="0" w:space="0" w:color="auto"/>
                <w:right w:val="none" w:sz="0" w:space="0" w:color="auto"/>
              </w:divBdr>
              <w:divsChild>
                <w:div w:id="1293630961">
                  <w:marLeft w:val="0"/>
                  <w:marRight w:val="0"/>
                  <w:marTop w:val="0"/>
                  <w:marBottom w:val="0"/>
                  <w:divBdr>
                    <w:top w:val="none" w:sz="0" w:space="0" w:color="auto"/>
                    <w:left w:val="none" w:sz="0" w:space="0" w:color="auto"/>
                    <w:bottom w:val="none" w:sz="0" w:space="0" w:color="auto"/>
                    <w:right w:val="none" w:sz="0" w:space="0" w:color="auto"/>
                  </w:divBdr>
                  <w:divsChild>
                    <w:div w:id="1526677821">
                      <w:marLeft w:val="0"/>
                      <w:marRight w:val="0"/>
                      <w:marTop w:val="0"/>
                      <w:marBottom w:val="0"/>
                      <w:divBdr>
                        <w:top w:val="none" w:sz="0" w:space="0" w:color="auto"/>
                        <w:left w:val="none" w:sz="0" w:space="0" w:color="auto"/>
                        <w:bottom w:val="none" w:sz="0" w:space="0" w:color="auto"/>
                        <w:right w:val="none" w:sz="0" w:space="0" w:color="auto"/>
                      </w:divBdr>
                      <w:divsChild>
                        <w:div w:id="77556893">
                          <w:marLeft w:val="0"/>
                          <w:marRight w:val="0"/>
                          <w:marTop w:val="0"/>
                          <w:marBottom w:val="0"/>
                          <w:divBdr>
                            <w:top w:val="none" w:sz="0" w:space="0" w:color="auto"/>
                            <w:left w:val="none" w:sz="0" w:space="0" w:color="auto"/>
                            <w:bottom w:val="none" w:sz="0" w:space="0" w:color="auto"/>
                            <w:right w:val="none" w:sz="0" w:space="0" w:color="auto"/>
                          </w:divBdr>
                          <w:divsChild>
                            <w:div w:id="437065022">
                              <w:marLeft w:val="0"/>
                              <w:marRight w:val="0"/>
                              <w:marTop w:val="0"/>
                              <w:marBottom w:val="0"/>
                              <w:divBdr>
                                <w:top w:val="single" w:sz="6" w:space="0" w:color="CCCCCC"/>
                                <w:left w:val="single" w:sz="6" w:space="0" w:color="CCCCCC"/>
                                <w:bottom w:val="single" w:sz="6" w:space="0" w:color="CCCCCC"/>
                                <w:right w:val="single" w:sz="6" w:space="0" w:color="CCCCCC"/>
                              </w:divBdr>
                              <w:divsChild>
                                <w:div w:id="482283228">
                                  <w:marLeft w:val="0"/>
                                  <w:marRight w:val="0"/>
                                  <w:marTop w:val="75"/>
                                  <w:marBottom w:val="0"/>
                                  <w:divBdr>
                                    <w:top w:val="none" w:sz="0" w:space="0" w:color="auto"/>
                                    <w:left w:val="none" w:sz="0" w:space="0" w:color="auto"/>
                                    <w:bottom w:val="none" w:sz="0" w:space="0" w:color="auto"/>
                                    <w:right w:val="none" w:sz="0" w:space="0" w:color="auto"/>
                                  </w:divBdr>
                                  <w:divsChild>
                                    <w:div w:id="977955343">
                                      <w:marLeft w:val="0"/>
                                      <w:marRight w:val="0"/>
                                      <w:marTop w:val="0"/>
                                      <w:marBottom w:val="0"/>
                                      <w:divBdr>
                                        <w:top w:val="none" w:sz="0" w:space="0" w:color="auto"/>
                                        <w:left w:val="none" w:sz="0" w:space="0" w:color="auto"/>
                                        <w:bottom w:val="none" w:sz="0" w:space="0" w:color="auto"/>
                                        <w:right w:val="none" w:sz="0" w:space="0" w:color="auto"/>
                                      </w:divBdr>
                                    </w:div>
                                    <w:div w:id="1547913075">
                                      <w:marLeft w:val="0"/>
                                      <w:marRight w:val="0"/>
                                      <w:marTop w:val="0"/>
                                      <w:marBottom w:val="0"/>
                                      <w:divBdr>
                                        <w:top w:val="none" w:sz="0" w:space="0" w:color="auto"/>
                                        <w:left w:val="none" w:sz="0" w:space="0" w:color="auto"/>
                                        <w:bottom w:val="none" w:sz="0" w:space="0" w:color="auto"/>
                                        <w:right w:val="none" w:sz="0" w:space="0" w:color="auto"/>
                                      </w:divBdr>
                                    </w:div>
                                    <w:div w:id="304625531">
                                      <w:marLeft w:val="0"/>
                                      <w:marRight w:val="0"/>
                                      <w:marTop w:val="0"/>
                                      <w:marBottom w:val="0"/>
                                      <w:divBdr>
                                        <w:top w:val="none" w:sz="0" w:space="0" w:color="auto"/>
                                        <w:left w:val="none" w:sz="0" w:space="0" w:color="auto"/>
                                        <w:bottom w:val="none" w:sz="0" w:space="0" w:color="auto"/>
                                        <w:right w:val="none" w:sz="0" w:space="0" w:color="auto"/>
                                      </w:divBdr>
                                    </w:div>
                                    <w:div w:id="263347512">
                                      <w:marLeft w:val="0"/>
                                      <w:marRight w:val="0"/>
                                      <w:marTop w:val="0"/>
                                      <w:marBottom w:val="0"/>
                                      <w:divBdr>
                                        <w:top w:val="none" w:sz="0" w:space="0" w:color="auto"/>
                                        <w:left w:val="none" w:sz="0" w:space="0" w:color="auto"/>
                                        <w:bottom w:val="none" w:sz="0" w:space="0" w:color="auto"/>
                                        <w:right w:val="none" w:sz="0" w:space="0" w:color="auto"/>
                                      </w:divBdr>
                                    </w:div>
                                    <w:div w:id="1563717768">
                                      <w:marLeft w:val="0"/>
                                      <w:marRight w:val="0"/>
                                      <w:marTop w:val="0"/>
                                      <w:marBottom w:val="0"/>
                                      <w:divBdr>
                                        <w:top w:val="none" w:sz="0" w:space="0" w:color="auto"/>
                                        <w:left w:val="none" w:sz="0" w:space="0" w:color="auto"/>
                                        <w:bottom w:val="none" w:sz="0" w:space="0" w:color="auto"/>
                                        <w:right w:val="none" w:sz="0" w:space="0" w:color="auto"/>
                                      </w:divBdr>
                                    </w:div>
                                    <w:div w:id="1170483568">
                                      <w:marLeft w:val="0"/>
                                      <w:marRight w:val="0"/>
                                      <w:marTop w:val="0"/>
                                      <w:marBottom w:val="0"/>
                                      <w:divBdr>
                                        <w:top w:val="none" w:sz="0" w:space="0" w:color="auto"/>
                                        <w:left w:val="none" w:sz="0" w:space="0" w:color="auto"/>
                                        <w:bottom w:val="none" w:sz="0" w:space="0" w:color="auto"/>
                                        <w:right w:val="none" w:sz="0" w:space="0" w:color="auto"/>
                                      </w:divBdr>
                                    </w:div>
                                    <w:div w:id="999114177">
                                      <w:marLeft w:val="0"/>
                                      <w:marRight w:val="0"/>
                                      <w:marTop w:val="0"/>
                                      <w:marBottom w:val="0"/>
                                      <w:divBdr>
                                        <w:top w:val="none" w:sz="0" w:space="0" w:color="auto"/>
                                        <w:left w:val="none" w:sz="0" w:space="0" w:color="auto"/>
                                        <w:bottom w:val="none" w:sz="0" w:space="0" w:color="auto"/>
                                        <w:right w:val="none" w:sz="0" w:space="0" w:color="auto"/>
                                      </w:divBdr>
                                    </w:div>
                                    <w:div w:id="570579615">
                                      <w:marLeft w:val="0"/>
                                      <w:marRight w:val="0"/>
                                      <w:marTop w:val="0"/>
                                      <w:marBottom w:val="0"/>
                                      <w:divBdr>
                                        <w:top w:val="none" w:sz="0" w:space="0" w:color="auto"/>
                                        <w:left w:val="none" w:sz="0" w:space="0" w:color="auto"/>
                                        <w:bottom w:val="none" w:sz="0" w:space="0" w:color="auto"/>
                                        <w:right w:val="none" w:sz="0" w:space="0" w:color="auto"/>
                                      </w:divBdr>
                                    </w:div>
                                    <w:div w:id="94426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865479">
      <w:bodyDiv w:val="1"/>
      <w:marLeft w:val="0"/>
      <w:marRight w:val="0"/>
      <w:marTop w:val="0"/>
      <w:marBottom w:val="0"/>
      <w:divBdr>
        <w:top w:val="none" w:sz="0" w:space="0" w:color="auto"/>
        <w:left w:val="none" w:sz="0" w:space="0" w:color="auto"/>
        <w:bottom w:val="none" w:sz="0" w:space="0" w:color="auto"/>
        <w:right w:val="none" w:sz="0" w:space="0" w:color="auto"/>
      </w:divBdr>
      <w:divsChild>
        <w:div w:id="2143187106">
          <w:marLeft w:val="0"/>
          <w:marRight w:val="0"/>
          <w:marTop w:val="0"/>
          <w:marBottom w:val="0"/>
          <w:divBdr>
            <w:top w:val="none" w:sz="0" w:space="0" w:color="auto"/>
            <w:left w:val="none" w:sz="0" w:space="0" w:color="auto"/>
            <w:bottom w:val="none" w:sz="0" w:space="0" w:color="auto"/>
            <w:right w:val="none" w:sz="0" w:space="0" w:color="auto"/>
          </w:divBdr>
          <w:divsChild>
            <w:div w:id="1370184490">
              <w:marLeft w:val="0"/>
              <w:marRight w:val="0"/>
              <w:marTop w:val="0"/>
              <w:marBottom w:val="0"/>
              <w:divBdr>
                <w:top w:val="none" w:sz="0" w:space="0" w:color="auto"/>
                <w:left w:val="none" w:sz="0" w:space="0" w:color="auto"/>
                <w:bottom w:val="none" w:sz="0" w:space="0" w:color="auto"/>
                <w:right w:val="none" w:sz="0" w:space="0" w:color="auto"/>
              </w:divBdr>
              <w:divsChild>
                <w:div w:id="1933733431">
                  <w:marLeft w:val="0"/>
                  <w:marRight w:val="0"/>
                  <w:marTop w:val="0"/>
                  <w:marBottom w:val="0"/>
                  <w:divBdr>
                    <w:top w:val="none" w:sz="0" w:space="0" w:color="auto"/>
                    <w:left w:val="none" w:sz="0" w:space="0" w:color="auto"/>
                    <w:bottom w:val="none" w:sz="0" w:space="0" w:color="auto"/>
                    <w:right w:val="none" w:sz="0" w:space="0" w:color="auto"/>
                  </w:divBdr>
                  <w:divsChild>
                    <w:div w:id="1149323559">
                      <w:marLeft w:val="0"/>
                      <w:marRight w:val="0"/>
                      <w:marTop w:val="0"/>
                      <w:marBottom w:val="0"/>
                      <w:divBdr>
                        <w:top w:val="none" w:sz="0" w:space="0" w:color="auto"/>
                        <w:left w:val="none" w:sz="0" w:space="0" w:color="auto"/>
                        <w:bottom w:val="none" w:sz="0" w:space="0" w:color="auto"/>
                        <w:right w:val="none" w:sz="0" w:space="0" w:color="auto"/>
                      </w:divBdr>
                      <w:divsChild>
                        <w:div w:id="372774125">
                          <w:marLeft w:val="0"/>
                          <w:marRight w:val="0"/>
                          <w:marTop w:val="0"/>
                          <w:marBottom w:val="0"/>
                          <w:divBdr>
                            <w:top w:val="none" w:sz="0" w:space="0" w:color="auto"/>
                            <w:left w:val="none" w:sz="0" w:space="0" w:color="auto"/>
                            <w:bottom w:val="none" w:sz="0" w:space="0" w:color="auto"/>
                            <w:right w:val="none" w:sz="0" w:space="0" w:color="auto"/>
                          </w:divBdr>
                          <w:divsChild>
                            <w:div w:id="1834443443">
                              <w:marLeft w:val="0"/>
                              <w:marRight w:val="0"/>
                              <w:marTop w:val="0"/>
                              <w:marBottom w:val="0"/>
                              <w:divBdr>
                                <w:top w:val="single" w:sz="6" w:space="0" w:color="CCCCCC"/>
                                <w:left w:val="single" w:sz="6" w:space="0" w:color="CCCCCC"/>
                                <w:bottom w:val="single" w:sz="6" w:space="0" w:color="CCCCCC"/>
                                <w:right w:val="single" w:sz="6" w:space="0" w:color="CCCCCC"/>
                              </w:divBdr>
                              <w:divsChild>
                                <w:div w:id="1351445688">
                                  <w:marLeft w:val="0"/>
                                  <w:marRight w:val="0"/>
                                  <w:marTop w:val="75"/>
                                  <w:marBottom w:val="0"/>
                                  <w:divBdr>
                                    <w:top w:val="none" w:sz="0" w:space="0" w:color="auto"/>
                                    <w:left w:val="none" w:sz="0" w:space="0" w:color="auto"/>
                                    <w:bottom w:val="none" w:sz="0" w:space="0" w:color="auto"/>
                                    <w:right w:val="none" w:sz="0" w:space="0" w:color="auto"/>
                                  </w:divBdr>
                                  <w:divsChild>
                                    <w:div w:id="1757439987">
                                      <w:marLeft w:val="0"/>
                                      <w:marRight w:val="0"/>
                                      <w:marTop w:val="0"/>
                                      <w:marBottom w:val="0"/>
                                      <w:divBdr>
                                        <w:top w:val="none" w:sz="0" w:space="0" w:color="auto"/>
                                        <w:left w:val="none" w:sz="0" w:space="0" w:color="auto"/>
                                        <w:bottom w:val="none" w:sz="0" w:space="0" w:color="auto"/>
                                        <w:right w:val="none" w:sz="0" w:space="0" w:color="auto"/>
                                      </w:divBdr>
                                    </w:div>
                                    <w:div w:id="1924954455">
                                      <w:marLeft w:val="0"/>
                                      <w:marRight w:val="0"/>
                                      <w:marTop w:val="0"/>
                                      <w:marBottom w:val="0"/>
                                      <w:divBdr>
                                        <w:top w:val="none" w:sz="0" w:space="0" w:color="auto"/>
                                        <w:left w:val="none" w:sz="0" w:space="0" w:color="auto"/>
                                        <w:bottom w:val="none" w:sz="0" w:space="0" w:color="auto"/>
                                        <w:right w:val="none" w:sz="0" w:space="0" w:color="auto"/>
                                      </w:divBdr>
                                    </w:div>
                                    <w:div w:id="936060119">
                                      <w:marLeft w:val="0"/>
                                      <w:marRight w:val="0"/>
                                      <w:marTop w:val="0"/>
                                      <w:marBottom w:val="0"/>
                                      <w:divBdr>
                                        <w:top w:val="none" w:sz="0" w:space="0" w:color="auto"/>
                                        <w:left w:val="none" w:sz="0" w:space="0" w:color="auto"/>
                                        <w:bottom w:val="none" w:sz="0" w:space="0" w:color="auto"/>
                                        <w:right w:val="none" w:sz="0" w:space="0" w:color="auto"/>
                                      </w:divBdr>
                                    </w:div>
                                    <w:div w:id="1880388321">
                                      <w:marLeft w:val="0"/>
                                      <w:marRight w:val="0"/>
                                      <w:marTop w:val="0"/>
                                      <w:marBottom w:val="0"/>
                                      <w:divBdr>
                                        <w:top w:val="none" w:sz="0" w:space="0" w:color="auto"/>
                                        <w:left w:val="none" w:sz="0" w:space="0" w:color="auto"/>
                                        <w:bottom w:val="none" w:sz="0" w:space="0" w:color="auto"/>
                                        <w:right w:val="none" w:sz="0" w:space="0" w:color="auto"/>
                                      </w:divBdr>
                                    </w:div>
                                    <w:div w:id="109057226">
                                      <w:marLeft w:val="0"/>
                                      <w:marRight w:val="0"/>
                                      <w:marTop w:val="0"/>
                                      <w:marBottom w:val="0"/>
                                      <w:divBdr>
                                        <w:top w:val="none" w:sz="0" w:space="0" w:color="auto"/>
                                        <w:left w:val="none" w:sz="0" w:space="0" w:color="auto"/>
                                        <w:bottom w:val="none" w:sz="0" w:space="0" w:color="auto"/>
                                        <w:right w:val="none" w:sz="0" w:space="0" w:color="auto"/>
                                      </w:divBdr>
                                      <w:divsChild>
                                        <w:div w:id="14143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265221">
      <w:bodyDiv w:val="1"/>
      <w:marLeft w:val="0"/>
      <w:marRight w:val="0"/>
      <w:marTop w:val="30"/>
      <w:marBottom w:val="750"/>
      <w:divBdr>
        <w:top w:val="none" w:sz="0" w:space="0" w:color="auto"/>
        <w:left w:val="none" w:sz="0" w:space="0" w:color="auto"/>
        <w:bottom w:val="none" w:sz="0" w:space="0" w:color="auto"/>
        <w:right w:val="none" w:sz="0" w:space="0" w:color="auto"/>
      </w:divBdr>
      <w:divsChild>
        <w:div w:id="978999067">
          <w:marLeft w:val="0"/>
          <w:marRight w:val="0"/>
          <w:marTop w:val="0"/>
          <w:marBottom w:val="0"/>
          <w:divBdr>
            <w:top w:val="none" w:sz="0" w:space="0" w:color="auto"/>
            <w:left w:val="none" w:sz="0" w:space="0" w:color="auto"/>
            <w:bottom w:val="none" w:sz="0" w:space="0" w:color="auto"/>
            <w:right w:val="none" w:sz="0" w:space="0" w:color="auto"/>
          </w:divBdr>
        </w:div>
      </w:divsChild>
    </w:div>
    <w:div w:id="471289776">
      <w:bodyDiv w:val="1"/>
      <w:marLeft w:val="0"/>
      <w:marRight w:val="0"/>
      <w:marTop w:val="0"/>
      <w:marBottom w:val="0"/>
      <w:divBdr>
        <w:top w:val="none" w:sz="0" w:space="0" w:color="auto"/>
        <w:left w:val="none" w:sz="0" w:space="0" w:color="auto"/>
        <w:bottom w:val="none" w:sz="0" w:space="0" w:color="auto"/>
        <w:right w:val="none" w:sz="0" w:space="0" w:color="auto"/>
      </w:divBdr>
      <w:divsChild>
        <w:div w:id="1761683459">
          <w:marLeft w:val="0"/>
          <w:marRight w:val="0"/>
          <w:marTop w:val="0"/>
          <w:marBottom w:val="0"/>
          <w:divBdr>
            <w:top w:val="none" w:sz="0" w:space="0" w:color="auto"/>
            <w:left w:val="none" w:sz="0" w:space="0" w:color="auto"/>
            <w:bottom w:val="none" w:sz="0" w:space="0" w:color="auto"/>
            <w:right w:val="none" w:sz="0" w:space="0" w:color="auto"/>
          </w:divBdr>
          <w:divsChild>
            <w:div w:id="1516070255">
              <w:marLeft w:val="0"/>
              <w:marRight w:val="0"/>
              <w:marTop w:val="0"/>
              <w:marBottom w:val="0"/>
              <w:divBdr>
                <w:top w:val="none" w:sz="0" w:space="0" w:color="auto"/>
                <w:left w:val="none" w:sz="0" w:space="0" w:color="auto"/>
                <w:bottom w:val="none" w:sz="0" w:space="0" w:color="auto"/>
                <w:right w:val="none" w:sz="0" w:space="0" w:color="auto"/>
              </w:divBdr>
              <w:divsChild>
                <w:div w:id="1859538938">
                  <w:marLeft w:val="0"/>
                  <w:marRight w:val="0"/>
                  <w:marTop w:val="0"/>
                  <w:marBottom w:val="0"/>
                  <w:divBdr>
                    <w:top w:val="none" w:sz="0" w:space="0" w:color="auto"/>
                    <w:left w:val="none" w:sz="0" w:space="0" w:color="auto"/>
                    <w:bottom w:val="none" w:sz="0" w:space="0" w:color="auto"/>
                    <w:right w:val="none" w:sz="0" w:space="0" w:color="auto"/>
                  </w:divBdr>
                  <w:divsChild>
                    <w:div w:id="1389066962">
                      <w:marLeft w:val="0"/>
                      <w:marRight w:val="0"/>
                      <w:marTop w:val="0"/>
                      <w:marBottom w:val="0"/>
                      <w:divBdr>
                        <w:top w:val="none" w:sz="0" w:space="0" w:color="auto"/>
                        <w:left w:val="none" w:sz="0" w:space="0" w:color="auto"/>
                        <w:bottom w:val="none" w:sz="0" w:space="0" w:color="auto"/>
                        <w:right w:val="none" w:sz="0" w:space="0" w:color="auto"/>
                      </w:divBdr>
                      <w:divsChild>
                        <w:div w:id="701125143">
                          <w:marLeft w:val="0"/>
                          <w:marRight w:val="0"/>
                          <w:marTop w:val="0"/>
                          <w:marBottom w:val="0"/>
                          <w:divBdr>
                            <w:top w:val="none" w:sz="0" w:space="0" w:color="auto"/>
                            <w:left w:val="none" w:sz="0" w:space="0" w:color="auto"/>
                            <w:bottom w:val="none" w:sz="0" w:space="0" w:color="auto"/>
                            <w:right w:val="none" w:sz="0" w:space="0" w:color="auto"/>
                          </w:divBdr>
                          <w:divsChild>
                            <w:div w:id="622808774">
                              <w:marLeft w:val="0"/>
                              <w:marRight w:val="0"/>
                              <w:marTop w:val="0"/>
                              <w:marBottom w:val="0"/>
                              <w:divBdr>
                                <w:top w:val="single" w:sz="6" w:space="0" w:color="CCCCCC"/>
                                <w:left w:val="single" w:sz="6" w:space="0" w:color="CCCCCC"/>
                                <w:bottom w:val="single" w:sz="6" w:space="0" w:color="CCCCCC"/>
                                <w:right w:val="single" w:sz="6" w:space="0" w:color="CCCCCC"/>
                              </w:divBdr>
                              <w:divsChild>
                                <w:div w:id="292177679">
                                  <w:marLeft w:val="0"/>
                                  <w:marRight w:val="0"/>
                                  <w:marTop w:val="75"/>
                                  <w:marBottom w:val="0"/>
                                  <w:divBdr>
                                    <w:top w:val="none" w:sz="0" w:space="0" w:color="auto"/>
                                    <w:left w:val="none" w:sz="0" w:space="0" w:color="auto"/>
                                    <w:bottom w:val="none" w:sz="0" w:space="0" w:color="auto"/>
                                    <w:right w:val="none" w:sz="0" w:space="0" w:color="auto"/>
                                  </w:divBdr>
                                  <w:divsChild>
                                    <w:div w:id="697775893">
                                      <w:marLeft w:val="0"/>
                                      <w:marRight w:val="0"/>
                                      <w:marTop w:val="0"/>
                                      <w:marBottom w:val="0"/>
                                      <w:divBdr>
                                        <w:top w:val="none" w:sz="0" w:space="0" w:color="auto"/>
                                        <w:left w:val="none" w:sz="0" w:space="0" w:color="auto"/>
                                        <w:bottom w:val="none" w:sz="0" w:space="0" w:color="auto"/>
                                        <w:right w:val="none" w:sz="0" w:space="0" w:color="auto"/>
                                      </w:divBdr>
                                    </w:div>
                                    <w:div w:id="1018047593">
                                      <w:marLeft w:val="0"/>
                                      <w:marRight w:val="0"/>
                                      <w:marTop w:val="0"/>
                                      <w:marBottom w:val="0"/>
                                      <w:divBdr>
                                        <w:top w:val="none" w:sz="0" w:space="0" w:color="auto"/>
                                        <w:left w:val="none" w:sz="0" w:space="0" w:color="auto"/>
                                        <w:bottom w:val="none" w:sz="0" w:space="0" w:color="auto"/>
                                        <w:right w:val="none" w:sz="0" w:space="0" w:color="auto"/>
                                      </w:divBdr>
                                    </w:div>
                                    <w:div w:id="994727199">
                                      <w:marLeft w:val="0"/>
                                      <w:marRight w:val="0"/>
                                      <w:marTop w:val="0"/>
                                      <w:marBottom w:val="0"/>
                                      <w:divBdr>
                                        <w:top w:val="none" w:sz="0" w:space="0" w:color="auto"/>
                                        <w:left w:val="none" w:sz="0" w:space="0" w:color="auto"/>
                                        <w:bottom w:val="none" w:sz="0" w:space="0" w:color="auto"/>
                                        <w:right w:val="none" w:sz="0" w:space="0" w:color="auto"/>
                                      </w:divBdr>
                                    </w:div>
                                    <w:div w:id="578946818">
                                      <w:marLeft w:val="0"/>
                                      <w:marRight w:val="0"/>
                                      <w:marTop w:val="0"/>
                                      <w:marBottom w:val="0"/>
                                      <w:divBdr>
                                        <w:top w:val="none" w:sz="0" w:space="0" w:color="auto"/>
                                        <w:left w:val="none" w:sz="0" w:space="0" w:color="auto"/>
                                        <w:bottom w:val="none" w:sz="0" w:space="0" w:color="auto"/>
                                        <w:right w:val="none" w:sz="0" w:space="0" w:color="auto"/>
                                      </w:divBdr>
                                    </w:div>
                                    <w:div w:id="1959749855">
                                      <w:marLeft w:val="0"/>
                                      <w:marRight w:val="0"/>
                                      <w:marTop w:val="0"/>
                                      <w:marBottom w:val="0"/>
                                      <w:divBdr>
                                        <w:top w:val="none" w:sz="0" w:space="0" w:color="auto"/>
                                        <w:left w:val="none" w:sz="0" w:space="0" w:color="auto"/>
                                        <w:bottom w:val="none" w:sz="0" w:space="0" w:color="auto"/>
                                        <w:right w:val="none" w:sz="0" w:space="0" w:color="auto"/>
                                      </w:divBdr>
                                    </w:div>
                                    <w:div w:id="1356420981">
                                      <w:marLeft w:val="0"/>
                                      <w:marRight w:val="0"/>
                                      <w:marTop w:val="0"/>
                                      <w:marBottom w:val="0"/>
                                      <w:divBdr>
                                        <w:top w:val="none" w:sz="0" w:space="0" w:color="auto"/>
                                        <w:left w:val="none" w:sz="0" w:space="0" w:color="auto"/>
                                        <w:bottom w:val="none" w:sz="0" w:space="0" w:color="auto"/>
                                        <w:right w:val="none" w:sz="0" w:space="0" w:color="auto"/>
                                      </w:divBdr>
                                    </w:div>
                                    <w:div w:id="1337607888">
                                      <w:marLeft w:val="0"/>
                                      <w:marRight w:val="0"/>
                                      <w:marTop w:val="0"/>
                                      <w:marBottom w:val="0"/>
                                      <w:divBdr>
                                        <w:top w:val="none" w:sz="0" w:space="0" w:color="auto"/>
                                        <w:left w:val="none" w:sz="0" w:space="0" w:color="auto"/>
                                        <w:bottom w:val="none" w:sz="0" w:space="0" w:color="auto"/>
                                        <w:right w:val="none" w:sz="0" w:space="0" w:color="auto"/>
                                      </w:divBdr>
                                    </w:div>
                                    <w:div w:id="885264289">
                                      <w:marLeft w:val="0"/>
                                      <w:marRight w:val="0"/>
                                      <w:marTop w:val="0"/>
                                      <w:marBottom w:val="0"/>
                                      <w:divBdr>
                                        <w:top w:val="none" w:sz="0" w:space="0" w:color="auto"/>
                                        <w:left w:val="none" w:sz="0" w:space="0" w:color="auto"/>
                                        <w:bottom w:val="none" w:sz="0" w:space="0" w:color="auto"/>
                                        <w:right w:val="none" w:sz="0" w:space="0" w:color="auto"/>
                                      </w:divBdr>
                                    </w:div>
                                    <w:div w:id="758138374">
                                      <w:marLeft w:val="0"/>
                                      <w:marRight w:val="0"/>
                                      <w:marTop w:val="0"/>
                                      <w:marBottom w:val="0"/>
                                      <w:divBdr>
                                        <w:top w:val="none" w:sz="0" w:space="0" w:color="auto"/>
                                        <w:left w:val="none" w:sz="0" w:space="0" w:color="auto"/>
                                        <w:bottom w:val="none" w:sz="0" w:space="0" w:color="auto"/>
                                        <w:right w:val="none" w:sz="0" w:space="0" w:color="auto"/>
                                      </w:divBdr>
                                    </w:div>
                                    <w:div w:id="1723937795">
                                      <w:marLeft w:val="0"/>
                                      <w:marRight w:val="0"/>
                                      <w:marTop w:val="0"/>
                                      <w:marBottom w:val="0"/>
                                      <w:divBdr>
                                        <w:top w:val="none" w:sz="0" w:space="0" w:color="auto"/>
                                        <w:left w:val="none" w:sz="0" w:space="0" w:color="auto"/>
                                        <w:bottom w:val="none" w:sz="0" w:space="0" w:color="auto"/>
                                        <w:right w:val="none" w:sz="0" w:space="0" w:color="auto"/>
                                      </w:divBdr>
                                    </w:div>
                                    <w:div w:id="15154762">
                                      <w:marLeft w:val="0"/>
                                      <w:marRight w:val="0"/>
                                      <w:marTop w:val="0"/>
                                      <w:marBottom w:val="0"/>
                                      <w:divBdr>
                                        <w:top w:val="none" w:sz="0" w:space="0" w:color="auto"/>
                                        <w:left w:val="none" w:sz="0" w:space="0" w:color="auto"/>
                                        <w:bottom w:val="none" w:sz="0" w:space="0" w:color="auto"/>
                                        <w:right w:val="none" w:sz="0" w:space="0" w:color="auto"/>
                                      </w:divBdr>
                                    </w:div>
                                    <w:div w:id="1155342628">
                                      <w:marLeft w:val="0"/>
                                      <w:marRight w:val="0"/>
                                      <w:marTop w:val="0"/>
                                      <w:marBottom w:val="0"/>
                                      <w:divBdr>
                                        <w:top w:val="none" w:sz="0" w:space="0" w:color="auto"/>
                                        <w:left w:val="none" w:sz="0" w:space="0" w:color="auto"/>
                                        <w:bottom w:val="none" w:sz="0" w:space="0" w:color="auto"/>
                                        <w:right w:val="none" w:sz="0" w:space="0" w:color="auto"/>
                                      </w:divBdr>
                                    </w:div>
                                    <w:div w:id="1798404346">
                                      <w:marLeft w:val="0"/>
                                      <w:marRight w:val="0"/>
                                      <w:marTop w:val="0"/>
                                      <w:marBottom w:val="0"/>
                                      <w:divBdr>
                                        <w:top w:val="none" w:sz="0" w:space="0" w:color="auto"/>
                                        <w:left w:val="none" w:sz="0" w:space="0" w:color="auto"/>
                                        <w:bottom w:val="none" w:sz="0" w:space="0" w:color="auto"/>
                                        <w:right w:val="none" w:sz="0" w:space="0" w:color="auto"/>
                                      </w:divBdr>
                                    </w:div>
                                    <w:div w:id="701245225">
                                      <w:marLeft w:val="0"/>
                                      <w:marRight w:val="0"/>
                                      <w:marTop w:val="0"/>
                                      <w:marBottom w:val="0"/>
                                      <w:divBdr>
                                        <w:top w:val="none" w:sz="0" w:space="0" w:color="auto"/>
                                        <w:left w:val="none" w:sz="0" w:space="0" w:color="auto"/>
                                        <w:bottom w:val="none" w:sz="0" w:space="0" w:color="auto"/>
                                        <w:right w:val="none" w:sz="0" w:space="0" w:color="auto"/>
                                      </w:divBdr>
                                    </w:div>
                                    <w:div w:id="1448158795">
                                      <w:marLeft w:val="0"/>
                                      <w:marRight w:val="0"/>
                                      <w:marTop w:val="0"/>
                                      <w:marBottom w:val="0"/>
                                      <w:divBdr>
                                        <w:top w:val="none" w:sz="0" w:space="0" w:color="auto"/>
                                        <w:left w:val="none" w:sz="0" w:space="0" w:color="auto"/>
                                        <w:bottom w:val="none" w:sz="0" w:space="0" w:color="auto"/>
                                        <w:right w:val="none" w:sz="0" w:space="0" w:color="auto"/>
                                      </w:divBdr>
                                    </w:div>
                                    <w:div w:id="538124769">
                                      <w:marLeft w:val="0"/>
                                      <w:marRight w:val="0"/>
                                      <w:marTop w:val="0"/>
                                      <w:marBottom w:val="0"/>
                                      <w:divBdr>
                                        <w:top w:val="none" w:sz="0" w:space="0" w:color="auto"/>
                                        <w:left w:val="none" w:sz="0" w:space="0" w:color="auto"/>
                                        <w:bottom w:val="none" w:sz="0" w:space="0" w:color="auto"/>
                                        <w:right w:val="none" w:sz="0" w:space="0" w:color="auto"/>
                                      </w:divBdr>
                                    </w:div>
                                    <w:div w:id="9344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802693856">
      <w:bodyDiv w:val="1"/>
      <w:marLeft w:val="0"/>
      <w:marRight w:val="0"/>
      <w:marTop w:val="0"/>
      <w:marBottom w:val="0"/>
      <w:divBdr>
        <w:top w:val="none" w:sz="0" w:space="0" w:color="auto"/>
        <w:left w:val="none" w:sz="0" w:space="0" w:color="auto"/>
        <w:bottom w:val="none" w:sz="0" w:space="0" w:color="auto"/>
        <w:right w:val="none" w:sz="0" w:space="0" w:color="auto"/>
      </w:divBdr>
    </w:div>
    <w:div w:id="814033931">
      <w:bodyDiv w:val="1"/>
      <w:marLeft w:val="0"/>
      <w:marRight w:val="0"/>
      <w:marTop w:val="0"/>
      <w:marBottom w:val="0"/>
      <w:divBdr>
        <w:top w:val="none" w:sz="0" w:space="0" w:color="auto"/>
        <w:left w:val="none" w:sz="0" w:space="0" w:color="auto"/>
        <w:bottom w:val="none" w:sz="0" w:space="0" w:color="auto"/>
        <w:right w:val="none" w:sz="0" w:space="0" w:color="auto"/>
      </w:divBdr>
    </w:div>
    <w:div w:id="924147737">
      <w:bodyDiv w:val="1"/>
      <w:marLeft w:val="0"/>
      <w:marRight w:val="0"/>
      <w:marTop w:val="30"/>
      <w:marBottom w:val="750"/>
      <w:divBdr>
        <w:top w:val="none" w:sz="0" w:space="0" w:color="auto"/>
        <w:left w:val="none" w:sz="0" w:space="0" w:color="auto"/>
        <w:bottom w:val="none" w:sz="0" w:space="0" w:color="auto"/>
        <w:right w:val="none" w:sz="0" w:space="0" w:color="auto"/>
      </w:divBdr>
      <w:divsChild>
        <w:div w:id="615911661">
          <w:marLeft w:val="0"/>
          <w:marRight w:val="0"/>
          <w:marTop w:val="0"/>
          <w:marBottom w:val="0"/>
          <w:divBdr>
            <w:top w:val="none" w:sz="0" w:space="0" w:color="auto"/>
            <w:left w:val="none" w:sz="0" w:space="0" w:color="auto"/>
            <w:bottom w:val="none" w:sz="0" w:space="0" w:color="auto"/>
            <w:right w:val="none" w:sz="0" w:space="0" w:color="auto"/>
          </w:divBdr>
        </w:div>
      </w:divsChild>
    </w:div>
    <w:div w:id="1272199038">
      <w:bodyDiv w:val="1"/>
      <w:marLeft w:val="0"/>
      <w:marRight w:val="0"/>
      <w:marTop w:val="0"/>
      <w:marBottom w:val="0"/>
      <w:divBdr>
        <w:top w:val="none" w:sz="0" w:space="0" w:color="auto"/>
        <w:left w:val="none" w:sz="0" w:space="0" w:color="auto"/>
        <w:bottom w:val="none" w:sz="0" w:space="0" w:color="auto"/>
        <w:right w:val="none" w:sz="0" w:space="0" w:color="auto"/>
      </w:divBdr>
      <w:divsChild>
        <w:div w:id="1558664043">
          <w:marLeft w:val="0"/>
          <w:marRight w:val="0"/>
          <w:marTop w:val="0"/>
          <w:marBottom w:val="0"/>
          <w:divBdr>
            <w:top w:val="none" w:sz="0" w:space="0" w:color="auto"/>
            <w:left w:val="none" w:sz="0" w:space="0" w:color="auto"/>
            <w:bottom w:val="none" w:sz="0" w:space="0" w:color="auto"/>
            <w:right w:val="none" w:sz="0" w:space="0" w:color="auto"/>
          </w:divBdr>
          <w:divsChild>
            <w:div w:id="2138328032">
              <w:marLeft w:val="0"/>
              <w:marRight w:val="0"/>
              <w:marTop w:val="0"/>
              <w:marBottom w:val="0"/>
              <w:divBdr>
                <w:top w:val="none" w:sz="0" w:space="0" w:color="auto"/>
                <w:left w:val="none" w:sz="0" w:space="0" w:color="auto"/>
                <w:bottom w:val="none" w:sz="0" w:space="0" w:color="auto"/>
                <w:right w:val="none" w:sz="0" w:space="0" w:color="auto"/>
              </w:divBdr>
              <w:divsChild>
                <w:div w:id="823201880">
                  <w:marLeft w:val="0"/>
                  <w:marRight w:val="0"/>
                  <w:marTop w:val="0"/>
                  <w:marBottom w:val="0"/>
                  <w:divBdr>
                    <w:top w:val="none" w:sz="0" w:space="0" w:color="auto"/>
                    <w:left w:val="none" w:sz="0" w:space="0" w:color="auto"/>
                    <w:bottom w:val="none" w:sz="0" w:space="0" w:color="auto"/>
                    <w:right w:val="none" w:sz="0" w:space="0" w:color="auto"/>
                  </w:divBdr>
                  <w:divsChild>
                    <w:div w:id="218634860">
                      <w:marLeft w:val="0"/>
                      <w:marRight w:val="0"/>
                      <w:marTop w:val="0"/>
                      <w:marBottom w:val="0"/>
                      <w:divBdr>
                        <w:top w:val="none" w:sz="0" w:space="0" w:color="auto"/>
                        <w:left w:val="none" w:sz="0" w:space="0" w:color="auto"/>
                        <w:bottom w:val="none" w:sz="0" w:space="0" w:color="auto"/>
                        <w:right w:val="none" w:sz="0" w:space="0" w:color="auto"/>
                      </w:divBdr>
                      <w:divsChild>
                        <w:div w:id="280723128">
                          <w:marLeft w:val="0"/>
                          <w:marRight w:val="0"/>
                          <w:marTop w:val="0"/>
                          <w:marBottom w:val="0"/>
                          <w:divBdr>
                            <w:top w:val="none" w:sz="0" w:space="0" w:color="auto"/>
                            <w:left w:val="none" w:sz="0" w:space="0" w:color="auto"/>
                            <w:bottom w:val="none" w:sz="0" w:space="0" w:color="auto"/>
                            <w:right w:val="none" w:sz="0" w:space="0" w:color="auto"/>
                          </w:divBdr>
                          <w:divsChild>
                            <w:div w:id="1467091612">
                              <w:marLeft w:val="0"/>
                              <w:marRight w:val="0"/>
                              <w:marTop w:val="0"/>
                              <w:marBottom w:val="0"/>
                              <w:divBdr>
                                <w:top w:val="single" w:sz="6" w:space="0" w:color="CCCCCC"/>
                                <w:left w:val="single" w:sz="6" w:space="0" w:color="CCCCCC"/>
                                <w:bottom w:val="single" w:sz="6" w:space="0" w:color="CCCCCC"/>
                                <w:right w:val="single" w:sz="6" w:space="0" w:color="CCCCCC"/>
                              </w:divBdr>
                              <w:divsChild>
                                <w:div w:id="1491672285">
                                  <w:marLeft w:val="0"/>
                                  <w:marRight w:val="0"/>
                                  <w:marTop w:val="75"/>
                                  <w:marBottom w:val="0"/>
                                  <w:divBdr>
                                    <w:top w:val="none" w:sz="0" w:space="0" w:color="auto"/>
                                    <w:left w:val="none" w:sz="0" w:space="0" w:color="auto"/>
                                    <w:bottom w:val="none" w:sz="0" w:space="0" w:color="auto"/>
                                    <w:right w:val="none" w:sz="0" w:space="0" w:color="auto"/>
                                  </w:divBdr>
                                  <w:divsChild>
                                    <w:div w:id="301733126">
                                      <w:marLeft w:val="0"/>
                                      <w:marRight w:val="0"/>
                                      <w:marTop w:val="0"/>
                                      <w:marBottom w:val="0"/>
                                      <w:divBdr>
                                        <w:top w:val="none" w:sz="0" w:space="0" w:color="auto"/>
                                        <w:left w:val="none" w:sz="0" w:space="0" w:color="auto"/>
                                        <w:bottom w:val="none" w:sz="0" w:space="0" w:color="auto"/>
                                        <w:right w:val="none" w:sz="0" w:space="0" w:color="auto"/>
                                      </w:divBdr>
                                    </w:div>
                                    <w:div w:id="669022777">
                                      <w:marLeft w:val="0"/>
                                      <w:marRight w:val="0"/>
                                      <w:marTop w:val="0"/>
                                      <w:marBottom w:val="0"/>
                                      <w:divBdr>
                                        <w:top w:val="none" w:sz="0" w:space="0" w:color="auto"/>
                                        <w:left w:val="none" w:sz="0" w:space="0" w:color="auto"/>
                                        <w:bottom w:val="none" w:sz="0" w:space="0" w:color="auto"/>
                                        <w:right w:val="none" w:sz="0" w:space="0" w:color="auto"/>
                                      </w:divBdr>
                                    </w:div>
                                    <w:div w:id="173230450">
                                      <w:marLeft w:val="0"/>
                                      <w:marRight w:val="0"/>
                                      <w:marTop w:val="0"/>
                                      <w:marBottom w:val="0"/>
                                      <w:divBdr>
                                        <w:top w:val="none" w:sz="0" w:space="0" w:color="auto"/>
                                        <w:left w:val="none" w:sz="0" w:space="0" w:color="auto"/>
                                        <w:bottom w:val="none" w:sz="0" w:space="0" w:color="auto"/>
                                        <w:right w:val="none" w:sz="0" w:space="0" w:color="auto"/>
                                      </w:divBdr>
                                    </w:div>
                                    <w:div w:id="1553079845">
                                      <w:marLeft w:val="0"/>
                                      <w:marRight w:val="0"/>
                                      <w:marTop w:val="0"/>
                                      <w:marBottom w:val="0"/>
                                      <w:divBdr>
                                        <w:top w:val="none" w:sz="0" w:space="0" w:color="auto"/>
                                        <w:left w:val="none" w:sz="0" w:space="0" w:color="auto"/>
                                        <w:bottom w:val="none" w:sz="0" w:space="0" w:color="auto"/>
                                        <w:right w:val="none" w:sz="0" w:space="0" w:color="auto"/>
                                      </w:divBdr>
                                    </w:div>
                                    <w:div w:id="2090105700">
                                      <w:marLeft w:val="0"/>
                                      <w:marRight w:val="0"/>
                                      <w:marTop w:val="0"/>
                                      <w:marBottom w:val="0"/>
                                      <w:divBdr>
                                        <w:top w:val="none" w:sz="0" w:space="0" w:color="auto"/>
                                        <w:left w:val="none" w:sz="0" w:space="0" w:color="auto"/>
                                        <w:bottom w:val="none" w:sz="0" w:space="0" w:color="auto"/>
                                        <w:right w:val="none" w:sz="0" w:space="0" w:color="auto"/>
                                      </w:divBdr>
                                    </w:div>
                                    <w:div w:id="131413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527068">
      <w:bodyDiv w:val="1"/>
      <w:marLeft w:val="0"/>
      <w:marRight w:val="0"/>
      <w:marTop w:val="0"/>
      <w:marBottom w:val="0"/>
      <w:divBdr>
        <w:top w:val="none" w:sz="0" w:space="0" w:color="auto"/>
        <w:left w:val="none" w:sz="0" w:space="0" w:color="auto"/>
        <w:bottom w:val="none" w:sz="0" w:space="0" w:color="auto"/>
        <w:right w:val="none" w:sz="0" w:space="0" w:color="auto"/>
      </w:divBdr>
    </w:div>
    <w:div w:id="1320039687">
      <w:bodyDiv w:val="1"/>
      <w:marLeft w:val="0"/>
      <w:marRight w:val="0"/>
      <w:marTop w:val="30"/>
      <w:marBottom w:val="750"/>
      <w:divBdr>
        <w:top w:val="none" w:sz="0" w:space="0" w:color="auto"/>
        <w:left w:val="none" w:sz="0" w:space="0" w:color="auto"/>
        <w:bottom w:val="none" w:sz="0" w:space="0" w:color="auto"/>
        <w:right w:val="none" w:sz="0" w:space="0" w:color="auto"/>
      </w:divBdr>
      <w:divsChild>
        <w:div w:id="1343049915">
          <w:marLeft w:val="0"/>
          <w:marRight w:val="0"/>
          <w:marTop w:val="0"/>
          <w:marBottom w:val="0"/>
          <w:divBdr>
            <w:top w:val="none" w:sz="0" w:space="0" w:color="auto"/>
            <w:left w:val="none" w:sz="0" w:space="0" w:color="auto"/>
            <w:bottom w:val="none" w:sz="0" w:space="0" w:color="auto"/>
            <w:right w:val="none" w:sz="0" w:space="0" w:color="auto"/>
          </w:divBdr>
        </w:div>
      </w:divsChild>
    </w:div>
    <w:div w:id="1349983238">
      <w:bodyDiv w:val="1"/>
      <w:marLeft w:val="0"/>
      <w:marRight w:val="0"/>
      <w:marTop w:val="30"/>
      <w:marBottom w:val="750"/>
      <w:divBdr>
        <w:top w:val="none" w:sz="0" w:space="0" w:color="auto"/>
        <w:left w:val="none" w:sz="0" w:space="0" w:color="auto"/>
        <w:bottom w:val="none" w:sz="0" w:space="0" w:color="auto"/>
        <w:right w:val="none" w:sz="0" w:space="0" w:color="auto"/>
      </w:divBdr>
      <w:divsChild>
        <w:div w:id="490952359">
          <w:marLeft w:val="0"/>
          <w:marRight w:val="0"/>
          <w:marTop w:val="0"/>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911426191">
      <w:bodyDiv w:val="1"/>
      <w:marLeft w:val="0"/>
      <w:marRight w:val="0"/>
      <w:marTop w:val="30"/>
      <w:marBottom w:val="750"/>
      <w:divBdr>
        <w:top w:val="none" w:sz="0" w:space="0" w:color="auto"/>
        <w:left w:val="none" w:sz="0" w:space="0" w:color="auto"/>
        <w:bottom w:val="none" w:sz="0" w:space="0" w:color="auto"/>
        <w:right w:val="none" w:sz="0" w:space="0" w:color="auto"/>
      </w:divBdr>
      <w:divsChild>
        <w:div w:id="1985818931">
          <w:marLeft w:val="0"/>
          <w:marRight w:val="0"/>
          <w:marTop w:val="0"/>
          <w:marBottom w:val="0"/>
          <w:divBdr>
            <w:top w:val="none" w:sz="0" w:space="0" w:color="auto"/>
            <w:left w:val="none" w:sz="0" w:space="0" w:color="auto"/>
            <w:bottom w:val="none" w:sz="0" w:space="0" w:color="auto"/>
            <w:right w:val="none" w:sz="0" w:space="0" w:color="auto"/>
          </w:divBdr>
        </w:div>
      </w:divsChild>
    </w:div>
    <w:div w:id="1934317398">
      <w:bodyDiv w:val="1"/>
      <w:marLeft w:val="0"/>
      <w:marRight w:val="0"/>
      <w:marTop w:val="30"/>
      <w:marBottom w:val="750"/>
      <w:divBdr>
        <w:top w:val="none" w:sz="0" w:space="0" w:color="auto"/>
        <w:left w:val="none" w:sz="0" w:space="0" w:color="auto"/>
        <w:bottom w:val="none" w:sz="0" w:space="0" w:color="auto"/>
        <w:right w:val="none" w:sz="0" w:space="0" w:color="auto"/>
      </w:divBdr>
      <w:divsChild>
        <w:div w:id="702562164">
          <w:marLeft w:val="0"/>
          <w:marRight w:val="0"/>
          <w:marTop w:val="0"/>
          <w:marBottom w:val="0"/>
          <w:divBdr>
            <w:top w:val="none" w:sz="0" w:space="0" w:color="auto"/>
            <w:left w:val="none" w:sz="0" w:space="0" w:color="auto"/>
            <w:bottom w:val="none" w:sz="0" w:space="0" w:color="auto"/>
            <w:right w:val="none" w:sz="0" w:space="0" w:color="auto"/>
          </w:divBdr>
        </w:div>
      </w:divsChild>
    </w:div>
    <w:div w:id="2017339761">
      <w:bodyDiv w:val="1"/>
      <w:marLeft w:val="0"/>
      <w:marRight w:val="0"/>
      <w:marTop w:val="0"/>
      <w:marBottom w:val="0"/>
      <w:divBdr>
        <w:top w:val="none" w:sz="0" w:space="0" w:color="auto"/>
        <w:left w:val="none" w:sz="0" w:space="0" w:color="auto"/>
        <w:bottom w:val="none" w:sz="0" w:space="0" w:color="auto"/>
        <w:right w:val="none" w:sz="0" w:space="0" w:color="auto"/>
      </w:divBdr>
      <w:divsChild>
        <w:div w:id="1584794808">
          <w:marLeft w:val="0"/>
          <w:marRight w:val="0"/>
          <w:marTop w:val="0"/>
          <w:marBottom w:val="0"/>
          <w:divBdr>
            <w:top w:val="none" w:sz="0" w:space="0" w:color="auto"/>
            <w:left w:val="none" w:sz="0" w:space="0" w:color="auto"/>
            <w:bottom w:val="none" w:sz="0" w:space="0" w:color="auto"/>
            <w:right w:val="none" w:sz="0" w:space="0" w:color="auto"/>
          </w:divBdr>
          <w:divsChild>
            <w:div w:id="349339155">
              <w:marLeft w:val="0"/>
              <w:marRight w:val="0"/>
              <w:marTop w:val="0"/>
              <w:marBottom w:val="0"/>
              <w:divBdr>
                <w:top w:val="none" w:sz="0" w:space="0" w:color="auto"/>
                <w:left w:val="none" w:sz="0" w:space="0" w:color="auto"/>
                <w:bottom w:val="none" w:sz="0" w:space="0" w:color="auto"/>
                <w:right w:val="none" w:sz="0" w:space="0" w:color="auto"/>
              </w:divBdr>
              <w:divsChild>
                <w:div w:id="555580912">
                  <w:marLeft w:val="0"/>
                  <w:marRight w:val="0"/>
                  <w:marTop w:val="0"/>
                  <w:marBottom w:val="0"/>
                  <w:divBdr>
                    <w:top w:val="none" w:sz="0" w:space="0" w:color="auto"/>
                    <w:left w:val="none" w:sz="0" w:space="0" w:color="auto"/>
                    <w:bottom w:val="none" w:sz="0" w:space="0" w:color="auto"/>
                    <w:right w:val="none" w:sz="0" w:space="0" w:color="auto"/>
                  </w:divBdr>
                  <w:divsChild>
                    <w:div w:id="381053023">
                      <w:marLeft w:val="0"/>
                      <w:marRight w:val="0"/>
                      <w:marTop w:val="0"/>
                      <w:marBottom w:val="0"/>
                      <w:divBdr>
                        <w:top w:val="none" w:sz="0" w:space="0" w:color="auto"/>
                        <w:left w:val="none" w:sz="0" w:space="0" w:color="auto"/>
                        <w:bottom w:val="none" w:sz="0" w:space="0" w:color="auto"/>
                        <w:right w:val="none" w:sz="0" w:space="0" w:color="auto"/>
                      </w:divBdr>
                      <w:divsChild>
                        <w:div w:id="695038437">
                          <w:marLeft w:val="0"/>
                          <w:marRight w:val="0"/>
                          <w:marTop w:val="0"/>
                          <w:marBottom w:val="0"/>
                          <w:divBdr>
                            <w:top w:val="none" w:sz="0" w:space="0" w:color="auto"/>
                            <w:left w:val="none" w:sz="0" w:space="0" w:color="auto"/>
                            <w:bottom w:val="none" w:sz="0" w:space="0" w:color="auto"/>
                            <w:right w:val="none" w:sz="0" w:space="0" w:color="auto"/>
                          </w:divBdr>
                          <w:divsChild>
                            <w:div w:id="79841119">
                              <w:marLeft w:val="0"/>
                              <w:marRight w:val="0"/>
                              <w:marTop w:val="0"/>
                              <w:marBottom w:val="0"/>
                              <w:divBdr>
                                <w:top w:val="single" w:sz="6" w:space="0" w:color="CCCCCC"/>
                                <w:left w:val="single" w:sz="6" w:space="0" w:color="CCCCCC"/>
                                <w:bottom w:val="single" w:sz="6" w:space="0" w:color="CCCCCC"/>
                                <w:right w:val="single" w:sz="6" w:space="0" w:color="CCCCCC"/>
                              </w:divBdr>
                              <w:divsChild>
                                <w:div w:id="2049723384">
                                  <w:marLeft w:val="0"/>
                                  <w:marRight w:val="0"/>
                                  <w:marTop w:val="75"/>
                                  <w:marBottom w:val="0"/>
                                  <w:divBdr>
                                    <w:top w:val="none" w:sz="0" w:space="0" w:color="auto"/>
                                    <w:left w:val="none" w:sz="0" w:space="0" w:color="auto"/>
                                    <w:bottom w:val="none" w:sz="0" w:space="0" w:color="auto"/>
                                    <w:right w:val="none" w:sz="0" w:space="0" w:color="auto"/>
                                  </w:divBdr>
                                  <w:divsChild>
                                    <w:div w:id="312951587">
                                      <w:marLeft w:val="0"/>
                                      <w:marRight w:val="0"/>
                                      <w:marTop w:val="0"/>
                                      <w:marBottom w:val="0"/>
                                      <w:divBdr>
                                        <w:top w:val="none" w:sz="0" w:space="0" w:color="auto"/>
                                        <w:left w:val="none" w:sz="0" w:space="0" w:color="auto"/>
                                        <w:bottom w:val="none" w:sz="0" w:space="0" w:color="auto"/>
                                        <w:right w:val="none" w:sz="0" w:space="0" w:color="auto"/>
                                      </w:divBdr>
                                    </w:div>
                                    <w:div w:id="1078140150">
                                      <w:marLeft w:val="0"/>
                                      <w:marRight w:val="0"/>
                                      <w:marTop w:val="0"/>
                                      <w:marBottom w:val="0"/>
                                      <w:divBdr>
                                        <w:top w:val="none" w:sz="0" w:space="0" w:color="auto"/>
                                        <w:left w:val="none" w:sz="0" w:space="0" w:color="auto"/>
                                        <w:bottom w:val="none" w:sz="0" w:space="0" w:color="auto"/>
                                        <w:right w:val="none" w:sz="0" w:space="0" w:color="auto"/>
                                      </w:divBdr>
                                    </w:div>
                                    <w:div w:id="668411744">
                                      <w:marLeft w:val="0"/>
                                      <w:marRight w:val="0"/>
                                      <w:marTop w:val="0"/>
                                      <w:marBottom w:val="0"/>
                                      <w:divBdr>
                                        <w:top w:val="none" w:sz="0" w:space="0" w:color="auto"/>
                                        <w:left w:val="none" w:sz="0" w:space="0" w:color="auto"/>
                                        <w:bottom w:val="none" w:sz="0" w:space="0" w:color="auto"/>
                                        <w:right w:val="none" w:sz="0" w:space="0" w:color="auto"/>
                                      </w:divBdr>
                                    </w:div>
                                    <w:div w:id="388311839">
                                      <w:marLeft w:val="0"/>
                                      <w:marRight w:val="0"/>
                                      <w:marTop w:val="0"/>
                                      <w:marBottom w:val="0"/>
                                      <w:divBdr>
                                        <w:top w:val="none" w:sz="0" w:space="0" w:color="auto"/>
                                        <w:left w:val="none" w:sz="0" w:space="0" w:color="auto"/>
                                        <w:bottom w:val="none" w:sz="0" w:space="0" w:color="auto"/>
                                        <w:right w:val="none" w:sz="0" w:space="0" w:color="auto"/>
                                      </w:divBdr>
                                    </w:div>
                                    <w:div w:id="1580166395">
                                      <w:marLeft w:val="0"/>
                                      <w:marRight w:val="0"/>
                                      <w:marTop w:val="0"/>
                                      <w:marBottom w:val="0"/>
                                      <w:divBdr>
                                        <w:top w:val="none" w:sz="0" w:space="0" w:color="auto"/>
                                        <w:left w:val="none" w:sz="0" w:space="0" w:color="auto"/>
                                        <w:bottom w:val="none" w:sz="0" w:space="0" w:color="auto"/>
                                        <w:right w:val="none" w:sz="0" w:space="0" w:color="auto"/>
                                      </w:divBdr>
                                    </w:div>
                                    <w:div w:id="2076975422">
                                      <w:marLeft w:val="0"/>
                                      <w:marRight w:val="0"/>
                                      <w:marTop w:val="0"/>
                                      <w:marBottom w:val="0"/>
                                      <w:divBdr>
                                        <w:top w:val="none" w:sz="0" w:space="0" w:color="auto"/>
                                        <w:left w:val="none" w:sz="0" w:space="0" w:color="auto"/>
                                        <w:bottom w:val="none" w:sz="0" w:space="0" w:color="auto"/>
                                        <w:right w:val="none" w:sz="0" w:space="0" w:color="auto"/>
                                      </w:divBdr>
                                    </w:div>
                                    <w:div w:id="1639720904">
                                      <w:marLeft w:val="0"/>
                                      <w:marRight w:val="0"/>
                                      <w:marTop w:val="0"/>
                                      <w:marBottom w:val="0"/>
                                      <w:divBdr>
                                        <w:top w:val="none" w:sz="0" w:space="0" w:color="auto"/>
                                        <w:left w:val="none" w:sz="0" w:space="0" w:color="auto"/>
                                        <w:bottom w:val="none" w:sz="0" w:space="0" w:color="auto"/>
                                        <w:right w:val="none" w:sz="0" w:space="0" w:color="auto"/>
                                      </w:divBdr>
                                    </w:div>
                                    <w:div w:id="1121336278">
                                      <w:marLeft w:val="0"/>
                                      <w:marRight w:val="0"/>
                                      <w:marTop w:val="0"/>
                                      <w:marBottom w:val="0"/>
                                      <w:divBdr>
                                        <w:top w:val="none" w:sz="0" w:space="0" w:color="auto"/>
                                        <w:left w:val="none" w:sz="0" w:space="0" w:color="auto"/>
                                        <w:bottom w:val="none" w:sz="0" w:space="0" w:color="auto"/>
                                        <w:right w:val="none" w:sz="0" w:space="0" w:color="auto"/>
                                      </w:divBdr>
                                    </w:div>
                                    <w:div w:id="491413675">
                                      <w:marLeft w:val="0"/>
                                      <w:marRight w:val="0"/>
                                      <w:marTop w:val="0"/>
                                      <w:marBottom w:val="0"/>
                                      <w:divBdr>
                                        <w:top w:val="none" w:sz="0" w:space="0" w:color="auto"/>
                                        <w:left w:val="none" w:sz="0" w:space="0" w:color="auto"/>
                                        <w:bottom w:val="none" w:sz="0" w:space="0" w:color="auto"/>
                                        <w:right w:val="none" w:sz="0" w:space="0" w:color="auto"/>
                                      </w:divBdr>
                                    </w:div>
                                    <w:div w:id="686833854">
                                      <w:marLeft w:val="0"/>
                                      <w:marRight w:val="0"/>
                                      <w:marTop w:val="0"/>
                                      <w:marBottom w:val="0"/>
                                      <w:divBdr>
                                        <w:top w:val="none" w:sz="0" w:space="0" w:color="auto"/>
                                        <w:left w:val="none" w:sz="0" w:space="0" w:color="auto"/>
                                        <w:bottom w:val="none" w:sz="0" w:space="0" w:color="auto"/>
                                        <w:right w:val="none" w:sz="0" w:space="0" w:color="auto"/>
                                      </w:divBdr>
                                    </w:div>
                                    <w:div w:id="1232305066">
                                      <w:marLeft w:val="0"/>
                                      <w:marRight w:val="0"/>
                                      <w:marTop w:val="0"/>
                                      <w:marBottom w:val="0"/>
                                      <w:divBdr>
                                        <w:top w:val="none" w:sz="0" w:space="0" w:color="auto"/>
                                        <w:left w:val="none" w:sz="0" w:space="0" w:color="auto"/>
                                        <w:bottom w:val="none" w:sz="0" w:space="0" w:color="auto"/>
                                        <w:right w:val="none" w:sz="0" w:space="0" w:color="auto"/>
                                      </w:divBdr>
                                    </w:div>
                                    <w:div w:id="1708942425">
                                      <w:marLeft w:val="0"/>
                                      <w:marRight w:val="0"/>
                                      <w:marTop w:val="0"/>
                                      <w:marBottom w:val="0"/>
                                      <w:divBdr>
                                        <w:top w:val="none" w:sz="0" w:space="0" w:color="auto"/>
                                        <w:left w:val="none" w:sz="0" w:space="0" w:color="auto"/>
                                        <w:bottom w:val="none" w:sz="0" w:space="0" w:color="auto"/>
                                        <w:right w:val="none" w:sz="0" w:space="0" w:color="auto"/>
                                      </w:divBdr>
                                    </w:div>
                                    <w:div w:id="1514568982">
                                      <w:marLeft w:val="0"/>
                                      <w:marRight w:val="0"/>
                                      <w:marTop w:val="0"/>
                                      <w:marBottom w:val="0"/>
                                      <w:divBdr>
                                        <w:top w:val="none" w:sz="0" w:space="0" w:color="auto"/>
                                        <w:left w:val="none" w:sz="0" w:space="0" w:color="auto"/>
                                        <w:bottom w:val="none" w:sz="0" w:space="0" w:color="auto"/>
                                        <w:right w:val="none" w:sz="0" w:space="0" w:color="auto"/>
                                      </w:divBdr>
                                    </w:div>
                                    <w:div w:id="1744328488">
                                      <w:marLeft w:val="0"/>
                                      <w:marRight w:val="0"/>
                                      <w:marTop w:val="0"/>
                                      <w:marBottom w:val="0"/>
                                      <w:divBdr>
                                        <w:top w:val="none" w:sz="0" w:space="0" w:color="auto"/>
                                        <w:left w:val="none" w:sz="0" w:space="0" w:color="auto"/>
                                        <w:bottom w:val="none" w:sz="0" w:space="0" w:color="auto"/>
                                        <w:right w:val="none" w:sz="0" w:space="0" w:color="auto"/>
                                      </w:divBdr>
                                    </w:div>
                                    <w:div w:id="1211260070">
                                      <w:marLeft w:val="0"/>
                                      <w:marRight w:val="0"/>
                                      <w:marTop w:val="0"/>
                                      <w:marBottom w:val="0"/>
                                      <w:divBdr>
                                        <w:top w:val="none" w:sz="0" w:space="0" w:color="auto"/>
                                        <w:left w:val="none" w:sz="0" w:space="0" w:color="auto"/>
                                        <w:bottom w:val="none" w:sz="0" w:space="0" w:color="auto"/>
                                        <w:right w:val="none" w:sz="0" w:space="0" w:color="auto"/>
                                      </w:divBdr>
                                    </w:div>
                                    <w:div w:id="1914855194">
                                      <w:marLeft w:val="0"/>
                                      <w:marRight w:val="0"/>
                                      <w:marTop w:val="0"/>
                                      <w:marBottom w:val="0"/>
                                      <w:divBdr>
                                        <w:top w:val="none" w:sz="0" w:space="0" w:color="auto"/>
                                        <w:left w:val="none" w:sz="0" w:space="0" w:color="auto"/>
                                        <w:bottom w:val="none" w:sz="0" w:space="0" w:color="auto"/>
                                        <w:right w:val="none" w:sz="0" w:space="0" w:color="auto"/>
                                      </w:divBdr>
                                    </w:div>
                                    <w:div w:id="784230812">
                                      <w:marLeft w:val="0"/>
                                      <w:marRight w:val="0"/>
                                      <w:marTop w:val="0"/>
                                      <w:marBottom w:val="0"/>
                                      <w:divBdr>
                                        <w:top w:val="none" w:sz="0" w:space="0" w:color="auto"/>
                                        <w:left w:val="none" w:sz="0" w:space="0" w:color="auto"/>
                                        <w:bottom w:val="none" w:sz="0" w:space="0" w:color="auto"/>
                                        <w:right w:val="none" w:sz="0" w:space="0" w:color="auto"/>
                                      </w:divBdr>
                                    </w:div>
                                    <w:div w:id="732657738">
                                      <w:marLeft w:val="0"/>
                                      <w:marRight w:val="0"/>
                                      <w:marTop w:val="0"/>
                                      <w:marBottom w:val="0"/>
                                      <w:divBdr>
                                        <w:top w:val="none" w:sz="0" w:space="0" w:color="auto"/>
                                        <w:left w:val="none" w:sz="0" w:space="0" w:color="auto"/>
                                        <w:bottom w:val="none" w:sz="0" w:space="0" w:color="auto"/>
                                        <w:right w:val="none" w:sz="0" w:space="0" w:color="auto"/>
                                      </w:divBdr>
                                    </w:div>
                                    <w:div w:id="1735199514">
                                      <w:marLeft w:val="0"/>
                                      <w:marRight w:val="0"/>
                                      <w:marTop w:val="0"/>
                                      <w:marBottom w:val="0"/>
                                      <w:divBdr>
                                        <w:top w:val="none" w:sz="0" w:space="0" w:color="auto"/>
                                        <w:left w:val="none" w:sz="0" w:space="0" w:color="auto"/>
                                        <w:bottom w:val="none" w:sz="0" w:space="0" w:color="auto"/>
                                        <w:right w:val="none" w:sz="0" w:space="0" w:color="auto"/>
                                      </w:divBdr>
                                    </w:div>
                                    <w:div w:id="1954633151">
                                      <w:marLeft w:val="0"/>
                                      <w:marRight w:val="0"/>
                                      <w:marTop w:val="0"/>
                                      <w:marBottom w:val="0"/>
                                      <w:divBdr>
                                        <w:top w:val="none" w:sz="0" w:space="0" w:color="auto"/>
                                        <w:left w:val="none" w:sz="0" w:space="0" w:color="auto"/>
                                        <w:bottom w:val="none" w:sz="0" w:space="0" w:color="auto"/>
                                        <w:right w:val="none" w:sz="0" w:space="0" w:color="auto"/>
                                      </w:divBdr>
                                    </w:div>
                                    <w:div w:id="606276456">
                                      <w:marLeft w:val="0"/>
                                      <w:marRight w:val="0"/>
                                      <w:marTop w:val="0"/>
                                      <w:marBottom w:val="0"/>
                                      <w:divBdr>
                                        <w:top w:val="none" w:sz="0" w:space="0" w:color="auto"/>
                                        <w:left w:val="none" w:sz="0" w:space="0" w:color="auto"/>
                                        <w:bottom w:val="none" w:sz="0" w:space="0" w:color="auto"/>
                                        <w:right w:val="none" w:sz="0" w:space="0" w:color="auto"/>
                                      </w:divBdr>
                                    </w:div>
                                    <w:div w:id="633682779">
                                      <w:marLeft w:val="0"/>
                                      <w:marRight w:val="0"/>
                                      <w:marTop w:val="0"/>
                                      <w:marBottom w:val="0"/>
                                      <w:divBdr>
                                        <w:top w:val="none" w:sz="0" w:space="0" w:color="auto"/>
                                        <w:left w:val="none" w:sz="0" w:space="0" w:color="auto"/>
                                        <w:bottom w:val="none" w:sz="0" w:space="0" w:color="auto"/>
                                        <w:right w:val="none" w:sz="0" w:space="0" w:color="auto"/>
                                      </w:divBdr>
                                    </w:div>
                                    <w:div w:id="691733425">
                                      <w:marLeft w:val="0"/>
                                      <w:marRight w:val="0"/>
                                      <w:marTop w:val="0"/>
                                      <w:marBottom w:val="0"/>
                                      <w:divBdr>
                                        <w:top w:val="none" w:sz="0" w:space="0" w:color="auto"/>
                                        <w:left w:val="none" w:sz="0" w:space="0" w:color="auto"/>
                                        <w:bottom w:val="none" w:sz="0" w:space="0" w:color="auto"/>
                                        <w:right w:val="none" w:sz="0" w:space="0" w:color="auto"/>
                                      </w:divBdr>
                                    </w:div>
                                    <w:div w:id="486752881">
                                      <w:marLeft w:val="0"/>
                                      <w:marRight w:val="0"/>
                                      <w:marTop w:val="0"/>
                                      <w:marBottom w:val="0"/>
                                      <w:divBdr>
                                        <w:top w:val="none" w:sz="0" w:space="0" w:color="auto"/>
                                        <w:left w:val="none" w:sz="0" w:space="0" w:color="auto"/>
                                        <w:bottom w:val="none" w:sz="0" w:space="0" w:color="auto"/>
                                        <w:right w:val="none" w:sz="0" w:space="0" w:color="auto"/>
                                      </w:divBdr>
                                    </w:div>
                                    <w:div w:id="330061589">
                                      <w:marLeft w:val="0"/>
                                      <w:marRight w:val="0"/>
                                      <w:marTop w:val="0"/>
                                      <w:marBottom w:val="0"/>
                                      <w:divBdr>
                                        <w:top w:val="none" w:sz="0" w:space="0" w:color="auto"/>
                                        <w:left w:val="none" w:sz="0" w:space="0" w:color="auto"/>
                                        <w:bottom w:val="none" w:sz="0" w:space="0" w:color="auto"/>
                                        <w:right w:val="none" w:sz="0" w:space="0" w:color="auto"/>
                                      </w:divBdr>
                                    </w:div>
                                    <w:div w:id="1789737006">
                                      <w:marLeft w:val="0"/>
                                      <w:marRight w:val="0"/>
                                      <w:marTop w:val="0"/>
                                      <w:marBottom w:val="0"/>
                                      <w:divBdr>
                                        <w:top w:val="none" w:sz="0" w:space="0" w:color="auto"/>
                                        <w:left w:val="none" w:sz="0" w:space="0" w:color="auto"/>
                                        <w:bottom w:val="none" w:sz="0" w:space="0" w:color="auto"/>
                                        <w:right w:val="none" w:sz="0" w:space="0" w:color="auto"/>
                                      </w:divBdr>
                                    </w:div>
                                    <w:div w:id="1095519808">
                                      <w:marLeft w:val="0"/>
                                      <w:marRight w:val="0"/>
                                      <w:marTop w:val="0"/>
                                      <w:marBottom w:val="0"/>
                                      <w:divBdr>
                                        <w:top w:val="none" w:sz="0" w:space="0" w:color="auto"/>
                                        <w:left w:val="none" w:sz="0" w:space="0" w:color="auto"/>
                                        <w:bottom w:val="none" w:sz="0" w:space="0" w:color="auto"/>
                                        <w:right w:val="none" w:sz="0" w:space="0" w:color="auto"/>
                                      </w:divBdr>
                                    </w:div>
                                    <w:div w:id="465241298">
                                      <w:marLeft w:val="0"/>
                                      <w:marRight w:val="0"/>
                                      <w:marTop w:val="0"/>
                                      <w:marBottom w:val="0"/>
                                      <w:divBdr>
                                        <w:top w:val="none" w:sz="0" w:space="0" w:color="auto"/>
                                        <w:left w:val="none" w:sz="0" w:space="0" w:color="auto"/>
                                        <w:bottom w:val="none" w:sz="0" w:space="0" w:color="auto"/>
                                        <w:right w:val="none" w:sz="0" w:space="0" w:color="auto"/>
                                      </w:divBdr>
                                    </w:div>
                                    <w:div w:id="2077320630">
                                      <w:marLeft w:val="0"/>
                                      <w:marRight w:val="0"/>
                                      <w:marTop w:val="0"/>
                                      <w:marBottom w:val="0"/>
                                      <w:divBdr>
                                        <w:top w:val="none" w:sz="0" w:space="0" w:color="auto"/>
                                        <w:left w:val="none" w:sz="0" w:space="0" w:color="auto"/>
                                        <w:bottom w:val="none" w:sz="0" w:space="0" w:color="auto"/>
                                        <w:right w:val="none" w:sz="0" w:space="0" w:color="auto"/>
                                      </w:divBdr>
                                    </w:div>
                                    <w:div w:id="212548735">
                                      <w:marLeft w:val="0"/>
                                      <w:marRight w:val="0"/>
                                      <w:marTop w:val="0"/>
                                      <w:marBottom w:val="0"/>
                                      <w:divBdr>
                                        <w:top w:val="none" w:sz="0" w:space="0" w:color="auto"/>
                                        <w:left w:val="none" w:sz="0" w:space="0" w:color="auto"/>
                                        <w:bottom w:val="none" w:sz="0" w:space="0" w:color="auto"/>
                                        <w:right w:val="none" w:sz="0" w:space="0" w:color="auto"/>
                                      </w:divBdr>
                                    </w:div>
                                    <w:div w:id="1630477311">
                                      <w:marLeft w:val="0"/>
                                      <w:marRight w:val="0"/>
                                      <w:marTop w:val="0"/>
                                      <w:marBottom w:val="0"/>
                                      <w:divBdr>
                                        <w:top w:val="none" w:sz="0" w:space="0" w:color="auto"/>
                                        <w:left w:val="none" w:sz="0" w:space="0" w:color="auto"/>
                                        <w:bottom w:val="none" w:sz="0" w:space="0" w:color="auto"/>
                                        <w:right w:val="none" w:sz="0" w:space="0" w:color="auto"/>
                                      </w:divBdr>
                                    </w:div>
                                    <w:div w:id="546722154">
                                      <w:marLeft w:val="0"/>
                                      <w:marRight w:val="0"/>
                                      <w:marTop w:val="0"/>
                                      <w:marBottom w:val="0"/>
                                      <w:divBdr>
                                        <w:top w:val="none" w:sz="0" w:space="0" w:color="auto"/>
                                        <w:left w:val="none" w:sz="0" w:space="0" w:color="auto"/>
                                        <w:bottom w:val="none" w:sz="0" w:space="0" w:color="auto"/>
                                        <w:right w:val="none" w:sz="0" w:space="0" w:color="auto"/>
                                      </w:divBdr>
                                    </w:div>
                                    <w:div w:id="1938757429">
                                      <w:marLeft w:val="0"/>
                                      <w:marRight w:val="0"/>
                                      <w:marTop w:val="0"/>
                                      <w:marBottom w:val="0"/>
                                      <w:divBdr>
                                        <w:top w:val="none" w:sz="0" w:space="0" w:color="auto"/>
                                        <w:left w:val="none" w:sz="0" w:space="0" w:color="auto"/>
                                        <w:bottom w:val="none" w:sz="0" w:space="0" w:color="auto"/>
                                        <w:right w:val="none" w:sz="0" w:space="0" w:color="auto"/>
                                      </w:divBdr>
                                    </w:div>
                                    <w:div w:id="1389525442">
                                      <w:marLeft w:val="0"/>
                                      <w:marRight w:val="0"/>
                                      <w:marTop w:val="0"/>
                                      <w:marBottom w:val="0"/>
                                      <w:divBdr>
                                        <w:top w:val="none" w:sz="0" w:space="0" w:color="auto"/>
                                        <w:left w:val="none" w:sz="0" w:space="0" w:color="auto"/>
                                        <w:bottom w:val="none" w:sz="0" w:space="0" w:color="auto"/>
                                        <w:right w:val="none" w:sz="0" w:space="0" w:color="auto"/>
                                      </w:divBdr>
                                    </w:div>
                                    <w:div w:id="5494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fr.gov/cgi-bin/text-idx?SID=e7ecc9beeae6a512273b5ce36fa7a8f6&amp;mc=true&amp;node=pt38.1.17&amp;rgn=div5" TargetMode="External"/><Relationship Id="rId18" Type="http://schemas.openxmlformats.org/officeDocument/2006/relationships/hyperlink" Target="http://www.ecfr.gov/cgi-bin/retrieveECFR?gp=1&amp;SID=9b5edf4921e7f3826529d53478f84e73&amp;ty=HTML&amp;h=L&amp;mc=true&amp;r=SECTION&amp;n=se38.1.3_1383" TargetMode="External"/><Relationship Id="rId26" Type="http://schemas.openxmlformats.org/officeDocument/2006/relationships/hyperlink" Target="http://www.ecfr.gov/cgi-bin/text-idx?SID=54c96c965aea2c1b50e0224171bc3e6e&amp;mc=true&amp;node=se38.1.4_1115&amp;rgn=div8" TargetMode="External"/><Relationship Id="rId39"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image" Target="media/image9.png"/><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ecfr.gov/cgi-bin/text-idx?SID=ad275643432556b9dda942343fb89296&amp;mc=true&amp;node=pt38.1.4&amp;rgn=div5" TargetMode="External"/><Relationship Id="rId17" Type="http://schemas.openxmlformats.org/officeDocument/2006/relationships/hyperlink" Target="http://www.ecfr.gov/cgi-bin/retrieveECFR?gp=1&amp;SID=9b5edf4921e7f3826529d53478f84e73&amp;ty=HTML&amp;h=L&amp;mc=true&amp;r=SECTION&amp;n=se38.1.3_1114" TargetMode="External"/><Relationship Id="rId25" Type="http://schemas.openxmlformats.org/officeDocument/2006/relationships/hyperlink" Target="http://www.ecfr.gov/cgi-bin/retrieveECFR?gp=&amp;SID=1fad3c3e6023eb6fb2a6094492d22188&amp;mc=true&amp;r=SECTION&amp;n=se38.1.4_1115b" TargetMode="External"/><Relationship Id="rId33" Type="http://schemas.openxmlformats.org/officeDocument/2006/relationships/image" Target="media/image8.png"/><Relationship Id="rId38"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hyperlink" Target="http://www.ecfr.gov/cgi-bin/retrieveECFR?gp=1&amp;SID=9b5edf4921e7f3826529d53478f84e73&amp;h=L&amp;mc=true&amp;r=SECTION&amp;n=se38.1.3_1309" TargetMode="External"/><Relationship Id="rId20" Type="http://schemas.openxmlformats.org/officeDocument/2006/relationships/hyperlink" Target="http://www.ecfr.gov/cgi-bin/text-idx?SID=5d88ef97d5a9f1dae2147d2d18597b0c&amp;mc=true&amp;node=se38.1.17_1400&amp;rgn=div8" TargetMode="External"/><Relationship Id="rId29" Type="http://schemas.openxmlformats.org/officeDocument/2006/relationships/image" Target="media/image5.png"/><Relationship Id="rId41"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fr.gov/cgi-bin/text-idx?SID=ad275643432556b9dda942343fb89296&amp;mc=true&amp;node=pt38.1.3&amp;rgn=div58" TargetMode="External"/><Relationship Id="rId24" Type="http://schemas.openxmlformats.org/officeDocument/2006/relationships/hyperlink" Target="http://www.ecfr.gov/cgi-bin/text-idx?SID=bedbb0298fe1c799dee9a9811dfff0a0&amp;mc=true&amp;node=se38.1.4_1115a&amp;rgn=div8" TargetMode="External"/><Relationship Id="rId32" Type="http://schemas.openxmlformats.org/officeDocument/2006/relationships/hyperlink" Target="http://www.ecfr.gov/cgi-bin/text-idx?SID=678e1a0b35110a17aae704e69f2701f2&amp;mc=true&amp;node=se38.1.4_1114&amp;rgn=div8" TargetMode="External"/><Relationship Id="rId37" Type="http://schemas.openxmlformats.org/officeDocument/2006/relationships/image" Target="media/image12.png"/><Relationship Id="rId40" Type="http://schemas.openxmlformats.org/officeDocument/2006/relationships/image" Target="media/image15.png"/><Relationship Id="rId5" Type="http://schemas.openxmlformats.org/officeDocument/2006/relationships/numbering" Target="numbering.xml"/><Relationship Id="rId15" Type="http://schemas.openxmlformats.org/officeDocument/2006/relationships/hyperlink" Target="http://www.ecfr.gov/cgi-bin/retrieveECFR?gp=1&amp;SID=9b5edf4921e7f3826529d53478f84e73&amp;ty=HTML&amp;h=L&amp;mc=true&amp;r=SECTION&amp;n=se38.1.3_1307" TargetMode="External"/><Relationship Id="rId23" Type="http://schemas.openxmlformats.org/officeDocument/2006/relationships/image" Target="media/image3.png"/><Relationship Id="rId28" Type="http://schemas.openxmlformats.org/officeDocument/2006/relationships/image" Target="media/image4.png"/><Relationship Id="rId36"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hyperlink" Target="http://www.ecfr.gov/cgi-bin/text-idx?SID=ad275643432556b9dda942343fb89296&amp;mc=true&amp;node=pt38.1.4&amp;rgn=div5" TargetMode="External"/><Relationship Id="rId31" Type="http://schemas.openxmlformats.org/officeDocument/2006/relationships/image" Target="media/image7.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ww.compensation.pension.km.va.gov/" TargetMode="External"/><Relationship Id="rId22" Type="http://schemas.openxmlformats.org/officeDocument/2006/relationships/image" Target="media/image2.png"/><Relationship Id="rId27" Type="http://schemas.openxmlformats.org/officeDocument/2006/relationships/hyperlink" Target="http://www.ecfr.gov/cgi-bin/text-idx?SID=54c96c965aea2c1b50e0224171bc3e6e&amp;mc=true&amp;node=se38.1.4_1115&amp;rgn=div8" TargetMode="External"/><Relationship Id="rId30" Type="http://schemas.openxmlformats.org/officeDocument/2006/relationships/image" Target="media/image6.png"/><Relationship Id="rId35" Type="http://schemas.openxmlformats.org/officeDocument/2006/relationships/image" Target="media/image10.png"/><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2.xml><?xml version="1.0" encoding="utf-8"?>
<ds:datastoreItem xmlns:ds="http://schemas.openxmlformats.org/officeDocument/2006/customXml" ds:itemID="{11BEC6F2-3DA5-4636-A62A-54A870373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E08C9B-038F-4A21-9C0C-ED3F792A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7</TotalTime>
  <Pages>1</Pages>
  <Words>5405</Words>
  <Characters>30812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Contaminants in Water Supply: Camp Lejeune Handout</vt:lpstr>
    </vt:vector>
  </TitlesOfParts>
  <Company>Veterans Benefits Administration</Company>
  <LinksUpToDate>false</LinksUpToDate>
  <CharactersWithSpaces>36145</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Contaminants in Water Supply: Camp Lejeune Handout</dc:title>
  <dc:subject>RVSR, RQRS, DRO, Special Ops RVSR</dc:subject>
  <dc:creator>Department of Veterans Affairs, Veterans Benefits Administration, Compensation Service, STAFF</dc:creator>
  <cp:keywords>camp lejeune, contaminated water, CLCW, water, presumptive, 3.309, 3.307, liver cancer, bladder cancer, kidney cancer, anemia, myelodyspastic syndrome, Parkinson's disease, adult leukemia, mutiple myeloma, Louisville</cp:keywords>
  <dc:description>This lesson exposes employees to the presumptive regulation regarding diseases associated with exposure to contaminants in the water supply at Camp Lejeune.</dc:description>
  <cp:lastModifiedBy>Poole, Kathleen</cp:lastModifiedBy>
  <cp:revision>8</cp:revision>
  <cp:lastPrinted>2017-10-09T13:54:00Z</cp:lastPrinted>
  <dcterms:created xsi:type="dcterms:W3CDTF">2017-06-15T16:00:00Z</dcterms:created>
  <dcterms:modified xsi:type="dcterms:W3CDTF">2017-10-09T13:54:00Z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Guide</vt:lpwstr>
  </property>
</Properties>
</file>