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Pr="006F09D5" w:rsidRDefault="009B2F5A">
      <w:pPr>
        <w:pStyle w:val="LessonTitle"/>
      </w:pPr>
    </w:p>
    <w:p w14:paraId="235F411B" w14:textId="77777777" w:rsidR="009B2F5A" w:rsidRPr="006F09D5" w:rsidRDefault="009B2F5A">
      <w:pPr>
        <w:pStyle w:val="LessonTitle"/>
      </w:pPr>
    </w:p>
    <w:p w14:paraId="235F411C" w14:textId="50AC5223" w:rsidR="009B2F5A" w:rsidRPr="006F09D5" w:rsidRDefault="001F6ECC">
      <w:pPr>
        <w:pStyle w:val="VBALessonPlanName"/>
        <w:rPr>
          <w:color w:val="auto"/>
        </w:rPr>
      </w:pPr>
      <w:r w:rsidRPr="006F09D5">
        <w:rPr>
          <w:color w:val="auto"/>
        </w:rPr>
        <w:t>Auditory Disorders</w:t>
      </w:r>
    </w:p>
    <w:p w14:paraId="235F411D" w14:textId="77777777" w:rsidR="009B2F5A" w:rsidRPr="006F09D5" w:rsidRDefault="009B2F5A">
      <w:pPr>
        <w:pStyle w:val="VBALessonPlanTitle"/>
        <w:rPr>
          <w:color w:val="auto"/>
        </w:rPr>
      </w:pPr>
      <w:bookmarkStart w:id="0" w:name="_Toc277338715"/>
      <w:r w:rsidRPr="006F09D5">
        <w:rPr>
          <w:color w:val="auto"/>
        </w:rPr>
        <w:t>Instructor Lesson Plan</w:t>
      </w:r>
      <w:bookmarkEnd w:id="0"/>
    </w:p>
    <w:p w14:paraId="235F411E" w14:textId="293D4DAE" w:rsidR="009B2F5A" w:rsidRPr="006F09D5" w:rsidRDefault="009B2F5A">
      <w:pPr>
        <w:pStyle w:val="VBALessonPlanName"/>
        <w:rPr>
          <w:color w:val="auto"/>
        </w:rPr>
      </w:pPr>
      <w:bookmarkStart w:id="1" w:name="_Toc269888738"/>
      <w:bookmarkStart w:id="2" w:name="_Toc269888786"/>
      <w:bookmarkStart w:id="3" w:name="_Toc277338716"/>
      <w:r w:rsidRPr="006F09D5">
        <w:rPr>
          <w:color w:val="auto"/>
        </w:rPr>
        <w:t xml:space="preserve">Time Required: </w:t>
      </w:r>
      <w:r w:rsidR="001F6ECC" w:rsidRPr="006F09D5">
        <w:rPr>
          <w:color w:val="auto"/>
        </w:rPr>
        <w:t>1.5</w:t>
      </w:r>
      <w:r w:rsidRPr="006F09D5">
        <w:rPr>
          <w:color w:val="auto"/>
        </w:rPr>
        <w:t xml:space="preserve"> Hours</w:t>
      </w:r>
      <w:bookmarkEnd w:id="1"/>
      <w:bookmarkEnd w:id="2"/>
      <w:bookmarkEnd w:id="3"/>
    </w:p>
    <w:p w14:paraId="235F411F" w14:textId="77777777" w:rsidR="009B2F5A" w:rsidRPr="006F09D5" w:rsidRDefault="009B2F5A">
      <w:pPr>
        <w:jc w:val="center"/>
        <w:rPr>
          <w:b/>
          <w:caps/>
          <w:sz w:val="32"/>
          <w:szCs w:val="32"/>
        </w:rPr>
      </w:pPr>
    </w:p>
    <w:p w14:paraId="235F4120" w14:textId="77777777" w:rsidR="009B2F5A" w:rsidRPr="006F09D5" w:rsidRDefault="009B2F5A">
      <w:pPr>
        <w:jc w:val="center"/>
        <w:rPr>
          <w:rFonts w:ascii="Times New Roman Bold" w:hAnsi="Times New Roman Bold"/>
          <w:b/>
          <w:sz w:val="28"/>
          <w:szCs w:val="28"/>
        </w:rPr>
      </w:pPr>
      <w:bookmarkStart w:id="4" w:name="_Toc277338717"/>
      <w:r w:rsidRPr="006F09D5">
        <w:rPr>
          <w:rFonts w:ascii="Times New Roman Bold" w:hAnsi="Times New Roman Bold"/>
          <w:b/>
          <w:sz w:val="28"/>
          <w:szCs w:val="28"/>
        </w:rPr>
        <w:t>Table of Contents</w:t>
      </w:r>
      <w:bookmarkEnd w:id="4"/>
    </w:p>
    <w:p w14:paraId="235F4121" w14:textId="77777777" w:rsidR="009B2F5A" w:rsidRPr="006F09D5" w:rsidRDefault="009B2F5A"/>
    <w:p w14:paraId="0CBBB4C0" w14:textId="77777777" w:rsidR="0053484E" w:rsidRDefault="009B2F5A">
      <w:pPr>
        <w:pStyle w:val="TOC1"/>
        <w:rPr>
          <w:rFonts w:asciiTheme="minorHAnsi" w:eastAsiaTheme="minorEastAsia" w:hAnsiTheme="minorHAnsi" w:cstheme="minorBidi"/>
          <w:sz w:val="22"/>
        </w:rPr>
      </w:pPr>
      <w:r w:rsidRPr="006F09D5">
        <w:rPr>
          <w:rStyle w:val="Hyperlink"/>
          <w:color w:val="auto"/>
          <w:szCs w:val="24"/>
          <w:u w:val="none"/>
        </w:rPr>
        <w:fldChar w:fldCharType="begin"/>
      </w:r>
      <w:r w:rsidRPr="006F09D5">
        <w:rPr>
          <w:rStyle w:val="Hyperlink"/>
          <w:color w:val="auto"/>
          <w:szCs w:val="24"/>
          <w:u w:val="none"/>
        </w:rPr>
        <w:instrText xml:space="preserve"> TOC \o "1-1" \h \z \u </w:instrText>
      </w:r>
      <w:r w:rsidRPr="006F09D5">
        <w:rPr>
          <w:rStyle w:val="Hyperlink"/>
          <w:color w:val="auto"/>
          <w:szCs w:val="24"/>
          <w:u w:val="none"/>
        </w:rPr>
        <w:fldChar w:fldCharType="separate"/>
      </w:r>
      <w:hyperlink w:anchor="_Toc453835092" w:history="1">
        <w:r w:rsidR="0053484E" w:rsidRPr="00F1056D">
          <w:rPr>
            <w:rStyle w:val="Hyperlink"/>
          </w:rPr>
          <w:t>Lesson Description</w:t>
        </w:r>
        <w:r w:rsidR="0053484E">
          <w:rPr>
            <w:webHidden/>
          </w:rPr>
          <w:tab/>
        </w:r>
        <w:r w:rsidR="0053484E">
          <w:rPr>
            <w:webHidden/>
          </w:rPr>
          <w:fldChar w:fldCharType="begin"/>
        </w:r>
        <w:r w:rsidR="0053484E">
          <w:rPr>
            <w:webHidden/>
          </w:rPr>
          <w:instrText xml:space="preserve"> PAGEREF _Toc453835092 \h </w:instrText>
        </w:r>
        <w:r w:rsidR="0053484E">
          <w:rPr>
            <w:webHidden/>
          </w:rPr>
        </w:r>
        <w:r w:rsidR="0053484E">
          <w:rPr>
            <w:webHidden/>
          </w:rPr>
          <w:fldChar w:fldCharType="separate"/>
        </w:r>
        <w:r w:rsidR="0053484E">
          <w:rPr>
            <w:webHidden/>
          </w:rPr>
          <w:t>2</w:t>
        </w:r>
        <w:r w:rsidR="0053484E">
          <w:rPr>
            <w:webHidden/>
          </w:rPr>
          <w:fldChar w:fldCharType="end"/>
        </w:r>
      </w:hyperlink>
    </w:p>
    <w:p w14:paraId="1811DF40" w14:textId="77777777" w:rsidR="0053484E" w:rsidRDefault="0053484E">
      <w:pPr>
        <w:pStyle w:val="TOC1"/>
        <w:rPr>
          <w:rFonts w:asciiTheme="minorHAnsi" w:eastAsiaTheme="minorEastAsia" w:hAnsiTheme="minorHAnsi" w:cstheme="minorBidi"/>
          <w:sz w:val="22"/>
        </w:rPr>
      </w:pPr>
      <w:hyperlink w:anchor="_Toc453835093" w:history="1">
        <w:r w:rsidRPr="00F1056D">
          <w:rPr>
            <w:rStyle w:val="Hyperlink"/>
          </w:rPr>
          <w:t>Introduction to Auditory Disorders</w:t>
        </w:r>
        <w:r>
          <w:rPr>
            <w:webHidden/>
          </w:rPr>
          <w:tab/>
        </w:r>
        <w:r>
          <w:rPr>
            <w:webHidden/>
          </w:rPr>
          <w:fldChar w:fldCharType="begin"/>
        </w:r>
        <w:r>
          <w:rPr>
            <w:webHidden/>
          </w:rPr>
          <w:instrText xml:space="preserve"> PAGEREF _Toc453835093 \h </w:instrText>
        </w:r>
        <w:r>
          <w:rPr>
            <w:webHidden/>
          </w:rPr>
        </w:r>
        <w:r>
          <w:rPr>
            <w:webHidden/>
          </w:rPr>
          <w:fldChar w:fldCharType="separate"/>
        </w:r>
        <w:r>
          <w:rPr>
            <w:webHidden/>
          </w:rPr>
          <w:t>4</w:t>
        </w:r>
        <w:r>
          <w:rPr>
            <w:webHidden/>
          </w:rPr>
          <w:fldChar w:fldCharType="end"/>
        </w:r>
      </w:hyperlink>
    </w:p>
    <w:p w14:paraId="00AE6841" w14:textId="77777777" w:rsidR="0053484E" w:rsidRDefault="0053484E">
      <w:pPr>
        <w:pStyle w:val="TOC1"/>
        <w:rPr>
          <w:rFonts w:asciiTheme="minorHAnsi" w:eastAsiaTheme="minorEastAsia" w:hAnsiTheme="minorHAnsi" w:cstheme="minorBidi"/>
          <w:sz w:val="22"/>
        </w:rPr>
      </w:pPr>
      <w:hyperlink w:anchor="_Toc453835094" w:history="1">
        <w:r w:rsidRPr="00F1056D">
          <w:rPr>
            <w:rStyle w:val="Hyperlink"/>
          </w:rPr>
          <w:t>Topic 2: Hearing Loss</w:t>
        </w:r>
        <w:r>
          <w:rPr>
            <w:webHidden/>
          </w:rPr>
          <w:tab/>
        </w:r>
        <w:r>
          <w:rPr>
            <w:webHidden/>
          </w:rPr>
          <w:fldChar w:fldCharType="begin"/>
        </w:r>
        <w:r>
          <w:rPr>
            <w:webHidden/>
          </w:rPr>
          <w:instrText xml:space="preserve"> PAGEREF _Toc453835094 \h </w:instrText>
        </w:r>
        <w:r>
          <w:rPr>
            <w:webHidden/>
          </w:rPr>
        </w:r>
        <w:r>
          <w:rPr>
            <w:webHidden/>
          </w:rPr>
          <w:fldChar w:fldCharType="separate"/>
        </w:r>
        <w:r>
          <w:rPr>
            <w:webHidden/>
          </w:rPr>
          <w:t>7</w:t>
        </w:r>
        <w:r>
          <w:rPr>
            <w:webHidden/>
          </w:rPr>
          <w:fldChar w:fldCharType="end"/>
        </w:r>
      </w:hyperlink>
    </w:p>
    <w:p w14:paraId="3DE23C76" w14:textId="77777777" w:rsidR="0053484E" w:rsidRDefault="0053484E">
      <w:pPr>
        <w:pStyle w:val="TOC1"/>
        <w:rPr>
          <w:rFonts w:asciiTheme="minorHAnsi" w:eastAsiaTheme="minorEastAsia" w:hAnsiTheme="minorHAnsi" w:cstheme="minorBidi"/>
          <w:sz w:val="22"/>
        </w:rPr>
      </w:pPr>
      <w:hyperlink w:anchor="_Toc453835095" w:history="1">
        <w:r w:rsidRPr="00F1056D">
          <w:rPr>
            <w:rStyle w:val="Hyperlink"/>
          </w:rPr>
          <w:t>Topic 3: Tinnitus</w:t>
        </w:r>
        <w:r>
          <w:rPr>
            <w:webHidden/>
          </w:rPr>
          <w:tab/>
        </w:r>
        <w:r>
          <w:rPr>
            <w:webHidden/>
          </w:rPr>
          <w:fldChar w:fldCharType="begin"/>
        </w:r>
        <w:r>
          <w:rPr>
            <w:webHidden/>
          </w:rPr>
          <w:instrText xml:space="preserve"> PAGEREF _Toc453835095 \h </w:instrText>
        </w:r>
        <w:r>
          <w:rPr>
            <w:webHidden/>
          </w:rPr>
        </w:r>
        <w:r>
          <w:rPr>
            <w:webHidden/>
          </w:rPr>
          <w:fldChar w:fldCharType="separate"/>
        </w:r>
        <w:r>
          <w:rPr>
            <w:webHidden/>
          </w:rPr>
          <w:t>10</w:t>
        </w:r>
        <w:r>
          <w:rPr>
            <w:webHidden/>
          </w:rPr>
          <w:fldChar w:fldCharType="end"/>
        </w:r>
      </w:hyperlink>
    </w:p>
    <w:p w14:paraId="2B365336" w14:textId="77777777" w:rsidR="0053484E" w:rsidRDefault="0053484E">
      <w:pPr>
        <w:pStyle w:val="TOC1"/>
        <w:rPr>
          <w:rFonts w:asciiTheme="minorHAnsi" w:eastAsiaTheme="minorEastAsia" w:hAnsiTheme="minorHAnsi" w:cstheme="minorBidi"/>
          <w:sz w:val="22"/>
        </w:rPr>
      </w:pPr>
      <w:hyperlink w:anchor="_Toc453835096" w:history="1">
        <w:r w:rsidRPr="00F1056D">
          <w:rPr>
            <w:rStyle w:val="Hyperlink"/>
          </w:rPr>
          <w:t>Practical Exercise</w:t>
        </w:r>
        <w:r>
          <w:rPr>
            <w:webHidden/>
          </w:rPr>
          <w:tab/>
        </w:r>
        <w:r>
          <w:rPr>
            <w:webHidden/>
          </w:rPr>
          <w:fldChar w:fldCharType="begin"/>
        </w:r>
        <w:r>
          <w:rPr>
            <w:webHidden/>
          </w:rPr>
          <w:instrText xml:space="preserve"> PAGEREF _Toc453835096 \h </w:instrText>
        </w:r>
        <w:r>
          <w:rPr>
            <w:webHidden/>
          </w:rPr>
        </w:r>
        <w:r>
          <w:rPr>
            <w:webHidden/>
          </w:rPr>
          <w:fldChar w:fldCharType="separate"/>
        </w:r>
        <w:r>
          <w:rPr>
            <w:webHidden/>
          </w:rPr>
          <w:t>11</w:t>
        </w:r>
        <w:r>
          <w:rPr>
            <w:webHidden/>
          </w:rPr>
          <w:fldChar w:fldCharType="end"/>
        </w:r>
      </w:hyperlink>
    </w:p>
    <w:p w14:paraId="235F4129" w14:textId="2C860286" w:rsidR="009B2F5A" w:rsidRPr="006F09D5" w:rsidRDefault="009B2F5A">
      <w:pPr>
        <w:pStyle w:val="TOC1"/>
      </w:pPr>
      <w:r w:rsidRPr="006F09D5">
        <w:rPr>
          <w:rStyle w:val="Hyperlink"/>
          <w:bCs/>
          <w:color w:val="auto"/>
          <w:szCs w:val="24"/>
          <w:u w:val="none"/>
        </w:rPr>
        <w:fldChar w:fldCharType="end"/>
      </w:r>
      <w:bookmarkStart w:id="5" w:name="_GoBack"/>
      <w:bookmarkEnd w:id="5"/>
    </w:p>
    <w:p w14:paraId="235F412A" w14:textId="77777777" w:rsidR="009B2F5A" w:rsidRPr="006F09D5" w:rsidRDefault="009B2F5A">
      <w:pPr>
        <w:pStyle w:val="LessonTitle"/>
      </w:pPr>
      <w:r w:rsidRPr="006F09D5">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6F09D5" w:rsidRPr="006F09D5" w14:paraId="235F412C" w14:textId="77777777">
        <w:tc>
          <w:tcPr>
            <w:tcW w:w="9572" w:type="dxa"/>
            <w:gridSpan w:val="2"/>
            <w:tcBorders>
              <w:top w:val="nil"/>
              <w:left w:val="nil"/>
              <w:bottom w:val="nil"/>
              <w:right w:val="nil"/>
            </w:tcBorders>
          </w:tcPr>
          <w:p w14:paraId="235F412B" w14:textId="77777777" w:rsidR="009B2F5A" w:rsidRPr="006F09D5" w:rsidRDefault="009B2F5A">
            <w:pPr>
              <w:pStyle w:val="VBALessonTopicTitle"/>
              <w:rPr>
                <w:color w:val="auto"/>
              </w:rPr>
            </w:pPr>
            <w:bookmarkStart w:id="6" w:name="_Toc271527085"/>
            <w:bookmarkStart w:id="7" w:name="_Toc453835092"/>
            <w:r w:rsidRPr="006F09D5">
              <w:rPr>
                <w:color w:val="auto"/>
              </w:rPr>
              <w:lastRenderedPageBreak/>
              <w:t>Lesson Description</w:t>
            </w:r>
            <w:bookmarkEnd w:id="6"/>
            <w:bookmarkEnd w:id="7"/>
          </w:p>
        </w:tc>
      </w:tr>
      <w:tr w:rsidR="006F09D5" w:rsidRPr="006F09D5" w14:paraId="235F412E" w14:textId="77777777">
        <w:tc>
          <w:tcPr>
            <w:tcW w:w="9572" w:type="dxa"/>
            <w:gridSpan w:val="2"/>
            <w:tcBorders>
              <w:top w:val="nil"/>
              <w:left w:val="nil"/>
              <w:bottom w:val="nil"/>
              <w:right w:val="nil"/>
            </w:tcBorders>
          </w:tcPr>
          <w:p w14:paraId="235F412D" w14:textId="77777777" w:rsidR="009B2F5A" w:rsidRPr="006F09D5" w:rsidRDefault="009B2F5A">
            <w:pPr>
              <w:pStyle w:val="VBABodyText"/>
              <w:spacing w:after="120"/>
              <w:rPr>
                <w:color w:val="auto"/>
              </w:rPr>
            </w:pPr>
            <w:r w:rsidRPr="006F09D5">
              <w:rPr>
                <w:color w:val="auto"/>
                <w:szCs w:val="24"/>
              </w:rPr>
              <w:t xml:space="preserve">The information below provides </w:t>
            </w:r>
            <w:r w:rsidRPr="006F09D5">
              <w:rPr>
                <w:color w:val="auto"/>
              </w:rPr>
              <w:t xml:space="preserve">the instructor with </w:t>
            </w:r>
            <w:r w:rsidRPr="006F09D5">
              <w:rPr>
                <w:color w:val="auto"/>
                <w:szCs w:val="24"/>
              </w:rPr>
              <w:t>an overview of the lesson and the materials that are required to effectively present this instruction.</w:t>
            </w:r>
          </w:p>
        </w:tc>
      </w:tr>
      <w:tr w:rsidR="006F09D5" w:rsidRPr="006F09D5" w14:paraId="235F4131" w14:textId="77777777">
        <w:trPr>
          <w:trHeight w:val="80"/>
        </w:trPr>
        <w:tc>
          <w:tcPr>
            <w:tcW w:w="2348" w:type="dxa"/>
            <w:tcBorders>
              <w:top w:val="nil"/>
              <w:left w:val="nil"/>
              <w:bottom w:val="nil"/>
              <w:right w:val="nil"/>
            </w:tcBorders>
          </w:tcPr>
          <w:p w14:paraId="235F412F" w14:textId="77777777" w:rsidR="009B2F5A" w:rsidRPr="006F09D5" w:rsidRDefault="000F1A72">
            <w:pPr>
              <w:pStyle w:val="VBALevel1Heading"/>
              <w:spacing w:after="120"/>
            </w:pPr>
            <w:r w:rsidRPr="006F09D5">
              <w:t>TMS</w:t>
            </w:r>
            <w:r w:rsidR="009B2F5A" w:rsidRPr="006F09D5">
              <w:t xml:space="preserve"> #</w:t>
            </w:r>
          </w:p>
        </w:tc>
        <w:tc>
          <w:tcPr>
            <w:tcW w:w="7224" w:type="dxa"/>
            <w:tcBorders>
              <w:top w:val="nil"/>
              <w:left w:val="nil"/>
              <w:bottom w:val="nil"/>
              <w:right w:val="nil"/>
            </w:tcBorders>
          </w:tcPr>
          <w:p w14:paraId="235F4130" w14:textId="555E5BCD" w:rsidR="009B2F5A" w:rsidRPr="006F09D5" w:rsidRDefault="0053484E">
            <w:pPr>
              <w:pStyle w:val="VBALMS"/>
              <w:rPr>
                <w:color w:val="auto"/>
              </w:rPr>
            </w:pPr>
            <w:r>
              <w:rPr>
                <w:color w:val="auto"/>
              </w:rPr>
              <w:t>4186156</w:t>
            </w:r>
          </w:p>
        </w:tc>
      </w:tr>
      <w:tr w:rsidR="006F09D5" w:rsidRPr="006F09D5" w14:paraId="235F4134" w14:textId="77777777">
        <w:trPr>
          <w:trHeight w:val="1296"/>
        </w:trPr>
        <w:tc>
          <w:tcPr>
            <w:tcW w:w="2348" w:type="dxa"/>
            <w:tcBorders>
              <w:top w:val="nil"/>
              <w:left w:val="nil"/>
              <w:bottom w:val="nil"/>
              <w:right w:val="nil"/>
            </w:tcBorders>
          </w:tcPr>
          <w:p w14:paraId="235F4132" w14:textId="77777777" w:rsidR="009B2F5A" w:rsidRPr="006F09D5" w:rsidRDefault="009B2F5A">
            <w:pPr>
              <w:pStyle w:val="VBALevel1Heading"/>
            </w:pPr>
            <w:bookmarkStart w:id="8" w:name="_Toc269888397"/>
            <w:bookmarkStart w:id="9" w:name="_Toc269888740"/>
            <w:r w:rsidRPr="006F09D5">
              <w:t>Prerequisites</w:t>
            </w:r>
            <w:bookmarkEnd w:id="8"/>
            <w:bookmarkEnd w:id="9"/>
          </w:p>
        </w:tc>
        <w:tc>
          <w:tcPr>
            <w:tcW w:w="7224" w:type="dxa"/>
            <w:tcBorders>
              <w:top w:val="nil"/>
              <w:left w:val="nil"/>
              <w:bottom w:val="nil"/>
              <w:right w:val="nil"/>
            </w:tcBorders>
          </w:tcPr>
          <w:p w14:paraId="235F4133" w14:textId="657A9759" w:rsidR="009B2F5A" w:rsidRPr="006F09D5" w:rsidRDefault="00990C21">
            <w:pPr>
              <w:pStyle w:val="VBABodyText"/>
              <w:rPr>
                <w:b/>
                <w:color w:val="auto"/>
                <w:sz w:val="36"/>
                <w:szCs w:val="36"/>
              </w:rPr>
            </w:pPr>
            <w:r w:rsidRPr="006F09D5">
              <w:rPr>
                <w:color w:val="auto"/>
              </w:rPr>
              <w:t>None</w:t>
            </w:r>
          </w:p>
        </w:tc>
      </w:tr>
      <w:tr w:rsidR="006F09D5" w:rsidRPr="006F09D5" w14:paraId="235F4138" w14:textId="77777777">
        <w:trPr>
          <w:trHeight w:val="1296"/>
        </w:trPr>
        <w:tc>
          <w:tcPr>
            <w:tcW w:w="2348" w:type="dxa"/>
            <w:tcBorders>
              <w:top w:val="nil"/>
              <w:left w:val="nil"/>
              <w:bottom w:val="nil"/>
              <w:right w:val="nil"/>
            </w:tcBorders>
          </w:tcPr>
          <w:p w14:paraId="235F4135" w14:textId="77777777" w:rsidR="009B2F5A" w:rsidRPr="006F09D5" w:rsidRDefault="009B2F5A">
            <w:pPr>
              <w:pStyle w:val="VBALevel1Heading"/>
            </w:pPr>
            <w:r w:rsidRPr="006F09D5">
              <w:t>target audience</w:t>
            </w:r>
          </w:p>
        </w:tc>
        <w:tc>
          <w:tcPr>
            <w:tcW w:w="7224" w:type="dxa"/>
            <w:tcBorders>
              <w:top w:val="nil"/>
              <w:left w:val="nil"/>
              <w:bottom w:val="nil"/>
              <w:right w:val="nil"/>
            </w:tcBorders>
          </w:tcPr>
          <w:p w14:paraId="235F4137" w14:textId="2A4077DE" w:rsidR="009B2F5A" w:rsidRPr="006F09D5" w:rsidRDefault="009B2F5A">
            <w:pPr>
              <w:pStyle w:val="VBABodyText"/>
              <w:rPr>
                <w:iCs/>
                <w:color w:val="auto"/>
              </w:rPr>
            </w:pPr>
            <w:r w:rsidRPr="006F09D5">
              <w:rPr>
                <w:color w:val="auto"/>
              </w:rPr>
              <w:t xml:space="preserve">The target audience for </w:t>
            </w:r>
            <w:r w:rsidR="00990C21" w:rsidRPr="006F09D5">
              <w:rPr>
                <w:iCs/>
                <w:color w:val="auto"/>
              </w:rPr>
              <w:t>Auditory Disorders</w:t>
            </w:r>
            <w:r w:rsidRPr="006F09D5">
              <w:rPr>
                <w:iCs/>
                <w:color w:val="auto"/>
              </w:rPr>
              <w:t xml:space="preserve"> is </w:t>
            </w:r>
            <w:r w:rsidR="00990C21" w:rsidRPr="006F09D5">
              <w:rPr>
                <w:iCs/>
                <w:color w:val="auto"/>
              </w:rPr>
              <w:t>RVSR’s in IWT</w:t>
            </w:r>
            <w:r w:rsidRPr="006F09D5">
              <w:rPr>
                <w:iCs/>
                <w:color w:val="auto"/>
              </w:rPr>
              <w:t>.</w:t>
            </w:r>
          </w:p>
        </w:tc>
      </w:tr>
      <w:tr w:rsidR="006F09D5" w:rsidRPr="006F09D5" w14:paraId="235F413B" w14:textId="77777777">
        <w:trPr>
          <w:trHeight w:val="80"/>
        </w:trPr>
        <w:tc>
          <w:tcPr>
            <w:tcW w:w="2348" w:type="dxa"/>
            <w:tcBorders>
              <w:top w:val="nil"/>
              <w:left w:val="nil"/>
              <w:bottom w:val="nil"/>
              <w:right w:val="nil"/>
            </w:tcBorders>
          </w:tcPr>
          <w:p w14:paraId="235F4139" w14:textId="77777777" w:rsidR="009B2F5A" w:rsidRPr="006F09D5" w:rsidRDefault="009B2F5A">
            <w:pPr>
              <w:pStyle w:val="VBALevel1Heading"/>
            </w:pPr>
            <w:bookmarkStart w:id="10" w:name="_Toc269888398"/>
            <w:bookmarkStart w:id="11" w:name="_Toc269888741"/>
            <w:r w:rsidRPr="006F09D5">
              <w:t>Time Required</w:t>
            </w:r>
            <w:bookmarkEnd w:id="10"/>
            <w:bookmarkEnd w:id="11"/>
          </w:p>
        </w:tc>
        <w:tc>
          <w:tcPr>
            <w:tcW w:w="7224" w:type="dxa"/>
            <w:tcBorders>
              <w:top w:val="nil"/>
              <w:left w:val="nil"/>
              <w:bottom w:val="nil"/>
              <w:right w:val="nil"/>
            </w:tcBorders>
          </w:tcPr>
          <w:p w14:paraId="235F413A" w14:textId="68401AC2" w:rsidR="009B2F5A" w:rsidRPr="006F09D5" w:rsidRDefault="00990C21">
            <w:pPr>
              <w:pStyle w:val="VBATimeReq"/>
              <w:rPr>
                <w:color w:val="auto"/>
              </w:rPr>
            </w:pPr>
            <w:r w:rsidRPr="006F09D5">
              <w:rPr>
                <w:color w:val="auto"/>
              </w:rPr>
              <w:t>1.5</w:t>
            </w:r>
            <w:r w:rsidR="009B2F5A" w:rsidRPr="006F09D5">
              <w:rPr>
                <w:color w:val="auto"/>
              </w:rPr>
              <w:t xml:space="preserve"> hour</w:t>
            </w:r>
            <w:r w:rsidRPr="006F09D5">
              <w:rPr>
                <w:color w:val="auto"/>
              </w:rPr>
              <w:t>s</w:t>
            </w:r>
          </w:p>
        </w:tc>
      </w:tr>
      <w:tr w:rsidR="006F09D5" w:rsidRPr="006F09D5" w14:paraId="235F4142" w14:textId="77777777">
        <w:trPr>
          <w:trHeight w:val="80"/>
        </w:trPr>
        <w:tc>
          <w:tcPr>
            <w:tcW w:w="2348" w:type="dxa"/>
            <w:tcBorders>
              <w:top w:val="nil"/>
              <w:left w:val="nil"/>
              <w:bottom w:val="nil"/>
              <w:right w:val="nil"/>
            </w:tcBorders>
          </w:tcPr>
          <w:p w14:paraId="235F413C" w14:textId="77777777" w:rsidR="009B2F5A" w:rsidRPr="006F09D5" w:rsidRDefault="009B2F5A">
            <w:pPr>
              <w:pStyle w:val="VBALevel1Heading"/>
            </w:pPr>
            <w:bookmarkStart w:id="12" w:name="_Toc269888399"/>
            <w:bookmarkStart w:id="13" w:name="_Toc269888742"/>
            <w:r w:rsidRPr="006F09D5">
              <w:t>Materials/</w:t>
            </w:r>
            <w:r w:rsidRPr="006F09D5">
              <w:br/>
              <w:t>TRAINING AIDS</w:t>
            </w:r>
            <w:bookmarkEnd w:id="12"/>
            <w:bookmarkEnd w:id="13"/>
          </w:p>
        </w:tc>
        <w:tc>
          <w:tcPr>
            <w:tcW w:w="7224" w:type="dxa"/>
            <w:tcBorders>
              <w:top w:val="nil"/>
              <w:left w:val="nil"/>
              <w:bottom w:val="nil"/>
              <w:right w:val="nil"/>
            </w:tcBorders>
          </w:tcPr>
          <w:p w14:paraId="235F413D" w14:textId="77777777" w:rsidR="009B2F5A" w:rsidRPr="006F09D5" w:rsidRDefault="009B2F5A">
            <w:pPr>
              <w:pStyle w:val="VBABodyText"/>
              <w:rPr>
                <w:color w:val="auto"/>
              </w:rPr>
            </w:pPr>
            <w:r w:rsidRPr="006F09D5">
              <w:rPr>
                <w:color w:val="auto"/>
              </w:rPr>
              <w:t>Lesson materials:</w:t>
            </w:r>
          </w:p>
          <w:p w14:paraId="235F413E" w14:textId="1D1E9226" w:rsidR="009B2F5A" w:rsidRPr="006F09D5" w:rsidRDefault="005A52C4">
            <w:pPr>
              <w:pStyle w:val="VBAFirstLevelBullet"/>
            </w:pPr>
            <w:r w:rsidRPr="006F09D5">
              <w:rPr>
                <w:b/>
                <w:iCs/>
              </w:rPr>
              <w:t>Auditory Disorders</w:t>
            </w:r>
            <w:r w:rsidR="009B2F5A" w:rsidRPr="006F09D5">
              <w:rPr>
                <w:iCs/>
              </w:rPr>
              <w:t xml:space="preserve"> </w:t>
            </w:r>
            <w:r w:rsidR="009B2F5A" w:rsidRPr="006F09D5">
              <w:t>PowerPoint Presentation</w:t>
            </w:r>
          </w:p>
          <w:p w14:paraId="235F413F" w14:textId="5032949D" w:rsidR="009B2F5A" w:rsidRPr="006F09D5" w:rsidRDefault="005A52C4">
            <w:pPr>
              <w:pStyle w:val="VBAFirstLevelBullet"/>
            </w:pPr>
            <w:r w:rsidRPr="006F09D5">
              <w:rPr>
                <w:b/>
                <w:iCs/>
              </w:rPr>
              <w:t>Auditory Disorders</w:t>
            </w:r>
            <w:r w:rsidRPr="006F09D5">
              <w:rPr>
                <w:iCs/>
              </w:rPr>
              <w:t xml:space="preserve"> </w:t>
            </w:r>
            <w:r w:rsidR="009B2F5A" w:rsidRPr="006F09D5">
              <w:t>Trainee Handouts</w:t>
            </w:r>
          </w:p>
          <w:p w14:paraId="235F4141" w14:textId="3D3A323F" w:rsidR="009B2F5A" w:rsidRPr="006F09D5" w:rsidRDefault="005A52C4">
            <w:pPr>
              <w:pStyle w:val="VBAFirstLevelBullet"/>
            </w:pPr>
            <w:r w:rsidRPr="006F09D5">
              <w:rPr>
                <w:b/>
                <w:iCs/>
              </w:rPr>
              <w:t>Auditory Disorders Excercises</w:t>
            </w:r>
          </w:p>
        </w:tc>
      </w:tr>
      <w:tr w:rsidR="006F09D5" w:rsidRPr="006F09D5" w14:paraId="235F4150" w14:textId="77777777">
        <w:trPr>
          <w:trHeight w:val="80"/>
        </w:trPr>
        <w:tc>
          <w:tcPr>
            <w:tcW w:w="2348" w:type="dxa"/>
            <w:tcBorders>
              <w:top w:val="nil"/>
              <w:left w:val="nil"/>
              <w:bottom w:val="nil"/>
              <w:right w:val="nil"/>
            </w:tcBorders>
          </w:tcPr>
          <w:p w14:paraId="235F4143" w14:textId="77777777" w:rsidR="009B2F5A" w:rsidRPr="006F09D5" w:rsidRDefault="009B2F5A">
            <w:pPr>
              <w:pStyle w:val="VBALevel1Heading"/>
            </w:pPr>
            <w:r w:rsidRPr="006F09D5">
              <w:t xml:space="preserve">Training Area/Tools </w:t>
            </w:r>
          </w:p>
        </w:tc>
        <w:tc>
          <w:tcPr>
            <w:tcW w:w="7224" w:type="dxa"/>
            <w:tcBorders>
              <w:top w:val="nil"/>
              <w:left w:val="nil"/>
              <w:bottom w:val="nil"/>
              <w:right w:val="nil"/>
            </w:tcBorders>
          </w:tcPr>
          <w:p w14:paraId="235F4144" w14:textId="77777777" w:rsidR="009B2F5A" w:rsidRPr="006F09D5" w:rsidRDefault="009B2F5A">
            <w:pPr>
              <w:pStyle w:val="VBABodyText"/>
              <w:rPr>
                <w:color w:val="auto"/>
              </w:rPr>
            </w:pPr>
            <w:r w:rsidRPr="006F09D5">
              <w:rPr>
                <w:color w:val="auto"/>
              </w:rPr>
              <w:t xml:space="preserve">The following are required to ensure the trainees are able to meet the lesson objectives: </w:t>
            </w:r>
          </w:p>
          <w:p w14:paraId="235F4145" w14:textId="77777777" w:rsidR="009B2F5A" w:rsidRPr="006F09D5" w:rsidRDefault="009B2F5A">
            <w:pPr>
              <w:pStyle w:val="VBAFirstLevelBullet"/>
            </w:pPr>
            <w:r w:rsidRPr="006F09D5">
              <w:t>Classroom or private area suitable for participatory discussions</w:t>
            </w:r>
          </w:p>
          <w:p w14:paraId="235F4146" w14:textId="77777777" w:rsidR="009B2F5A" w:rsidRPr="006F09D5" w:rsidRDefault="009B2F5A">
            <w:pPr>
              <w:pStyle w:val="VBAFirstLevelBullet"/>
            </w:pPr>
            <w:r w:rsidRPr="006F09D5">
              <w:t xml:space="preserve">Seating, writing materials, and writing surfaces for trainee note taking and participation </w:t>
            </w:r>
          </w:p>
          <w:p w14:paraId="235F4147" w14:textId="77777777" w:rsidR="009B2F5A" w:rsidRPr="006F09D5" w:rsidRDefault="009B2F5A">
            <w:pPr>
              <w:pStyle w:val="VBAFirstLevelBullet"/>
            </w:pPr>
            <w:r w:rsidRPr="006F09D5">
              <w:t>Handouts, which include a practical exercise</w:t>
            </w:r>
          </w:p>
          <w:p w14:paraId="235F4148" w14:textId="77777777" w:rsidR="009B2F5A" w:rsidRPr="006F09D5" w:rsidRDefault="009B2F5A">
            <w:pPr>
              <w:pStyle w:val="VBAFirstLevelBullet"/>
            </w:pPr>
            <w:r w:rsidRPr="006F09D5">
              <w:t>Large writing surface (easel pad, chalkboard, dry erase board, overhead projector, etc.) with appropriate writing materials</w:t>
            </w:r>
          </w:p>
          <w:p w14:paraId="235F4149" w14:textId="77777777" w:rsidR="009B2F5A" w:rsidRPr="006F09D5" w:rsidRDefault="009B2F5A">
            <w:pPr>
              <w:pStyle w:val="VBAFirstLevelBullet"/>
            </w:pPr>
            <w:r w:rsidRPr="006F09D5">
              <w:t>Computer with PowerPoint software to present the lesson material</w:t>
            </w:r>
          </w:p>
          <w:p w14:paraId="235F414A" w14:textId="77777777" w:rsidR="009B2F5A" w:rsidRPr="006F09D5" w:rsidRDefault="009B2F5A">
            <w:pPr>
              <w:pStyle w:val="VBABodyText"/>
              <w:rPr>
                <w:color w:val="auto"/>
              </w:rPr>
            </w:pPr>
            <w:r w:rsidRPr="006F09D5">
              <w:rPr>
                <w:color w:val="auto"/>
              </w:rPr>
              <w:t xml:space="preserve">Trainees require access to the following tools: </w:t>
            </w:r>
          </w:p>
          <w:p w14:paraId="718B7F1C" w14:textId="77777777" w:rsidR="005A52C4" w:rsidRPr="006F09D5" w:rsidRDefault="005A52C4" w:rsidP="005A52C4">
            <w:pPr>
              <w:pStyle w:val="VBAFirstLevelBullet"/>
            </w:pPr>
            <w:r w:rsidRPr="006F09D5">
              <w:rPr>
                <w:b/>
                <w:iCs/>
              </w:rPr>
              <w:t>Auditory Disorders</w:t>
            </w:r>
            <w:r w:rsidRPr="006F09D5">
              <w:rPr>
                <w:iCs/>
              </w:rPr>
              <w:t xml:space="preserve"> </w:t>
            </w:r>
            <w:r w:rsidRPr="006F09D5">
              <w:t>PowerPoint Presentation</w:t>
            </w:r>
          </w:p>
          <w:p w14:paraId="0F9846B1" w14:textId="77777777" w:rsidR="005A52C4" w:rsidRPr="006F09D5" w:rsidRDefault="005A52C4" w:rsidP="005A52C4">
            <w:pPr>
              <w:pStyle w:val="VBAFirstLevelBullet"/>
            </w:pPr>
            <w:r w:rsidRPr="006F09D5">
              <w:rPr>
                <w:b/>
                <w:iCs/>
              </w:rPr>
              <w:t>Auditory Disorders</w:t>
            </w:r>
            <w:r w:rsidRPr="006F09D5">
              <w:rPr>
                <w:iCs/>
              </w:rPr>
              <w:t xml:space="preserve"> </w:t>
            </w:r>
            <w:r w:rsidRPr="006F09D5">
              <w:t>Trainee Handouts</w:t>
            </w:r>
          </w:p>
          <w:p w14:paraId="235F414F" w14:textId="5FDCAEF8" w:rsidR="009B2F5A" w:rsidRPr="006F09D5" w:rsidRDefault="005A52C4" w:rsidP="005A52C4">
            <w:pPr>
              <w:pStyle w:val="VBAFirstLevelBullet"/>
            </w:pPr>
            <w:r w:rsidRPr="006F09D5">
              <w:rPr>
                <w:b/>
                <w:iCs/>
              </w:rPr>
              <w:t>Auditory Disorders Excercises</w:t>
            </w:r>
          </w:p>
        </w:tc>
      </w:tr>
      <w:tr w:rsidR="006F09D5" w:rsidRPr="006F09D5" w14:paraId="235F415B" w14:textId="77777777">
        <w:trPr>
          <w:trHeight w:val="80"/>
        </w:trPr>
        <w:tc>
          <w:tcPr>
            <w:tcW w:w="2348" w:type="dxa"/>
            <w:tcBorders>
              <w:top w:val="nil"/>
              <w:left w:val="nil"/>
              <w:bottom w:val="nil"/>
              <w:right w:val="nil"/>
            </w:tcBorders>
          </w:tcPr>
          <w:p w14:paraId="235F4151" w14:textId="77777777" w:rsidR="009B2F5A" w:rsidRPr="006F09D5" w:rsidRDefault="009B2F5A">
            <w:pPr>
              <w:pStyle w:val="VBALevel1Heading"/>
            </w:pPr>
            <w:r w:rsidRPr="006F09D5">
              <w:t xml:space="preserve">Pre-Planning </w:t>
            </w:r>
          </w:p>
          <w:p w14:paraId="235F4152" w14:textId="77777777" w:rsidR="009B2F5A" w:rsidRPr="006F09D5"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6F09D5"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rsidRPr="006F09D5">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6F09D5" w:rsidRDefault="009B2F5A">
            <w:pPr>
              <w:pStyle w:val="VBABulletList"/>
            </w:pPr>
            <w:r w:rsidRPr="006F09D5">
              <w:lastRenderedPageBreak/>
              <w:t xml:space="preserve">Become familiar with the content of the trainee handouts and their association to the Lesson Plan. </w:t>
            </w:r>
          </w:p>
          <w:p w14:paraId="235F4155" w14:textId="77777777" w:rsidR="009B2F5A" w:rsidRPr="006F09D5" w:rsidRDefault="009B2F5A">
            <w:pPr>
              <w:pStyle w:val="VBABulletList"/>
            </w:pPr>
            <w:r w:rsidRPr="006F09D5">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Pr="006F09D5" w:rsidRDefault="009B2F5A">
            <w:pPr>
              <w:pStyle w:val="VBABulletList"/>
            </w:pPr>
            <w:r w:rsidRPr="006F09D5">
              <w:t>Ensure that there are copies of all handouts before the training session.</w:t>
            </w:r>
          </w:p>
          <w:p w14:paraId="235F4157" w14:textId="77777777" w:rsidR="009B2F5A" w:rsidRPr="006F09D5" w:rsidRDefault="009B2F5A">
            <w:pPr>
              <w:pStyle w:val="VBABulletList"/>
            </w:pPr>
            <w:r w:rsidRPr="006F09D5">
              <w:t>When required, reserve the training room.</w:t>
            </w:r>
          </w:p>
          <w:p w14:paraId="235F4158" w14:textId="77777777" w:rsidR="009B2F5A" w:rsidRPr="006F09D5" w:rsidRDefault="009B2F5A">
            <w:pPr>
              <w:pStyle w:val="VBABulletList"/>
            </w:pPr>
            <w:r w:rsidRPr="006F09D5">
              <w:t>Arrange for equipment such as flip charts, an overhead projector, and any other equipment (as needed).</w:t>
            </w:r>
          </w:p>
          <w:p w14:paraId="235F4159" w14:textId="77777777" w:rsidR="009B2F5A" w:rsidRPr="006F09D5" w:rsidRDefault="009B2F5A">
            <w:pPr>
              <w:pStyle w:val="VBABulletList"/>
            </w:pPr>
            <w:r w:rsidRPr="006F09D5">
              <w:t xml:space="preserve">Talk to people in your office who are most familiar with this topic to collect experiences that you can include as examples in the lesson. </w:t>
            </w:r>
          </w:p>
          <w:p w14:paraId="235F415A" w14:textId="77777777" w:rsidR="009B2F5A" w:rsidRPr="006F09D5" w:rsidRDefault="009B2F5A">
            <w:pPr>
              <w:pStyle w:val="VBABulletList"/>
            </w:pPr>
            <w:r w:rsidRPr="006F09D5">
              <w:t xml:space="preserve">This lesson plan belongs to you. Feel free to highlight headings, key phrases, or other information to help the instruction flow smoothly. Feel free to add any notes or information that you need in the margins. </w:t>
            </w:r>
          </w:p>
        </w:tc>
      </w:tr>
      <w:tr w:rsidR="009B2F5A" w:rsidRPr="006F09D5" w14:paraId="235F4164" w14:textId="77777777">
        <w:trPr>
          <w:trHeight w:val="80"/>
        </w:trPr>
        <w:tc>
          <w:tcPr>
            <w:tcW w:w="2348" w:type="dxa"/>
            <w:tcBorders>
              <w:top w:val="nil"/>
              <w:left w:val="nil"/>
              <w:bottom w:val="nil"/>
              <w:right w:val="nil"/>
            </w:tcBorders>
          </w:tcPr>
          <w:p w14:paraId="235F415C" w14:textId="77777777" w:rsidR="009B2F5A" w:rsidRPr="006F09D5" w:rsidRDefault="009B2F5A">
            <w:pPr>
              <w:pStyle w:val="VBALevel1Heading"/>
            </w:pPr>
            <w:r w:rsidRPr="006F09D5">
              <w:lastRenderedPageBreak/>
              <w:t xml:space="preserve">Training Day </w:t>
            </w:r>
          </w:p>
          <w:p w14:paraId="235F415D" w14:textId="77777777" w:rsidR="009B2F5A" w:rsidRPr="006F09D5"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6F09D5" w:rsidRDefault="009B2F5A">
            <w:pPr>
              <w:pStyle w:val="VBABulletList"/>
            </w:pPr>
            <w:r w:rsidRPr="006F09D5">
              <w:t xml:space="preserve">Arrive as early as possible to ensure access to the facility and computers. </w:t>
            </w:r>
          </w:p>
          <w:p w14:paraId="235F415F" w14:textId="77777777" w:rsidR="009B2F5A" w:rsidRPr="006F09D5" w:rsidRDefault="009B2F5A">
            <w:pPr>
              <w:pStyle w:val="VBABulletList"/>
            </w:pPr>
            <w:r w:rsidRPr="006F09D5">
              <w:t xml:space="preserve">Become familiar with the location of restrooms and other facilities that the trainees will require. </w:t>
            </w:r>
          </w:p>
          <w:p w14:paraId="235F4160" w14:textId="77777777" w:rsidR="009B2F5A" w:rsidRPr="006F09D5" w:rsidRDefault="009B2F5A">
            <w:pPr>
              <w:pStyle w:val="VBABulletList"/>
            </w:pPr>
            <w:r w:rsidRPr="006F09D5">
              <w:t xml:space="preserve">Test the computer and projector to ensure they are working properly. </w:t>
            </w:r>
          </w:p>
          <w:p w14:paraId="235F4161" w14:textId="77777777" w:rsidR="009B2F5A" w:rsidRPr="006F09D5" w:rsidRDefault="009B2F5A">
            <w:pPr>
              <w:pStyle w:val="VBABulletList"/>
            </w:pPr>
            <w:r w:rsidRPr="006F09D5">
              <w:t xml:space="preserve">Before class begins, open the PowerPoint presentation to the first slide. This will help to ensure the presentation is functioning properly. </w:t>
            </w:r>
          </w:p>
          <w:p w14:paraId="235F4162" w14:textId="77777777" w:rsidR="009B2F5A" w:rsidRPr="006F09D5" w:rsidRDefault="009B2F5A">
            <w:pPr>
              <w:pStyle w:val="VBABulletList"/>
            </w:pPr>
            <w:r w:rsidRPr="006F09D5">
              <w:t>Make sure that a whiteboard or flip chart and the associated markers are available.</w:t>
            </w:r>
          </w:p>
          <w:p w14:paraId="235F4163" w14:textId="1AE044F5" w:rsidR="009B2F5A" w:rsidRPr="006F09D5" w:rsidRDefault="00B71A72">
            <w:pPr>
              <w:pStyle w:val="VBABulletList"/>
            </w:pPr>
            <w:r w:rsidRPr="006F09D5">
              <w:t>The instructor completes a roll call attendance sheet or provides a sign-in sheet to the students</w:t>
            </w:r>
            <w:r w:rsidR="009B2F5A" w:rsidRPr="006F09D5">
              <w:t>.</w:t>
            </w:r>
            <w:r w:rsidRPr="006F09D5">
              <w:t xml:space="preserve"> The attendance records are forwarded to the Regional Office Training Managers.</w:t>
            </w:r>
            <w:r w:rsidR="009B2F5A" w:rsidRPr="006F09D5">
              <w:t xml:space="preserve"> </w:t>
            </w:r>
          </w:p>
        </w:tc>
      </w:tr>
    </w:tbl>
    <w:p w14:paraId="235F4165" w14:textId="77777777" w:rsidR="009B2F5A" w:rsidRPr="006F09D5" w:rsidRDefault="009B2F5A">
      <w:pPr>
        <w:spacing w:before="60" w:after="60"/>
      </w:pPr>
    </w:p>
    <w:p w14:paraId="235F4166" w14:textId="77777777" w:rsidR="009B2F5A" w:rsidRPr="006F09D5" w:rsidRDefault="009B2F5A">
      <w:pPr>
        <w:pStyle w:val="Heading1"/>
      </w:pPr>
      <w:r w:rsidRPr="006F09D5">
        <w:br w:type="page"/>
      </w:r>
    </w:p>
    <w:p w14:paraId="235F4167" w14:textId="77777777" w:rsidR="009B2F5A" w:rsidRPr="006F09D5"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6F09D5" w:rsidRPr="006F09D5" w14:paraId="235F4169" w14:textId="77777777">
        <w:trPr>
          <w:trHeight w:val="630"/>
        </w:trPr>
        <w:tc>
          <w:tcPr>
            <w:tcW w:w="9752" w:type="dxa"/>
            <w:gridSpan w:val="3"/>
            <w:tcBorders>
              <w:top w:val="nil"/>
              <w:left w:val="nil"/>
              <w:bottom w:val="nil"/>
              <w:right w:val="nil"/>
            </w:tcBorders>
            <w:vAlign w:val="center"/>
          </w:tcPr>
          <w:p w14:paraId="235F4168" w14:textId="1FAA34C9" w:rsidR="009B2F5A" w:rsidRPr="006F09D5" w:rsidRDefault="009B2F5A" w:rsidP="001F14BE">
            <w:pPr>
              <w:pStyle w:val="VBALessonTopicTitle"/>
              <w:rPr>
                <w:color w:val="auto"/>
              </w:rPr>
            </w:pPr>
            <w:bookmarkStart w:id="21" w:name="_Toc453835093"/>
            <w:r w:rsidRPr="006F09D5">
              <w:rPr>
                <w:color w:val="auto"/>
              </w:rPr>
              <w:t xml:space="preserve">Introduction to </w:t>
            </w:r>
            <w:r w:rsidR="001F14BE" w:rsidRPr="006F09D5">
              <w:rPr>
                <w:color w:val="auto"/>
              </w:rPr>
              <w:t>Auditory Disorders</w:t>
            </w:r>
            <w:bookmarkEnd w:id="21"/>
          </w:p>
        </w:tc>
      </w:tr>
      <w:tr w:rsidR="006F09D5" w:rsidRPr="006F09D5" w14:paraId="235F416F" w14:textId="77777777">
        <w:trPr>
          <w:trHeight w:val="1003"/>
        </w:trPr>
        <w:tc>
          <w:tcPr>
            <w:tcW w:w="2528" w:type="dxa"/>
            <w:gridSpan w:val="2"/>
            <w:tcBorders>
              <w:top w:val="nil"/>
              <w:left w:val="nil"/>
              <w:bottom w:val="nil"/>
              <w:right w:val="nil"/>
            </w:tcBorders>
          </w:tcPr>
          <w:p w14:paraId="235F416A" w14:textId="77777777" w:rsidR="009B2F5A" w:rsidRPr="006F09D5" w:rsidRDefault="009B2F5A">
            <w:pPr>
              <w:pStyle w:val="VBALevel1Heading"/>
            </w:pPr>
            <w:r w:rsidRPr="006F09D5">
              <w:t>INSTRUCTOR INTRODUCTION</w:t>
            </w:r>
          </w:p>
        </w:tc>
        <w:tc>
          <w:tcPr>
            <w:tcW w:w="7224" w:type="dxa"/>
            <w:tcBorders>
              <w:top w:val="nil"/>
              <w:left w:val="nil"/>
              <w:bottom w:val="nil"/>
              <w:right w:val="nil"/>
            </w:tcBorders>
          </w:tcPr>
          <w:p w14:paraId="235F416B" w14:textId="77777777" w:rsidR="009B2F5A" w:rsidRPr="006F09D5" w:rsidRDefault="009B2F5A">
            <w:pPr>
              <w:pStyle w:val="VBABodyText"/>
              <w:rPr>
                <w:color w:val="auto"/>
              </w:rPr>
            </w:pPr>
            <w:r w:rsidRPr="006F09D5">
              <w:rPr>
                <w:color w:val="auto"/>
              </w:rPr>
              <w:t>Complete the following:</w:t>
            </w:r>
          </w:p>
          <w:p w14:paraId="235F416C" w14:textId="77777777" w:rsidR="009B2F5A" w:rsidRPr="006F09D5" w:rsidRDefault="009B2F5A">
            <w:pPr>
              <w:pStyle w:val="VBAFirstLevelBullet"/>
            </w:pPr>
            <w:r w:rsidRPr="006F09D5">
              <w:t>Introduce yourself</w:t>
            </w:r>
          </w:p>
          <w:p w14:paraId="235F416D" w14:textId="77777777" w:rsidR="009B2F5A" w:rsidRPr="006F09D5" w:rsidRDefault="009B2F5A">
            <w:pPr>
              <w:pStyle w:val="VBAFirstLevelBullet"/>
            </w:pPr>
            <w:r w:rsidRPr="006F09D5">
              <w:t>Orient learners to the facilities</w:t>
            </w:r>
          </w:p>
          <w:p w14:paraId="235F416E" w14:textId="77777777" w:rsidR="009B2F5A" w:rsidRPr="006F09D5" w:rsidRDefault="009B2F5A">
            <w:pPr>
              <w:pStyle w:val="VBAFirstLevelBullet"/>
            </w:pPr>
            <w:r w:rsidRPr="006F09D5">
              <w:t>Ensure that all learners have the required handouts</w:t>
            </w:r>
          </w:p>
        </w:tc>
      </w:tr>
      <w:tr w:rsidR="006F09D5" w:rsidRPr="006F09D5" w14:paraId="235F4172" w14:textId="77777777">
        <w:trPr>
          <w:trHeight w:val="639"/>
        </w:trPr>
        <w:tc>
          <w:tcPr>
            <w:tcW w:w="2528" w:type="dxa"/>
            <w:gridSpan w:val="2"/>
            <w:tcBorders>
              <w:top w:val="nil"/>
              <w:left w:val="nil"/>
              <w:bottom w:val="nil"/>
              <w:right w:val="nil"/>
            </w:tcBorders>
          </w:tcPr>
          <w:p w14:paraId="235F4170" w14:textId="77777777" w:rsidR="009B2F5A" w:rsidRPr="006F09D5" w:rsidRDefault="009B2F5A">
            <w:pPr>
              <w:pStyle w:val="VBALevel1Heading"/>
              <w:spacing w:after="120"/>
            </w:pPr>
            <w:r w:rsidRPr="006F09D5">
              <w:t>time required</w:t>
            </w:r>
          </w:p>
        </w:tc>
        <w:tc>
          <w:tcPr>
            <w:tcW w:w="7224" w:type="dxa"/>
            <w:tcBorders>
              <w:top w:val="nil"/>
              <w:left w:val="nil"/>
              <w:bottom w:val="nil"/>
              <w:right w:val="nil"/>
            </w:tcBorders>
          </w:tcPr>
          <w:p w14:paraId="235F4171" w14:textId="7B385130" w:rsidR="009B2F5A" w:rsidRPr="006F09D5" w:rsidRDefault="001F14BE">
            <w:pPr>
              <w:pStyle w:val="VBATimeReq"/>
              <w:spacing w:after="120"/>
              <w:rPr>
                <w:color w:val="auto"/>
              </w:rPr>
            </w:pPr>
            <w:r w:rsidRPr="006F09D5">
              <w:rPr>
                <w:color w:val="auto"/>
              </w:rPr>
              <w:t xml:space="preserve">1.5 </w:t>
            </w:r>
            <w:r w:rsidR="009B2F5A" w:rsidRPr="006F09D5">
              <w:rPr>
                <w:color w:val="auto"/>
              </w:rPr>
              <w:t>hours</w:t>
            </w:r>
          </w:p>
        </w:tc>
      </w:tr>
      <w:tr w:rsidR="006F09D5" w:rsidRPr="006F09D5" w14:paraId="235F417A" w14:textId="77777777">
        <w:trPr>
          <w:trHeight w:val="1075"/>
        </w:trPr>
        <w:tc>
          <w:tcPr>
            <w:tcW w:w="2528" w:type="dxa"/>
            <w:gridSpan w:val="2"/>
            <w:tcBorders>
              <w:top w:val="nil"/>
              <w:left w:val="nil"/>
              <w:bottom w:val="nil"/>
              <w:right w:val="nil"/>
            </w:tcBorders>
          </w:tcPr>
          <w:p w14:paraId="235F4173" w14:textId="77777777" w:rsidR="009B2F5A" w:rsidRPr="006F09D5" w:rsidRDefault="009B2F5A">
            <w:pPr>
              <w:pStyle w:val="VBALevel1Heading"/>
            </w:pPr>
            <w:bookmarkStart w:id="22" w:name="_Toc269888401"/>
            <w:bookmarkStart w:id="23" w:name="_Toc269888744"/>
            <w:r w:rsidRPr="006F09D5">
              <w:t>Purpose of Lesson</w:t>
            </w:r>
            <w:bookmarkEnd w:id="22"/>
            <w:bookmarkEnd w:id="23"/>
          </w:p>
          <w:p w14:paraId="235F4175" w14:textId="1FF49BFE" w:rsidR="009B2F5A" w:rsidRPr="0053484E" w:rsidRDefault="009B2F5A" w:rsidP="0053484E">
            <w:pPr>
              <w:pStyle w:val="VBAInstructorExplanation"/>
              <w:rPr>
                <w:b/>
                <w:bCs/>
                <w:color w:val="auto"/>
              </w:rPr>
            </w:pPr>
            <w:r w:rsidRPr="006F09D5">
              <w:rPr>
                <w:color w:val="auto"/>
              </w:rPr>
              <w:t>Explain the following:</w:t>
            </w:r>
          </w:p>
        </w:tc>
        <w:tc>
          <w:tcPr>
            <w:tcW w:w="7224" w:type="dxa"/>
            <w:tcBorders>
              <w:top w:val="nil"/>
              <w:left w:val="nil"/>
              <w:bottom w:val="nil"/>
              <w:right w:val="nil"/>
            </w:tcBorders>
          </w:tcPr>
          <w:p w14:paraId="6EDD1687" w14:textId="77777777" w:rsidR="001F14BE" w:rsidRPr="006F09D5" w:rsidRDefault="009B2F5A" w:rsidP="001F14BE">
            <w:pPr>
              <w:pStyle w:val="VBABodyText"/>
              <w:rPr>
                <w:color w:val="auto"/>
              </w:rPr>
            </w:pPr>
            <w:r w:rsidRPr="006F09D5">
              <w:rPr>
                <w:color w:val="auto"/>
              </w:rPr>
              <w:t xml:space="preserve">This lesson is intended to </w:t>
            </w:r>
            <w:r w:rsidR="001F14BE" w:rsidRPr="006F09D5">
              <w:rPr>
                <w:color w:val="auto"/>
              </w:rPr>
              <w:t>cover the rating schedule for auditory conditions, with emphasis on proper rating consideration and evaluation of hearing loss and tinnitus.</w:t>
            </w:r>
          </w:p>
          <w:p w14:paraId="235F4179" w14:textId="61D5F8C1" w:rsidR="009B2F5A" w:rsidRPr="006F09D5" w:rsidRDefault="001F14BE" w:rsidP="001F14BE">
            <w:pPr>
              <w:pStyle w:val="VBABodyText"/>
              <w:rPr>
                <w:color w:val="auto"/>
              </w:rPr>
            </w:pPr>
            <w:r w:rsidRPr="006F09D5">
              <w:rPr>
                <w:color w:val="auto"/>
              </w:rPr>
              <w:t xml:space="preserve"> </w:t>
            </w:r>
            <w:r w:rsidR="009B2F5A" w:rsidRPr="006F09D5">
              <w:rPr>
                <w:color w:val="auto"/>
              </w:rPr>
              <w:t>This lesson will co</w:t>
            </w:r>
            <w:r w:rsidRPr="006F09D5">
              <w:rPr>
                <w:color w:val="auto"/>
              </w:rPr>
              <w:t>ntain discussions, exercises and an E-case</w:t>
            </w:r>
          </w:p>
        </w:tc>
      </w:tr>
      <w:tr w:rsidR="006F09D5" w:rsidRPr="006F09D5" w14:paraId="235F4184" w14:textId="77777777">
        <w:trPr>
          <w:trHeight w:val="212"/>
        </w:trPr>
        <w:tc>
          <w:tcPr>
            <w:tcW w:w="2520" w:type="dxa"/>
            <w:tcBorders>
              <w:top w:val="nil"/>
              <w:left w:val="nil"/>
              <w:bottom w:val="nil"/>
              <w:right w:val="nil"/>
            </w:tcBorders>
          </w:tcPr>
          <w:p w14:paraId="235F417B" w14:textId="7E5337C8" w:rsidR="009B2F5A" w:rsidRPr="006F09D5" w:rsidRDefault="009B2F5A">
            <w:pPr>
              <w:pStyle w:val="VBALevel1Heading"/>
            </w:pPr>
            <w:bookmarkStart w:id="24" w:name="_Toc269888402"/>
            <w:bookmarkStart w:id="25" w:name="_Toc269888745"/>
            <w:r w:rsidRPr="006F09D5">
              <w:t>Lesson Objectives</w:t>
            </w:r>
            <w:bookmarkEnd w:id="24"/>
            <w:bookmarkEnd w:id="25"/>
          </w:p>
          <w:p w14:paraId="235F417C" w14:textId="77777777" w:rsidR="009B2F5A" w:rsidRPr="006F09D5" w:rsidRDefault="009B2F5A">
            <w:pPr>
              <w:pStyle w:val="VBAInstructorExplanation"/>
              <w:rPr>
                <w:color w:val="auto"/>
              </w:rPr>
            </w:pPr>
            <w:r w:rsidRPr="006F09D5">
              <w:rPr>
                <w:color w:val="auto"/>
              </w:rPr>
              <w:t>Discuss the following:</w:t>
            </w:r>
          </w:p>
          <w:p w14:paraId="235F417E" w14:textId="0E71A72F" w:rsidR="009B2F5A" w:rsidRPr="006F09D5" w:rsidRDefault="009B2F5A" w:rsidP="000928BD">
            <w:pPr>
              <w:pStyle w:val="VBASlideNumber"/>
              <w:rPr>
                <w:color w:val="auto"/>
              </w:rPr>
            </w:pPr>
            <w:r w:rsidRPr="006F09D5">
              <w:rPr>
                <w:color w:val="auto"/>
              </w:rPr>
              <w:t xml:space="preserve">Slide </w:t>
            </w:r>
            <w:r w:rsidR="000928BD" w:rsidRPr="006F09D5">
              <w:rPr>
                <w:color w:val="auto"/>
              </w:rPr>
              <w:t>2</w:t>
            </w:r>
          </w:p>
        </w:tc>
        <w:tc>
          <w:tcPr>
            <w:tcW w:w="7232" w:type="dxa"/>
            <w:gridSpan w:val="2"/>
            <w:tcBorders>
              <w:top w:val="nil"/>
              <w:left w:val="nil"/>
              <w:bottom w:val="nil"/>
              <w:right w:val="nil"/>
            </w:tcBorders>
          </w:tcPr>
          <w:p w14:paraId="235F4183" w14:textId="441DD9E6" w:rsidR="009B2F5A" w:rsidRPr="006F09D5" w:rsidRDefault="001F14BE" w:rsidP="0053484E">
            <w:pPr>
              <w:pStyle w:val="QSTBody"/>
              <w:jc w:val="left"/>
              <w:rPr>
                <w:rFonts w:ascii="Times New Roman" w:eastAsia="Times New Roman" w:hAnsi="Times New Roman"/>
                <w:sz w:val="24"/>
                <w:szCs w:val="24"/>
              </w:rPr>
            </w:pPr>
            <w:r w:rsidRPr="006F09D5">
              <w:rPr>
                <w:rFonts w:ascii="Times New Roman" w:eastAsia="Times New Roman" w:hAnsi="Times New Roman"/>
                <w:sz w:val="24"/>
                <w:szCs w:val="24"/>
              </w:rPr>
              <w:t>Upon conclusion of the lesson, and provided available references, trainees will be able to prepare a rating decision targeting auditory disabilities with 98% accuracy.</w:t>
            </w:r>
          </w:p>
        </w:tc>
      </w:tr>
      <w:tr w:rsidR="006F09D5" w:rsidRPr="006F09D5" w14:paraId="235F418A" w14:textId="77777777">
        <w:trPr>
          <w:trHeight w:val="212"/>
        </w:trPr>
        <w:tc>
          <w:tcPr>
            <w:tcW w:w="2520" w:type="dxa"/>
            <w:tcBorders>
              <w:top w:val="nil"/>
              <w:left w:val="nil"/>
              <w:bottom w:val="nil"/>
              <w:right w:val="nil"/>
            </w:tcBorders>
          </w:tcPr>
          <w:p w14:paraId="235F4188" w14:textId="6AE600AC" w:rsidR="009B2F5A" w:rsidRPr="006F09D5" w:rsidRDefault="009B2F5A">
            <w:pPr>
              <w:pStyle w:val="VBALevel1Heading"/>
            </w:pPr>
            <w:bookmarkStart w:id="26" w:name="_Toc269888403"/>
            <w:bookmarkStart w:id="27" w:name="_Toc269888746"/>
            <w:r w:rsidRPr="006F09D5">
              <w:t>Motivation</w:t>
            </w:r>
            <w:bookmarkEnd w:id="26"/>
            <w:bookmarkEnd w:id="27"/>
          </w:p>
        </w:tc>
        <w:tc>
          <w:tcPr>
            <w:tcW w:w="7232" w:type="dxa"/>
            <w:gridSpan w:val="2"/>
            <w:tcBorders>
              <w:top w:val="nil"/>
              <w:left w:val="nil"/>
              <w:bottom w:val="nil"/>
              <w:right w:val="nil"/>
            </w:tcBorders>
          </w:tcPr>
          <w:p w14:paraId="235F4189" w14:textId="1CE8DE65" w:rsidR="009B2F5A" w:rsidRPr="006F09D5" w:rsidRDefault="001C7065">
            <w:pPr>
              <w:pStyle w:val="VBABodyText"/>
              <w:rPr>
                <w:color w:val="auto"/>
              </w:rPr>
            </w:pPr>
            <w:r w:rsidRPr="006F09D5">
              <w:rPr>
                <w:color w:val="auto"/>
              </w:rPr>
              <w:t>Listen closely to the sounds around you. The ticking of a clock, the sound of rain on the windows, or the sound of a clicking pen. Veterans with hearing loss</w:t>
            </w:r>
            <w:r w:rsidR="00BE5025" w:rsidRPr="006F09D5">
              <w:rPr>
                <w:color w:val="auto"/>
              </w:rPr>
              <w:t xml:space="preserve"> and/or tinnitus</w:t>
            </w:r>
            <w:r w:rsidRPr="006F09D5">
              <w:rPr>
                <w:color w:val="auto"/>
              </w:rPr>
              <w:t xml:space="preserve"> have difficulties with hearing certain sounds between 500 and 4000 h</w:t>
            </w:r>
            <w:r w:rsidR="00BE5025" w:rsidRPr="006F09D5">
              <w:rPr>
                <w:color w:val="auto"/>
              </w:rPr>
              <w:t xml:space="preserve">tz, or even at higher frequencies. Our rating decisions can mean the difference between receiving treatment (hearing aids) for their service connected hearing loss, or not. </w:t>
            </w:r>
          </w:p>
        </w:tc>
      </w:tr>
      <w:tr w:rsidR="006F09D5" w:rsidRPr="006F09D5" w14:paraId="235F418D" w14:textId="77777777">
        <w:trPr>
          <w:trHeight w:val="212"/>
        </w:trPr>
        <w:tc>
          <w:tcPr>
            <w:tcW w:w="2520" w:type="dxa"/>
            <w:tcBorders>
              <w:top w:val="nil"/>
              <w:left w:val="nil"/>
              <w:bottom w:val="nil"/>
              <w:right w:val="nil"/>
            </w:tcBorders>
          </w:tcPr>
          <w:p w14:paraId="235F418B" w14:textId="77777777" w:rsidR="009B2F5A" w:rsidRPr="006F09D5" w:rsidRDefault="009B2F5A">
            <w:pPr>
              <w:pStyle w:val="VBALevel1Heading"/>
              <w:spacing w:after="120"/>
            </w:pPr>
            <w:r w:rsidRPr="006F09D5">
              <w:t>STAR Error code(s)</w:t>
            </w:r>
          </w:p>
        </w:tc>
        <w:tc>
          <w:tcPr>
            <w:tcW w:w="7232" w:type="dxa"/>
            <w:gridSpan w:val="2"/>
            <w:tcBorders>
              <w:top w:val="nil"/>
              <w:left w:val="nil"/>
              <w:bottom w:val="nil"/>
              <w:right w:val="nil"/>
            </w:tcBorders>
          </w:tcPr>
          <w:p w14:paraId="235F418C" w14:textId="685B2F63" w:rsidR="009B2F5A" w:rsidRPr="006F09D5" w:rsidRDefault="00FB78FA">
            <w:pPr>
              <w:pStyle w:val="VBABodyText"/>
              <w:rPr>
                <w:color w:val="auto"/>
              </w:rPr>
            </w:pPr>
            <w:r>
              <w:rPr>
                <w:color w:val="auto"/>
              </w:rPr>
              <w:t>A2; C2</w:t>
            </w:r>
          </w:p>
        </w:tc>
      </w:tr>
      <w:tr w:rsidR="009B2F5A" w:rsidRPr="006F09D5" w14:paraId="235F4196" w14:textId="77777777">
        <w:trPr>
          <w:trHeight w:val="212"/>
        </w:trPr>
        <w:tc>
          <w:tcPr>
            <w:tcW w:w="2520" w:type="dxa"/>
            <w:tcBorders>
              <w:top w:val="nil"/>
              <w:left w:val="nil"/>
              <w:bottom w:val="nil"/>
              <w:right w:val="nil"/>
            </w:tcBorders>
          </w:tcPr>
          <w:p w14:paraId="235F418E" w14:textId="7FA15EB7" w:rsidR="009B2F5A" w:rsidRPr="006F09D5" w:rsidRDefault="009B2F5A">
            <w:pPr>
              <w:pStyle w:val="VBALevel1Heading"/>
            </w:pPr>
            <w:bookmarkStart w:id="28" w:name="_Toc269888405"/>
            <w:bookmarkStart w:id="29" w:name="_Toc269888748"/>
            <w:r w:rsidRPr="006F09D5">
              <w:t>References</w:t>
            </w:r>
            <w:bookmarkEnd w:id="28"/>
            <w:bookmarkEnd w:id="29"/>
          </w:p>
          <w:p w14:paraId="235F418F" w14:textId="41B6EA18" w:rsidR="009B2F5A" w:rsidRPr="006F09D5" w:rsidRDefault="009B2F5A">
            <w:pPr>
              <w:pStyle w:val="VBASlideNumber"/>
              <w:rPr>
                <w:color w:val="auto"/>
              </w:rPr>
            </w:pPr>
            <w:r w:rsidRPr="006F09D5">
              <w:rPr>
                <w:color w:val="auto"/>
              </w:rPr>
              <w:t xml:space="preserve">Slide </w:t>
            </w:r>
            <w:r w:rsidR="00BE5025" w:rsidRPr="006F09D5">
              <w:rPr>
                <w:color w:val="auto"/>
              </w:rPr>
              <w:t>3</w:t>
            </w:r>
            <w:r w:rsidRPr="006F09D5">
              <w:rPr>
                <w:color w:val="auto"/>
              </w:rPr>
              <w:br/>
            </w:r>
          </w:p>
          <w:p w14:paraId="235F4190" w14:textId="213F5FF4" w:rsidR="009B2F5A" w:rsidRPr="006F09D5" w:rsidRDefault="009B2F5A">
            <w:pPr>
              <w:pStyle w:val="VBAHandoutNumber"/>
              <w:rPr>
                <w:color w:val="auto"/>
              </w:rPr>
            </w:pPr>
          </w:p>
        </w:tc>
        <w:tc>
          <w:tcPr>
            <w:tcW w:w="7232" w:type="dxa"/>
            <w:gridSpan w:val="2"/>
            <w:tcBorders>
              <w:top w:val="nil"/>
              <w:left w:val="nil"/>
              <w:bottom w:val="nil"/>
              <w:right w:val="nil"/>
            </w:tcBorders>
          </w:tcPr>
          <w:p w14:paraId="06D16F78" w14:textId="6A484857" w:rsidR="00EC4B58" w:rsidRPr="006F09D5" w:rsidRDefault="00EC4B58" w:rsidP="00EC4B58">
            <w:pPr>
              <w:pStyle w:val="VBABodyText"/>
              <w:spacing w:before="0" w:after="0"/>
              <w:rPr>
                <w:noProof/>
                <w:color w:val="auto"/>
              </w:rPr>
            </w:pPr>
            <w:r w:rsidRPr="006F09D5">
              <w:rPr>
                <w:noProof/>
                <w:color w:val="auto"/>
              </w:rPr>
              <w:t xml:space="preserve">All M21-1 </w:t>
            </w:r>
            <w:r w:rsidR="00CA3852" w:rsidRPr="006F09D5">
              <w:rPr>
                <w:noProof/>
                <w:color w:val="auto"/>
              </w:rPr>
              <w:t xml:space="preserve">references </w:t>
            </w:r>
            <w:r w:rsidRPr="006F09D5">
              <w:rPr>
                <w:noProof/>
                <w:color w:val="auto"/>
              </w:rPr>
              <w:t xml:space="preserve">are found in the </w:t>
            </w:r>
            <w:hyperlink r:id="rId11" w:history="1">
              <w:r w:rsidRPr="006F09D5">
                <w:rPr>
                  <w:rStyle w:val="Hyperlink"/>
                  <w:noProof/>
                  <w:color w:val="auto"/>
                </w:rPr>
                <w:t>Live Manual Website</w:t>
              </w:r>
            </w:hyperlink>
            <w:r w:rsidRPr="006F09D5">
              <w:rPr>
                <w:noProof/>
                <w:color w:val="auto"/>
              </w:rPr>
              <w:t>.</w:t>
            </w:r>
          </w:p>
          <w:p w14:paraId="33327C66" w14:textId="77777777" w:rsidR="00C53F24" w:rsidRPr="006F09D5" w:rsidRDefault="00082E1B" w:rsidP="00BE5025">
            <w:pPr>
              <w:pStyle w:val="VBAFirstLevelBullet"/>
            </w:pPr>
            <w:hyperlink r:id="rId12" w:history="1">
              <w:r w:rsidR="00716C9B" w:rsidRPr="006F09D5">
                <w:rPr>
                  <w:rStyle w:val="Hyperlink"/>
                  <w:color w:val="auto"/>
                </w:rPr>
                <w:t xml:space="preserve">38 </w:t>
              </w:r>
            </w:hyperlink>
            <w:hyperlink r:id="rId13" w:history="1">
              <w:r w:rsidR="00716C9B" w:rsidRPr="006F09D5">
                <w:rPr>
                  <w:rStyle w:val="Hyperlink"/>
                  <w:color w:val="auto"/>
                </w:rPr>
                <w:t>CFR 3.159</w:t>
              </w:r>
            </w:hyperlink>
            <w:r w:rsidR="00716C9B" w:rsidRPr="006F09D5">
              <w:t xml:space="preserve">  Department of Veterans Affairs Assistance in Developing Claims</w:t>
            </w:r>
          </w:p>
          <w:p w14:paraId="32DB33C4" w14:textId="77777777" w:rsidR="00C53F24" w:rsidRPr="006F09D5" w:rsidRDefault="00082E1B" w:rsidP="00BE5025">
            <w:pPr>
              <w:pStyle w:val="VBAFirstLevelBullet"/>
            </w:pPr>
            <w:hyperlink r:id="rId14" w:history="1">
              <w:r w:rsidR="00716C9B" w:rsidRPr="006F09D5">
                <w:rPr>
                  <w:rStyle w:val="Hyperlink"/>
                  <w:color w:val="auto"/>
                </w:rPr>
                <w:t>38 CFR 3.309</w:t>
              </w:r>
            </w:hyperlink>
            <w:r w:rsidR="00716C9B" w:rsidRPr="006F09D5">
              <w:t xml:space="preserve">  Disease Subject to Presumptive Service Connection</w:t>
            </w:r>
          </w:p>
          <w:p w14:paraId="1E5DB076" w14:textId="77777777" w:rsidR="00C53F24" w:rsidRPr="006F09D5" w:rsidRDefault="00082E1B" w:rsidP="00BE5025">
            <w:pPr>
              <w:pStyle w:val="VBAFirstLevelBullet"/>
            </w:pPr>
            <w:hyperlink r:id="rId15" w:history="1">
              <w:r w:rsidR="00716C9B" w:rsidRPr="006F09D5">
                <w:rPr>
                  <w:rStyle w:val="Hyperlink"/>
                  <w:color w:val="auto"/>
                </w:rPr>
                <w:t>38 CFR 3.350</w:t>
              </w:r>
            </w:hyperlink>
            <w:r w:rsidR="00716C9B" w:rsidRPr="006F09D5">
              <w:t xml:space="preserve">  Special Monthly Compensation Ratings</w:t>
            </w:r>
          </w:p>
          <w:p w14:paraId="0B475292" w14:textId="77777777" w:rsidR="00C53F24" w:rsidRPr="006F09D5" w:rsidRDefault="00082E1B" w:rsidP="00BE5025">
            <w:pPr>
              <w:pStyle w:val="VBAFirstLevelBullet"/>
            </w:pPr>
            <w:hyperlink r:id="rId16" w:history="1">
              <w:r w:rsidR="00716C9B" w:rsidRPr="006F09D5">
                <w:rPr>
                  <w:rStyle w:val="Hyperlink"/>
                  <w:color w:val="auto"/>
                </w:rPr>
                <w:t>38 CFR 3.383(a)(3)</w:t>
              </w:r>
            </w:hyperlink>
            <w:r w:rsidR="00716C9B" w:rsidRPr="006F09D5">
              <w:t xml:space="preserve">   Paired Organs and Extremities</w:t>
            </w:r>
          </w:p>
          <w:p w14:paraId="4A376B41" w14:textId="77777777" w:rsidR="00C53F24" w:rsidRPr="006F09D5" w:rsidRDefault="00082E1B" w:rsidP="00BE5025">
            <w:pPr>
              <w:pStyle w:val="VBAFirstLevelBullet"/>
            </w:pPr>
            <w:hyperlink r:id="rId17" w:history="1">
              <w:r w:rsidR="00716C9B" w:rsidRPr="006F09D5">
                <w:rPr>
                  <w:rStyle w:val="Hyperlink"/>
                  <w:color w:val="auto"/>
                </w:rPr>
                <w:t>38 CFR 3.385</w:t>
              </w:r>
            </w:hyperlink>
            <w:r w:rsidR="00716C9B" w:rsidRPr="006F09D5">
              <w:t xml:space="preserve">  Disability Due to Impaired Hearing</w:t>
            </w:r>
          </w:p>
          <w:p w14:paraId="4B1A69A4" w14:textId="77777777" w:rsidR="00C53F24" w:rsidRPr="006F09D5" w:rsidRDefault="00082E1B" w:rsidP="00BE5025">
            <w:pPr>
              <w:pStyle w:val="VBAFirstLevelBullet"/>
            </w:pPr>
            <w:hyperlink r:id="rId18" w:history="1">
              <w:r w:rsidR="00716C9B" w:rsidRPr="006F09D5">
                <w:rPr>
                  <w:rStyle w:val="Hyperlink"/>
                  <w:color w:val="auto"/>
                </w:rPr>
                <w:t>38 CFR 4.85</w:t>
              </w:r>
            </w:hyperlink>
            <w:r w:rsidR="00716C9B" w:rsidRPr="006F09D5">
              <w:t xml:space="preserve">  Evaluation of Hearing Impairment</w:t>
            </w:r>
          </w:p>
          <w:p w14:paraId="4F5387ED" w14:textId="77777777" w:rsidR="00C53F24" w:rsidRPr="006F09D5" w:rsidRDefault="00082E1B" w:rsidP="00BE5025">
            <w:pPr>
              <w:pStyle w:val="VBAFirstLevelBullet"/>
            </w:pPr>
            <w:hyperlink r:id="rId19" w:history="1">
              <w:r w:rsidR="00716C9B" w:rsidRPr="006F09D5">
                <w:rPr>
                  <w:rStyle w:val="Hyperlink"/>
                  <w:color w:val="auto"/>
                </w:rPr>
                <w:t>38 CFR 4.86</w:t>
              </w:r>
            </w:hyperlink>
            <w:r w:rsidR="00716C9B" w:rsidRPr="006F09D5">
              <w:t xml:space="preserve">  Exceptional Patterns of Hearing Impairment</w:t>
            </w:r>
          </w:p>
          <w:p w14:paraId="529276A6" w14:textId="77777777" w:rsidR="00C53F24" w:rsidRPr="006F09D5" w:rsidRDefault="00082E1B" w:rsidP="00BE5025">
            <w:pPr>
              <w:pStyle w:val="VBAFirstLevelBullet"/>
            </w:pPr>
            <w:hyperlink r:id="rId20" w:history="1">
              <w:r w:rsidR="00716C9B" w:rsidRPr="006F09D5">
                <w:rPr>
                  <w:rStyle w:val="Hyperlink"/>
                  <w:color w:val="auto"/>
                </w:rPr>
                <w:t>38 CFR 4.87</w:t>
              </w:r>
            </w:hyperlink>
            <w:r w:rsidR="00716C9B" w:rsidRPr="006F09D5">
              <w:t xml:space="preserve">  Schedule of Ratings - Ear</w:t>
            </w:r>
          </w:p>
          <w:p w14:paraId="3ED9C611" w14:textId="77777777" w:rsidR="009B2F5A" w:rsidRDefault="00082E1B" w:rsidP="00BE5025">
            <w:pPr>
              <w:pStyle w:val="VBAFirstLevelBullet"/>
            </w:pPr>
            <w:hyperlink r:id="rId21" w:history="1">
              <w:r w:rsidR="00716C9B" w:rsidRPr="006F09D5">
                <w:rPr>
                  <w:rStyle w:val="Hyperlink"/>
                  <w:color w:val="auto"/>
                </w:rPr>
                <w:t>38 CFR 4.87a</w:t>
              </w:r>
            </w:hyperlink>
            <w:r w:rsidR="00716C9B" w:rsidRPr="006F09D5">
              <w:t xml:space="preserve">  Schedule of Ratings - Other Sense Organs</w:t>
            </w:r>
          </w:p>
          <w:p w14:paraId="3B417CB3" w14:textId="77777777" w:rsidR="00B12C90" w:rsidRPr="006F09D5" w:rsidRDefault="00082E1B" w:rsidP="00B12C90">
            <w:pPr>
              <w:pStyle w:val="VBAFirstLevelBullet"/>
            </w:pPr>
            <w:hyperlink r:id="rId22" w:history="1">
              <w:r w:rsidR="00B12C90" w:rsidRPr="006F09D5">
                <w:rPr>
                  <w:rStyle w:val="Hyperlink"/>
                  <w:color w:val="auto"/>
                </w:rPr>
                <w:t xml:space="preserve">M21-1 </w:t>
              </w:r>
            </w:hyperlink>
            <w:hyperlink r:id="rId23" w:history="1">
              <w:r w:rsidR="00B12C90" w:rsidRPr="006F09D5">
                <w:rPr>
                  <w:rStyle w:val="Hyperlink"/>
                  <w:color w:val="auto"/>
                </w:rPr>
                <w:t>Part III, Subpart iv, 4.B</w:t>
              </w:r>
            </w:hyperlink>
            <w:r w:rsidR="00B12C90" w:rsidRPr="006F09D5">
              <w:t xml:space="preserve">  Conditions of the Organs of </w:t>
            </w:r>
            <w:r w:rsidR="00B12C90" w:rsidRPr="006F09D5">
              <w:lastRenderedPageBreak/>
              <w:t>Special Sense, Hearing Impairment</w:t>
            </w:r>
          </w:p>
          <w:p w14:paraId="5A59A828" w14:textId="77777777" w:rsidR="00B12C90" w:rsidRPr="006F09D5" w:rsidRDefault="00082E1B" w:rsidP="00B12C90">
            <w:pPr>
              <w:pStyle w:val="VBAFirstLevelBullet"/>
            </w:pPr>
            <w:hyperlink r:id="rId24" w:history="1">
              <w:r w:rsidR="00B12C90" w:rsidRPr="006F09D5">
                <w:rPr>
                  <w:rStyle w:val="Hyperlink"/>
                  <w:color w:val="auto"/>
                </w:rPr>
                <w:t xml:space="preserve">M21-1 Part III, Subpart iv, 4.G </w:t>
              </w:r>
            </w:hyperlink>
            <w:r w:rsidR="00B12C90" w:rsidRPr="006F09D5">
              <w:t xml:space="preserve"> Definition: Other Organic Diseases of the Nervous System</w:t>
            </w:r>
          </w:p>
          <w:p w14:paraId="235F4195" w14:textId="3CF3600C" w:rsidR="00B12C90" w:rsidRPr="006F09D5" w:rsidRDefault="00B12C90" w:rsidP="00B12C90">
            <w:pPr>
              <w:pStyle w:val="VBAFirstLevelBullet"/>
              <w:numPr>
                <w:ilvl w:val="0"/>
                <w:numId w:val="0"/>
              </w:numPr>
              <w:ind w:left="720" w:hanging="360"/>
            </w:pPr>
          </w:p>
        </w:tc>
      </w:tr>
    </w:tbl>
    <w:p w14:paraId="235F4197" w14:textId="77777777" w:rsidR="009B2F5A" w:rsidRPr="006F09D5" w:rsidRDefault="009B2F5A">
      <w:pPr>
        <w:rPr>
          <w:b/>
        </w:rPr>
      </w:pPr>
    </w:p>
    <w:p w14:paraId="235F4198" w14:textId="77777777" w:rsidR="009B2F5A" w:rsidRPr="006F09D5" w:rsidRDefault="009B2F5A">
      <w:pPr>
        <w:tabs>
          <w:tab w:val="left" w:pos="2610"/>
        </w:tabs>
        <w:rPr>
          <w:b/>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6F09D5" w:rsidRPr="006F09D5" w14:paraId="235F41B0" w14:textId="77777777">
        <w:trPr>
          <w:trHeight w:val="212"/>
        </w:trPr>
        <w:tc>
          <w:tcPr>
            <w:tcW w:w="2560" w:type="dxa"/>
            <w:tcBorders>
              <w:top w:val="nil"/>
              <w:left w:val="nil"/>
              <w:bottom w:val="nil"/>
              <w:right w:val="nil"/>
            </w:tcBorders>
          </w:tcPr>
          <w:p w14:paraId="235F41AC" w14:textId="4FEB2307" w:rsidR="009B2F5A" w:rsidRPr="006F09D5" w:rsidRDefault="006826DE">
            <w:pPr>
              <w:pStyle w:val="VBALevel2Heading"/>
              <w:rPr>
                <w:bCs/>
                <w:i/>
                <w:color w:val="auto"/>
              </w:rPr>
            </w:pPr>
            <w:r w:rsidRPr="006F09D5">
              <w:rPr>
                <w:color w:val="auto"/>
                <w:u w:val="single"/>
              </w:rPr>
              <w:t>Overview of the Ear</w:t>
            </w:r>
            <w:r w:rsidR="009B2F5A" w:rsidRPr="006F09D5">
              <w:rPr>
                <w:rFonts w:ascii="Times New Roman Bold" w:hAnsi="Times New Roman Bold"/>
                <w:color w:val="auto"/>
              </w:rPr>
              <w:br/>
            </w:r>
          </w:p>
          <w:p w14:paraId="235F41AD" w14:textId="7A0776EB" w:rsidR="009B2F5A" w:rsidRPr="006F09D5" w:rsidRDefault="009B2F5A">
            <w:pPr>
              <w:pStyle w:val="VBASlideNumber"/>
              <w:rPr>
                <w:color w:val="auto"/>
              </w:rPr>
            </w:pPr>
            <w:r w:rsidRPr="006F09D5">
              <w:rPr>
                <w:color w:val="auto"/>
              </w:rPr>
              <w:t xml:space="preserve">Slide </w:t>
            </w:r>
            <w:r w:rsidR="006826DE" w:rsidRPr="006F09D5">
              <w:rPr>
                <w:color w:val="auto"/>
              </w:rPr>
              <w:t>4</w:t>
            </w:r>
            <w:r w:rsidRPr="006F09D5">
              <w:rPr>
                <w:color w:val="auto"/>
              </w:rPr>
              <w:br/>
            </w:r>
          </w:p>
          <w:p w14:paraId="235F41AE" w14:textId="0B6A0DEF" w:rsidR="009B2F5A" w:rsidRPr="006F09D5" w:rsidRDefault="009B2F5A">
            <w:pPr>
              <w:pStyle w:val="VBAHandoutNumber"/>
              <w:rPr>
                <w:color w:val="auto"/>
              </w:rPr>
            </w:pPr>
          </w:p>
        </w:tc>
        <w:tc>
          <w:tcPr>
            <w:tcW w:w="7217" w:type="dxa"/>
            <w:tcBorders>
              <w:top w:val="nil"/>
              <w:left w:val="nil"/>
              <w:bottom w:val="nil"/>
              <w:right w:val="nil"/>
            </w:tcBorders>
          </w:tcPr>
          <w:p w14:paraId="235F41AF" w14:textId="5D27E673" w:rsidR="009B2F5A" w:rsidRPr="006F09D5" w:rsidRDefault="00737B79" w:rsidP="00737B79">
            <w:pPr>
              <w:pStyle w:val="VBABodyText"/>
              <w:rPr>
                <w:b/>
                <w:color w:val="auto"/>
              </w:rPr>
            </w:pPr>
            <w:r w:rsidRPr="006F09D5">
              <w:rPr>
                <w:b/>
                <w:color w:val="auto"/>
              </w:rPr>
              <w:t xml:space="preserve">EXPLAIN </w:t>
            </w:r>
            <w:r w:rsidRPr="006F09D5">
              <w:rPr>
                <w:color w:val="auto"/>
              </w:rPr>
              <w:t>that the ear is a fundamental sensory organ that serves dual functions to regulate balance and enable reception and</w:t>
            </w:r>
            <w:r w:rsidR="0053484E">
              <w:rPr>
                <w:color w:val="auto"/>
              </w:rPr>
              <w:t xml:space="preserve"> translation of sound stimuli. </w:t>
            </w:r>
            <w:r w:rsidRPr="006F09D5">
              <w:rPr>
                <w:color w:val="auto"/>
              </w:rPr>
              <w:t xml:space="preserve">Explain that the external and middle ear conduct sound, while the inner ear receives it and controls its transmission to the cranial nerves and brain. </w:t>
            </w:r>
          </w:p>
        </w:tc>
      </w:tr>
      <w:tr w:rsidR="006F09D5" w:rsidRPr="006F09D5" w14:paraId="235F41B5" w14:textId="77777777">
        <w:trPr>
          <w:trHeight w:val="212"/>
        </w:trPr>
        <w:tc>
          <w:tcPr>
            <w:tcW w:w="2560" w:type="dxa"/>
            <w:tcBorders>
              <w:top w:val="nil"/>
              <w:left w:val="nil"/>
              <w:bottom w:val="nil"/>
              <w:right w:val="nil"/>
            </w:tcBorders>
          </w:tcPr>
          <w:p w14:paraId="235F41B1" w14:textId="2213DE78" w:rsidR="009B2F5A" w:rsidRPr="006F09D5" w:rsidRDefault="00737B79" w:rsidP="002570A6">
            <w:pPr>
              <w:pStyle w:val="VBALevel2Heading"/>
              <w:rPr>
                <w:color w:val="auto"/>
              </w:rPr>
            </w:pPr>
            <w:r w:rsidRPr="006F09D5">
              <w:rPr>
                <w:color w:val="auto"/>
                <w:u w:val="single"/>
              </w:rPr>
              <w:t>Auditory System Highlights</w:t>
            </w:r>
            <w:r w:rsidR="009B2F5A" w:rsidRPr="006F09D5">
              <w:rPr>
                <w:color w:val="auto"/>
              </w:rPr>
              <w:br/>
            </w:r>
          </w:p>
          <w:p w14:paraId="235F41B3" w14:textId="45F595C0" w:rsidR="009B2F5A" w:rsidRPr="006F09D5" w:rsidRDefault="009B2F5A" w:rsidP="00737B79">
            <w:pPr>
              <w:pStyle w:val="VBASlideNumber"/>
              <w:rPr>
                <w:color w:val="auto"/>
              </w:rPr>
            </w:pPr>
            <w:r w:rsidRPr="006F09D5">
              <w:rPr>
                <w:color w:val="auto"/>
              </w:rPr>
              <w:t xml:space="preserve">Slide </w:t>
            </w:r>
            <w:r w:rsidR="00737B79" w:rsidRPr="006F09D5">
              <w:rPr>
                <w:color w:val="auto"/>
              </w:rPr>
              <w:t>5</w:t>
            </w:r>
            <w:r w:rsidRPr="006F09D5">
              <w:rPr>
                <w:color w:val="auto"/>
              </w:rPr>
              <w:br/>
            </w:r>
          </w:p>
        </w:tc>
        <w:tc>
          <w:tcPr>
            <w:tcW w:w="7217" w:type="dxa"/>
            <w:tcBorders>
              <w:top w:val="nil"/>
              <w:left w:val="nil"/>
              <w:bottom w:val="nil"/>
              <w:right w:val="nil"/>
            </w:tcBorders>
          </w:tcPr>
          <w:p w14:paraId="235F41B4" w14:textId="0F2DACD7" w:rsidR="009B2F5A" w:rsidRPr="006F09D5" w:rsidRDefault="00737B79" w:rsidP="00737B79">
            <w:pPr>
              <w:pStyle w:val="QSTBody"/>
              <w:jc w:val="left"/>
              <w:rPr>
                <w:rFonts w:ascii="Times New Roman" w:hAnsi="Times New Roman"/>
                <w:sz w:val="24"/>
                <w:szCs w:val="24"/>
              </w:rPr>
            </w:pPr>
            <w:r w:rsidRPr="006F09D5">
              <w:rPr>
                <w:rFonts w:ascii="Times New Roman" w:hAnsi="Times New Roman"/>
                <w:b/>
                <w:sz w:val="24"/>
                <w:szCs w:val="24"/>
              </w:rPr>
              <w:t xml:space="preserve">EXPLAIN </w:t>
            </w:r>
            <w:r w:rsidRPr="006F09D5">
              <w:rPr>
                <w:rFonts w:ascii="Times New Roman" w:hAnsi="Times New Roman"/>
                <w:sz w:val="24"/>
                <w:szCs w:val="24"/>
              </w:rPr>
              <w:t>that hearing loss and tinnitus represents the conditions that will be rated most often, but that vestibular conditions and disequilibria are also covered within its provisions. Emphasize that peripheral vestibular conditions and Meniere’s will be for overview purposes as they are a fraction of the auditory cases that require rating action.</w:t>
            </w:r>
          </w:p>
        </w:tc>
      </w:tr>
      <w:tr w:rsidR="006F09D5" w:rsidRPr="006F09D5" w14:paraId="235F41BA" w14:textId="77777777">
        <w:trPr>
          <w:trHeight w:val="212"/>
        </w:trPr>
        <w:tc>
          <w:tcPr>
            <w:tcW w:w="2560" w:type="dxa"/>
            <w:tcBorders>
              <w:top w:val="nil"/>
              <w:left w:val="nil"/>
              <w:bottom w:val="nil"/>
              <w:right w:val="nil"/>
            </w:tcBorders>
          </w:tcPr>
          <w:p w14:paraId="235F41B6" w14:textId="5C8856B5" w:rsidR="009B2F5A" w:rsidRPr="006F09D5" w:rsidRDefault="00737B79">
            <w:pPr>
              <w:pStyle w:val="VBALevel2Heading"/>
              <w:rPr>
                <w:bCs/>
                <w:i/>
                <w:color w:val="auto"/>
              </w:rPr>
            </w:pPr>
            <w:r w:rsidRPr="006F09D5">
              <w:rPr>
                <w:color w:val="auto"/>
                <w:u w:val="single"/>
              </w:rPr>
              <w:t>Peripheral Vestibular Disorder (DC 6204)</w:t>
            </w:r>
            <w:r w:rsidR="009B2F5A" w:rsidRPr="006F09D5">
              <w:rPr>
                <w:rFonts w:ascii="Times New Roman Bold" w:hAnsi="Times New Roman Bold"/>
                <w:color w:val="auto"/>
              </w:rPr>
              <w:br/>
            </w:r>
          </w:p>
          <w:p w14:paraId="235F41B7" w14:textId="66493063" w:rsidR="009B2F5A" w:rsidRPr="006F09D5" w:rsidRDefault="00737B79">
            <w:pPr>
              <w:pStyle w:val="VBASlideNumber"/>
              <w:rPr>
                <w:color w:val="auto"/>
              </w:rPr>
            </w:pPr>
            <w:r w:rsidRPr="006F09D5">
              <w:rPr>
                <w:color w:val="auto"/>
              </w:rPr>
              <w:t>Slide 6</w:t>
            </w:r>
            <w:r w:rsidR="009B2F5A" w:rsidRPr="006F09D5">
              <w:rPr>
                <w:color w:val="auto"/>
              </w:rPr>
              <w:br/>
            </w:r>
          </w:p>
          <w:p w14:paraId="235F41B8" w14:textId="20D2316A" w:rsidR="009B2F5A" w:rsidRPr="006F09D5" w:rsidRDefault="009B2F5A">
            <w:pPr>
              <w:pStyle w:val="VBAHandoutNumber"/>
              <w:rPr>
                <w:color w:val="auto"/>
              </w:rPr>
            </w:pPr>
          </w:p>
        </w:tc>
        <w:tc>
          <w:tcPr>
            <w:tcW w:w="7217" w:type="dxa"/>
            <w:tcBorders>
              <w:top w:val="nil"/>
              <w:left w:val="nil"/>
              <w:bottom w:val="nil"/>
              <w:right w:val="nil"/>
            </w:tcBorders>
          </w:tcPr>
          <w:p w14:paraId="2BCA71EA" w14:textId="77777777" w:rsidR="00737B79" w:rsidRPr="006F09D5" w:rsidRDefault="00737B79" w:rsidP="00737B79">
            <w:pPr>
              <w:pStyle w:val="QSTBody"/>
              <w:jc w:val="left"/>
              <w:rPr>
                <w:rFonts w:ascii="Times New Roman" w:hAnsi="Times New Roman"/>
                <w:sz w:val="24"/>
                <w:szCs w:val="24"/>
              </w:rPr>
            </w:pPr>
            <w:r w:rsidRPr="006F09D5">
              <w:rPr>
                <w:rFonts w:ascii="Times New Roman" w:hAnsi="Times New Roman"/>
                <w:b/>
                <w:sz w:val="24"/>
                <w:szCs w:val="24"/>
              </w:rPr>
              <w:t>EXPLAIN</w:t>
            </w:r>
            <w:r w:rsidRPr="006F09D5">
              <w:rPr>
                <w:rFonts w:ascii="Times New Roman" w:hAnsi="Times New Roman"/>
                <w:sz w:val="24"/>
                <w:szCs w:val="24"/>
              </w:rPr>
              <w:t xml:space="preserve"> that the name associated with this code is a generalized label and will ordinarily be further differentiated as a clinical diagnosis of either vertigo or labyrinthitis. In either case, however, the diagnosis must be one that is clinically verified in order to allow favorable rating action, and subjective symptoms alone may not be recognized as deserving of an award under this code (see NOTE).</w:t>
            </w:r>
          </w:p>
          <w:p w14:paraId="1080EF88" w14:textId="77777777" w:rsidR="00737B79" w:rsidRPr="006F09D5" w:rsidRDefault="00737B79" w:rsidP="00737B79">
            <w:pPr>
              <w:pStyle w:val="QSTBody"/>
              <w:jc w:val="left"/>
              <w:rPr>
                <w:rFonts w:ascii="Times New Roman" w:hAnsi="Times New Roman"/>
                <w:sz w:val="24"/>
                <w:szCs w:val="24"/>
              </w:rPr>
            </w:pPr>
            <w:r w:rsidRPr="006F09D5">
              <w:rPr>
                <w:rFonts w:ascii="Times New Roman" w:hAnsi="Times New Roman"/>
                <w:b/>
                <w:sz w:val="24"/>
                <w:szCs w:val="24"/>
              </w:rPr>
              <w:t xml:space="preserve">ILLUSTRATE </w:t>
            </w:r>
            <w:r w:rsidRPr="006F09D5">
              <w:rPr>
                <w:rFonts w:ascii="Times New Roman" w:hAnsi="Times New Roman"/>
                <w:sz w:val="24"/>
                <w:szCs w:val="24"/>
              </w:rPr>
              <w:t>that the “Ear Disease” DBQ actually consolidates vestibular dysfunction and Meniere’s symptoms into one section, and that only symptoms of vertigo and staggering are particularly germane to consideration under DC 6204. Point out that the Evaluation Builder entry for this condition is fairly straight-forward and simple: A selection of dizziness generates a 10-percent evaluation, while staggering will prompt an award of the 30 percent.</w:t>
            </w:r>
          </w:p>
          <w:p w14:paraId="235F41B9" w14:textId="001C0AFD" w:rsidR="009B2F5A" w:rsidRPr="006F09D5" w:rsidRDefault="00737B79" w:rsidP="00556C47">
            <w:pPr>
              <w:pStyle w:val="QSTBody"/>
              <w:jc w:val="left"/>
              <w:rPr>
                <w:rFonts w:ascii="Times New Roman" w:hAnsi="Times New Roman"/>
                <w:sz w:val="24"/>
                <w:szCs w:val="24"/>
              </w:rPr>
            </w:pPr>
            <w:r w:rsidRPr="006F09D5">
              <w:rPr>
                <w:rFonts w:ascii="Times New Roman" w:hAnsi="Times New Roman"/>
                <w:b/>
                <w:sz w:val="24"/>
                <w:szCs w:val="24"/>
              </w:rPr>
              <w:t>EMPHASIZE</w:t>
            </w:r>
            <w:r w:rsidRPr="006F09D5">
              <w:rPr>
                <w:rFonts w:ascii="Times New Roman" w:hAnsi="Times New Roman"/>
                <w:sz w:val="24"/>
                <w:szCs w:val="24"/>
              </w:rPr>
              <w:t xml:space="preserve"> that vertigo is probably most commonly encountered as a TBI residual and, per M21-1 III.iv.4.G.2.h, may not be separately evaluated as anything other than a subjective symptom under DC 8045 unless so diagnosed as vertigo during service.</w:t>
            </w:r>
          </w:p>
        </w:tc>
      </w:tr>
      <w:tr w:rsidR="006F09D5" w:rsidRPr="006F09D5" w14:paraId="235F41C2" w14:textId="77777777">
        <w:trPr>
          <w:cantSplit/>
          <w:trHeight w:val="212"/>
        </w:trPr>
        <w:tc>
          <w:tcPr>
            <w:tcW w:w="2560" w:type="dxa"/>
            <w:tcBorders>
              <w:top w:val="nil"/>
              <w:left w:val="nil"/>
              <w:bottom w:val="nil"/>
              <w:right w:val="nil"/>
            </w:tcBorders>
          </w:tcPr>
          <w:p w14:paraId="235F41BB" w14:textId="7B3E9883" w:rsidR="009B2F5A" w:rsidRPr="006F09D5" w:rsidRDefault="00556C47" w:rsidP="002570A6">
            <w:pPr>
              <w:pStyle w:val="VBALevel2Heading"/>
              <w:rPr>
                <w:color w:val="auto"/>
              </w:rPr>
            </w:pPr>
            <w:r w:rsidRPr="006F09D5">
              <w:rPr>
                <w:color w:val="auto"/>
                <w:u w:val="single"/>
              </w:rPr>
              <w:lastRenderedPageBreak/>
              <w:t>Meniere’s Syndrome</w:t>
            </w:r>
            <w:r w:rsidR="009B2F5A" w:rsidRPr="006F09D5">
              <w:rPr>
                <w:color w:val="auto"/>
              </w:rPr>
              <w:br/>
            </w:r>
          </w:p>
          <w:p w14:paraId="235F41BC" w14:textId="30B08DD7" w:rsidR="009B2F5A" w:rsidRPr="006F09D5" w:rsidRDefault="009B2F5A">
            <w:pPr>
              <w:pStyle w:val="VBASlideNumber"/>
              <w:rPr>
                <w:color w:val="auto"/>
              </w:rPr>
            </w:pPr>
            <w:r w:rsidRPr="006F09D5">
              <w:rPr>
                <w:color w:val="auto"/>
              </w:rPr>
              <w:t xml:space="preserve">Slide </w:t>
            </w:r>
            <w:r w:rsidR="00556C47" w:rsidRPr="006F09D5">
              <w:rPr>
                <w:color w:val="auto"/>
              </w:rPr>
              <w:t>7</w:t>
            </w:r>
            <w:r w:rsidRPr="006F09D5">
              <w:rPr>
                <w:color w:val="auto"/>
              </w:rPr>
              <w:br/>
            </w:r>
          </w:p>
          <w:p w14:paraId="235F41BD" w14:textId="003E3033" w:rsidR="009B2F5A" w:rsidRPr="006F09D5" w:rsidRDefault="009B2F5A">
            <w:pPr>
              <w:pStyle w:val="VBAHandoutNumber"/>
              <w:rPr>
                <w:color w:val="auto"/>
              </w:rPr>
            </w:pPr>
          </w:p>
        </w:tc>
        <w:tc>
          <w:tcPr>
            <w:tcW w:w="7217" w:type="dxa"/>
            <w:tcBorders>
              <w:top w:val="nil"/>
              <w:left w:val="nil"/>
              <w:bottom w:val="nil"/>
              <w:right w:val="nil"/>
            </w:tcBorders>
          </w:tcPr>
          <w:p w14:paraId="52840F0E" w14:textId="77777777" w:rsidR="00556C47" w:rsidRPr="006F09D5" w:rsidRDefault="00556C47" w:rsidP="00556C47">
            <w:pPr>
              <w:pStyle w:val="QSTBody"/>
              <w:jc w:val="left"/>
              <w:rPr>
                <w:rFonts w:ascii="Times New Roman" w:hAnsi="Times New Roman"/>
                <w:sz w:val="24"/>
                <w:szCs w:val="24"/>
              </w:rPr>
            </w:pPr>
            <w:r w:rsidRPr="006F09D5">
              <w:rPr>
                <w:rFonts w:ascii="Times New Roman" w:hAnsi="Times New Roman"/>
                <w:b/>
                <w:sz w:val="24"/>
                <w:szCs w:val="24"/>
              </w:rPr>
              <w:t xml:space="preserve">EXPLAIN </w:t>
            </w:r>
            <w:r w:rsidRPr="006F09D5">
              <w:rPr>
                <w:rFonts w:ascii="Times New Roman" w:hAnsi="Times New Roman"/>
                <w:sz w:val="24"/>
                <w:szCs w:val="24"/>
              </w:rPr>
              <w:t>that Meniere’s syndrome is a somewhat rare condition that isn’t encountered remarkably often, and that in order to consider an evaluation under DC 6205, we must have definitive medical evidence of a clinical diagnosis of Meniere’s, and not merely subjectively related vertigo paired with hearing loss and tinnitus.</w:t>
            </w:r>
          </w:p>
          <w:p w14:paraId="2067111E" w14:textId="388DFB3C" w:rsidR="00556C47" w:rsidRPr="006F09D5" w:rsidRDefault="00556C47" w:rsidP="00556C47">
            <w:pPr>
              <w:pStyle w:val="QSTBody"/>
              <w:jc w:val="left"/>
              <w:rPr>
                <w:rFonts w:ascii="Times New Roman" w:hAnsi="Times New Roman"/>
                <w:sz w:val="24"/>
                <w:szCs w:val="24"/>
              </w:rPr>
            </w:pPr>
            <w:r w:rsidRPr="006F09D5">
              <w:rPr>
                <w:rFonts w:ascii="Times New Roman" w:hAnsi="Times New Roman"/>
                <w:sz w:val="24"/>
                <w:szCs w:val="24"/>
              </w:rPr>
              <w:t>Point out that the rating schedule allows for evaluation of Meniere’s using DC 6205 OR on the combination of component hearing impairment, tinnitus, and vertigo, but not both. Also observe that the same common DBQ (“Ear Disease”) is used to assess both Meniere’s and vestibular conditions, and that symptoms attendant upon one, the other, or both are located within Section III.</w:t>
            </w:r>
          </w:p>
          <w:p w14:paraId="2D0875B4" w14:textId="77777777" w:rsidR="00556C47" w:rsidRPr="006F09D5" w:rsidRDefault="00556C47" w:rsidP="00556C47">
            <w:pPr>
              <w:pStyle w:val="QSTBody"/>
              <w:jc w:val="left"/>
              <w:rPr>
                <w:rFonts w:ascii="Times New Roman" w:hAnsi="Times New Roman"/>
                <w:sz w:val="24"/>
                <w:szCs w:val="24"/>
              </w:rPr>
            </w:pPr>
            <w:r w:rsidRPr="006F09D5">
              <w:rPr>
                <w:rFonts w:ascii="Times New Roman" w:hAnsi="Times New Roman"/>
                <w:sz w:val="24"/>
                <w:szCs w:val="24"/>
              </w:rPr>
              <w:t>Point out also the notes associated with the Evaluation Builder and the Rating Schedule.</w:t>
            </w:r>
          </w:p>
          <w:p w14:paraId="235F41C1" w14:textId="35D3DE0A" w:rsidR="009B2F5A" w:rsidRPr="006F09D5" w:rsidRDefault="00556C47" w:rsidP="00556C47">
            <w:pPr>
              <w:pStyle w:val="QSTBody"/>
              <w:jc w:val="left"/>
              <w:rPr>
                <w:rFonts w:ascii="Times New Roman" w:hAnsi="Times New Roman"/>
                <w:b/>
                <w:sz w:val="24"/>
                <w:szCs w:val="24"/>
              </w:rPr>
            </w:pPr>
            <w:r w:rsidRPr="006F09D5">
              <w:rPr>
                <w:rFonts w:ascii="Times New Roman" w:hAnsi="Times New Roman"/>
                <w:sz w:val="24"/>
                <w:szCs w:val="24"/>
              </w:rPr>
              <w:t xml:space="preserve">Also explain that the Evaluation Builder for Meniere’s disease will assign an evaluation under DC 6205, but that, depending on the facts of the case, independent evaluations under DCs 6100, 6260, and/or 6204 may better advantage the Veteran and would need to be entered as independent issues in the Evaluation Builder to generate the correct decisional text and diagnostic codes. </w:t>
            </w:r>
          </w:p>
        </w:tc>
      </w:tr>
    </w:tbl>
    <w:p w14:paraId="235F41CC" w14:textId="77777777" w:rsidR="002570A6" w:rsidRPr="006F09D5" w:rsidRDefault="002570A6">
      <w:r w:rsidRPr="006F09D5">
        <w:rPr>
          <w:b/>
          <w:smallCaps/>
        </w:rPr>
        <w:br w:type="page"/>
      </w:r>
    </w:p>
    <w:tbl>
      <w:tblPr>
        <w:tblW w:w="10735" w:type="dxa"/>
        <w:tblInd w:w="-425" w:type="dxa"/>
        <w:tblLayout w:type="fixed"/>
        <w:tblCellMar>
          <w:left w:w="115" w:type="dxa"/>
          <w:right w:w="115" w:type="dxa"/>
        </w:tblCellMar>
        <w:tblLook w:val="0000" w:firstRow="0" w:lastRow="0" w:firstColumn="0" w:lastColumn="0" w:noHBand="0" w:noVBand="0"/>
      </w:tblPr>
      <w:tblGrid>
        <w:gridCol w:w="2560"/>
        <w:gridCol w:w="7700"/>
        <w:gridCol w:w="475"/>
      </w:tblGrid>
      <w:tr w:rsidR="006F09D5" w:rsidRPr="006F09D5" w14:paraId="235F41CE" w14:textId="77777777" w:rsidTr="005C0559">
        <w:trPr>
          <w:gridAfter w:val="1"/>
          <w:wAfter w:w="475" w:type="dxa"/>
          <w:trHeight w:val="212"/>
        </w:trPr>
        <w:tc>
          <w:tcPr>
            <w:tcW w:w="10260" w:type="dxa"/>
            <w:gridSpan w:val="2"/>
            <w:tcBorders>
              <w:top w:val="nil"/>
              <w:left w:val="nil"/>
              <w:bottom w:val="nil"/>
              <w:right w:val="nil"/>
            </w:tcBorders>
            <w:vAlign w:val="center"/>
          </w:tcPr>
          <w:p w14:paraId="235F41CD" w14:textId="0F8519AF" w:rsidR="002570A6" w:rsidRPr="006F09D5" w:rsidRDefault="002570A6" w:rsidP="00556C47">
            <w:pPr>
              <w:pStyle w:val="VBALessonTopicTitle"/>
              <w:rPr>
                <w:color w:val="auto"/>
              </w:rPr>
            </w:pPr>
            <w:bookmarkStart w:id="30" w:name="_Toc453835094"/>
            <w:r w:rsidRPr="006F09D5">
              <w:rPr>
                <w:color w:val="auto"/>
              </w:rPr>
              <w:lastRenderedPageBreak/>
              <w:t xml:space="preserve">Topic 2: </w:t>
            </w:r>
            <w:r w:rsidR="00556C47" w:rsidRPr="006F09D5">
              <w:rPr>
                <w:color w:val="auto"/>
              </w:rPr>
              <w:t>Hearing Loss</w:t>
            </w:r>
            <w:bookmarkEnd w:id="30"/>
          </w:p>
        </w:tc>
      </w:tr>
      <w:tr w:rsidR="006F09D5" w:rsidRPr="006F09D5" w14:paraId="235F41D1" w14:textId="77777777" w:rsidTr="005C0559">
        <w:trPr>
          <w:gridAfter w:val="1"/>
          <w:wAfter w:w="475" w:type="dxa"/>
          <w:trHeight w:val="522"/>
        </w:trPr>
        <w:tc>
          <w:tcPr>
            <w:tcW w:w="2560" w:type="dxa"/>
            <w:tcBorders>
              <w:top w:val="nil"/>
              <w:left w:val="nil"/>
              <w:right w:val="nil"/>
            </w:tcBorders>
          </w:tcPr>
          <w:p w14:paraId="235F41CF" w14:textId="24B58FCB" w:rsidR="00314F70" w:rsidRPr="006F09D5" w:rsidRDefault="00314F70" w:rsidP="007056E7">
            <w:pPr>
              <w:pStyle w:val="VBALevel1Heading"/>
            </w:pPr>
            <w:r w:rsidRPr="006F09D5">
              <w:t>Introduction</w:t>
            </w:r>
          </w:p>
        </w:tc>
        <w:tc>
          <w:tcPr>
            <w:tcW w:w="7700" w:type="dxa"/>
            <w:vMerge w:val="restart"/>
            <w:tcBorders>
              <w:top w:val="nil"/>
              <w:left w:val="nil"/>
              <w:right w:val="nil"/>
            </w:tcBorders>
          </w:tcPr>
          <w:p w14:paraId="235F41D0" w14:textId="3E44F87C" w:rsidR="00314F70" w:rsidRPr="006F09D5" w:rsidRDefault="00314F70" w:rsidP="007056E7">
            <w:pPr>
              <w:pStyle w:val="VBABodyText"/>
              <w:rPr>
                <w:b/>
                <w:color w:val="auto"/>
              </w:rPr>
            </w:pPr>
            <w:r w:rsidRPr="006F09D5">
              <w:rPr>
                <w:color w:val="auto"/>
              </w:rPr>
              <w:t>We will now be shifting our attention to this system’s most significant and commonly encountered disability, hearing loss. Our instruction will include the hearing loss rating rubrics per 38 CFR 4.85; the Hearing Loss &amp; Tinnitus DBQ; special considerations specific to hearing loss; and data entry in the Hearing Loss Calculator environment.</w:t>
            </w:r>
          </w:p>
        </w:tc>
      </w:tr>
      <w:tr w:rsidR="006F09D5" w:rsidRPr="006F09D5" w14:paraId="34BB03F5" w14:textId="77777777" w:rsidTr="005C0559">
        <w:trPr>
          <w:gridAfter w:val="1"/>
          <w:wAfter w:w="475" w:type="dxa"/>
          <w:trHeight w:val="1095"/>
        </w:trPr>
        <w:tc>
          <w:tcPr>
            <w:tcW w:w="2560" w:type="dxa"/>
            <w:tcBorders>
              <w:left w:val="nil"/>
              <w:bottom w:val="nil"/>
              <w:right w:val="nil"/>
            </w:tcBorders>
          </w:tcPr>
          <w:p w14:paraId="1BBBCFC9" w14:textId="0DD042FA" w:rsidR="00314F70" w:rsidRPr="006F09D5" w:rsidRDefault="00314F70" w:rsidP="00314F70">
            <w:pPr>
              <w:pStyle w:val="Heading5"/>
              <w:rPr>
                <w:rStyle w:val="Emphasis"/>
                <w:i/>
              </w:rPr>
            </w:pPr>
            <w:r w:rsidRPr="006F09D5">
              <w:rPr>
                <w:rStyle w:val="Emphasis"/>
                <w:i/>
              </w:rPr>
              <w:t>Slide 8</w:t>
            </w:r>
          </w:p>
        </w:tc>
        <w:tc>
          <w:tcPr>
            <w:tcW w:w="7700" w:type="dxa"/>
            <w:vMerge/>
            <w:tcBorders>
              <w:left w:val="nil"/>
              <w:bottom w:val="nil"/>
              <w:right w:val="nil"/>
            </w:tcBorders>
          </w:tcPr>
          <w:p w14:paraId="0F1F0978" w14:textId="77777777" w:rsidR="00314F70" w:rsidRPr="006F09D5" w:rsidRDefault="00314F70" w:rsidP="007056E7">
            <w:pPr>
              <w:pStyle w:val="VBABodyText"/>
              <w:rPr>
                <w:color w:val="auto"/>
              </w:rPr>
            </w:pPr>
          </w:p>
        </w:tc>
      </w:tr>
      <w:tr w:rsidR="006F09D5" w:rsidRPr="006F09D5" w14:paraId="235F41E4" w14:textId="77777777" w:rsidTr="005C0559">
        <w:trPr>
          <w:gridAfter w:val="1"/>
          <w:wAfter w:w="475" w:type="dxa"/>
          <w:trHeight w:val="212"/>
        </w:trPr>
        <w:tc>
          <w:tcPr>
            <w:tcW w:w="2560" w:type="dxa"/>
            <w:tcBorders>
              <w:top w:val="nil"/>
              <w:left w:val="nil"/>
              <w:bottom w:val="nil"/>
              <w:right w:val="nil"/>
            </w:tcBorders>
          </w:tcPr>
          <w:p w14:paraId="235F41E0" w14:textId="6A6E22F4" w:rsidR="002570A6" w:rsidRPr="006F09D5" w:rsidRDefault="0090462A" w:rsidP="007056E7">
            <w:pPr>
              <w:pStyle w:val="VBALevel2Heading"/>
              <w:rPr>
                <w:bCs/>
                <w:i/>
                <w:color w:val="auto"/>
              </w:rPr>
            </w:pPr>
            <w:r w:rsidRPr="006F09D5">
              <w:rPr>
                <w:color w:val="auto"/>
                <w:u w:val="single"/>
              </w:rPr>
              <w:t>Proper Hearing Loss Development and Our Duty to Examine</w:t>
            </w:r>
            <w:r w:rsidR="002570A6" w:rsidRPr="006F09D5">
              <w:rPr>
                <w:rFonts w:ascii="Times New Roman Bold" w:hAnsi="Times New Roman Bold"/>
                <w:color w:val="auto"/>
              </w:rPr>
              <w:br/>
            </w:r>
          </w:p>
          <w:p w14:paraId="235F41E1" w14:textId="01361D96" w:rsidR="002570A6" w:rsidRPr="006F09D5" w:rsidRDefault="002570A6" w:rsidP="007056E7">
            <w:pPr>
              <w:pStyle w:val="VBASlideNumber"/>
              <w:rPr>
                <w:color w:val="auto"/>
              </w:rPr>
            </w:pPr>
            <w:r w:rsidRPr="006F09D5">
              <w:rPr>
                <w:color w:val="auto"/>
              </w:rPr>
              <w:t xml:space="preserve">Slide </w:t>
            </w:r>
            <w:r w:rsidR="00B3741F" w:rsidRPr="006F09D5">
              <w:rPr>
                <w:color w:val="auto"/>
              </w:rPr>
              <w:t>9</w:t>
            </w:r>
            <w:r w:rsidRPr="006F09D5">
              <w:rPr>
                <w:color w:val="auto"/>
              </w:rPr>
              <w:br/>
            </w:r>
          </w:p>
          <w:p w14:paraId="235F41E2" w14:textId="09A6220D" w:rsidR="002570A6" w:rsidRPr="006F09D5" w:rsidRDefault="002570A6" w:rsidP="007056E7">
            <w:pPr>
              <w:pStyle w:val="VBAHandoutNumber"/>
              <w:rPr>
                <w:color w:val="auto"/>
              </w:rPr>
            </w:pPr>
          </w:p>
        </w:tc>
        <w:tc>
          <w:tcPr>
            <w:tcW w:w="7700" w:type="dxa"/>
            <w:tcBorders>
              <w:top w:val="nil"/>
              <w:left w:val="nil"/>
              <w:bottom w:val="nil"/>
              <w:right w:val="nil"/>
            </w:tcBorders>
          </w:tcPr>
          <w:p w14:paraId="4DD823C9" w14:textId="77777777" w:rsidR="00B3741F" w:rsidRPr="006F09D5" w:rsidRDefault="00B3741F" w:rsidP="00B3741F">
            <w:pPr>
              <w:pStyle w:val="QSTBody"/>
              <w:jc w:val="left"/>
              <w:rPr>
                <w:rFonts w:ascii="Times New Roman" w:hAnsi="Times New Roman"/>
                <w:sz w:val="24"/>
                <w:szCs w:val="24"/>
              </w:rPr>
            </w:pPr>
            <w:r w:rsidRPr="006F09D5">
              <w:rPr>
                <w:rFonts w:ascii="Times New Roman" w:hAnsi="Times New Roman"/>
                <w:b/>
                <w:sz w:val="24"/>
                <w:szCs w:val="24"/>
              </w:rPr>
              <w:t xml:space="preserve">EXPLAIN </w:t>
            </w:r>
            <w:r w:rsidRPr="006F09D5">
              <w:rPr>
                <w:rFonts w:ascii="Times New Roman" w:hAnsi="Times New Roman"/>
                <w:sz w:val="24"/>
                <w:szCs w:val="24"/>
              </w:rPr>
              <w:t>that it is of crucial importance that we as RVSRs remain ever mindful of the unique developmental and examination requirements inherent to hearing loss claims in order to ensure that our legal duty to assist has been fulfilled in every case that is certified as “ready for decision”.</w:t>
            </w:r>
          </w:p>
          <w:p w14:paraId="77E1C655" w14:textId="77777777" w:rsidR="00B3741F" w:rsidRPr="006F09D5" w:rsidRDefault="00B3741F" w:rsidP="00B3741F">
            <w:pPr>
              <w:pStyle w:val="QSTBody"/>
              <w:jc w:val="left"/>
              <w:rPr>
                <w:rFonts w:ascii="Times New Roman" w:hAnsi="Times New Roman"/>
                <w:sz w:val="24"/>
                <w:szCs w:val="24"/>
              </w:rPr>
            </w:pPr>
            <w:r w:rsidRPr="006F09D5">
              <w:rPr>
                <w:rFonts w:ascii="Times New Roman" w:hAnsi="Times New Roman"/>
                <w:b/>
                <w:sz w:val="24"/>
                <w:szCs w:val="24"/>
              </w:rPr>
              <w:t xml:space="preserve">STRESS </w:t>
            </w:r>
            <w:r w:rsidRPr="006F09D5">
              <w:rPr>
                <w:rFonts w:ascii="Times New Roman" w:hAnsi="Times New Roman"/>
                <w:sz w:val="24"/>
                <w:szCs w:val="24"/>
              </w:rPr>
              <w:t xml:space="preserve">that the threshold for requesting an audiological examination is extremely low – more so, even, than with a general reading of </w:t>
            </w:r>
            <w:r w:rsidRPr="006F09D5">
              <w:rPr>
                <w:rFonts w:ascii="Times New Roman" w:hAnsi="Times New Roman"/>
                <w:i/>
                <w:sz w:val="24"/>
                <w:szCs w:val="24"/>
              </w:rPr>
              <w:t>McClendon</w:t>
            </w:r>
            <w:r w:rsidRPr="006F09D5">
              <w:rPr>
                <w:rFonts w:ascii="Times New Roman" w:hAnsi="Times New Roman"/>
                <w:sz w:val="24"/>
                <w:szCs w:val="24"/>
              </w:rPr>
              <w:t xml:space="preserve"> and for conventional claims adjudication. Authentication of current, persistent symptoms may be accomplished via lay testimony, as Veterans are regarded as competent to speak to subjectively appreciable conditions such as hearing impairment. Veterans’ contentions of or allusions to service-related causation are also regarded as credible and plausible, and are to be routinely accepted as sufficient to referral for examination.</w:t>
            </w:r>
          </w:p>
          <w:p w14:paraId="2B82B5CC" w14:textId="77777777" w:rsidR="00B3741F" w:rsidRPr="006F09D5" w:rsidRDefault="00B3741F" w:rsidP="00B3741F">
            <w:pPr>
              <w:pStyle w:val="QSTBody"/>
              <w:jc w:val="left"/>
              <w:rPr>
                <w:rFonts w:ascii="Times New Roman" w:hAnsi="Times New Roman"/>
                <w:sz w:val="24"/>
                <w:szCs w:val="24"/>
              </w:rPr>
            </w:pPr>
            <w:r w:rsidRPr="006F09D5">
              <w:rPr>
                <w:rFonts w:ascii="Times New Roman" w:hAnsi="Times New Roman"/>
                <w:sz w:val="24"/>
                <w:szCs w:val="24"/>
              </w:rPr>
              <w:t>The construction of a qualifying in-service event may assume a number of forms in hearing loss claims. STRs may show an in-service manifestation of hearing loss or diminution of auditory thresholds, either of which would certainly be accepted as proof of a hearing-related in-service event. But a combat decoration or performance of an occupational specialty consistent with moderately or highly probable noise exposure is also grounds for validating the existence of an in-service event on which a grant of service connection may be predicated.</w:t>
            </w:r>
          </w:p>
          <w:p w14:paraId="508523F5" w14:textId="2D446390" w:rsidR="00B3741F" w:rsidRPr="006F09D5" w:rsidRDefault="00B3741F" w:rsidP="00B3741F">
            <w:pPr>
              <w:pStyle w:val="QSTBody"/>
              <w:jc w:val="left"/>
              <w:rPr>
                <w:rFonts w:ascii="Times New Roman" w:hAnsi="Times New Roman"/>
                <w:sz w:val="24"/>
                <w:szCs w:val="24"/>
              </w:rPr>
            </w:pPr>
            <w:r w:rsidRPr="006F09D5">
              <w:rPr>
                <w:rFonts w:ascii="Times New Roman" w:hAnsi="Times New Roman"/>
                <w:b/>
                <w:sz w:val="24"/>
                <w:szCs w:val="24"/>
              </w:rPr>
              <w:t>REFER</w:t>
            </w:r>
            <w:r w:rsidR="00B212BF" w:rsidRPr="006F09D5">
              <w:rPr>
                <w:rFonts w:ascii="Times New Roman" w:hAnsi="Times New Roman"/>
                <w:sz w:val="24"/>
                <w:szCs w:val="24"/>
              </w:rPr>
              <w:t xml:space="preserve"> to M21-1 III.iv.4.B.3.d</w:t>
            </w:r>
            <w:r w:rsidRPr="006F09D5">
              <w:rPr>
                <w:rFonts w:ascii="Times New Roman" w:hAnsi="Times New Roman"/>
                <w:sz w:val="24"/>
                <w:szCs w:val="24"/>
              </w:rPr>
              <w:t xml:space="preserve"> and the </w:t>
            </w:r>
            <w:r w:rsidR="00B212BF" w:rsidRPr="006F09D5">
              <w:rPr>
                <w:rFonts w:ascii="Times New Roman" w:hAnsi="Times New Roman"/>
                <w:sz w:val="24"/>
                <w:szCs w:val="24"/>
              </w:rPr>
              <w:t>Duty Military Occupational Specialty (MOS) Noise Exposure Listing</w:t>
            </w:r>
            <w:r w:rsidRPr="006F09D5">
              <w:rPr>
                <w:rFonts w:ascii="Times New Roman" w:hAnsi="Times New Roman"/>
                <w:sz w:val="24"/>
                <w:szCs w:val="24"/>
              </w:rPr>
              <w:t>, which is hyperlinked within the CPKM, and briefly explain the layout of the MOS Excel document and its division by service branch and enlisted/commissioned status.</w:t>
            </w:r>
          </w:p>
          <w:p w14:paraId="3BE78A68" w14:textId="77777777" w:rsidR="002570A6" w:rsidRPr="006F09D5" w:rsidRDefault="00B3741F" w:rsidP="00B3741F">
            <w:pPr>
              <w:pStyle w:val="QSTBody"/>
              <w:jc w:val="left"/>
              <w:rPr>
                <w:rFonts w:ascii="Times New Roman" w:hAnsi="Times New Roman"/>
                <w:sz w:val="24"/>
                <w:szCs w:val="24"/>
              </w:rPr>
            </w:pPr>
            <w:r w:rsidRPr="006F09D5">
              <w:rPr>
                <w:rFonts w:ascii="Times New Roman" w:hAnsi="Times New Roman"/>
                <w:sz w:val="24"/>
                <w:szCs w:val="24"/>
              </w:rPr>
              <w:t>Trainees should also be advised that, as per VSCM Conference Call dated May 2012, even Veterans with low-probability MOSs may be accorded a VA examination for hearing loss and/or tinnitus, provided they supplement their claims with lay testimony concerning a declaration of in-service noise exposure, and such testimony is otherwise reasonably consistent with the facts and circumstances of service.</w:t>
            </w:r>
          </w:p>
          <w:p w14:paraId="235F41E3" w14:textId="1C8881C8" w:rsidR="00B3741F" w:rsidRPr="006F09D5" w:rsidRDefault="00B3741F" w:rsidP="00B3741F">
            <w:pPr>
              <w:pStyle w:val="QSTBody"/>
              <w:jc w:val="left"/>
              <w:rPr>
                <w:rFonts w:ascii="Times New Roman" w:hAnsi="Times New Roman"/>
                <w:sz w:val="24"/>
                <w:szCs w:val="24"/>
              </w:rPr>
            </w:pPr>
          </w:p>
        </w:tc>
      </w:tr>
      <w:tr w:rsidR="006F09D5" w:rsidRPr="006F09D5" w14:paraId="235F41E9" w14:textId="77777777" w:rsidTr="005C0559">
        <w:trPr>
          <w:trHeight w:val="212"/>
        </w:trPr>
        <w:tc>
          <w:tcPr>
            <w:tcW w:w="2560" w:type="dxa"/>
            <w:tcBorders>
              <w:top w:val="nil"/>
              <w:left w:val="nil"/>
              <w:bottom w:val="nil"/>
              <w:right w:val="nil"/>
            </w:tcBorders>
          </w:tcPr>
          <w:p w14:paraId="235F41E5" w14:textId="45E463F8" w:rsidR="002570A6" w:rsidRPr="006F09D5" w:rsidRDefault="00AF7E46" w:rsidP="002570A6">
            <w:pPr>
              <w:pStyle w:val="VBALevel2Heading"/>
              <w:rPr>
                <w:color w:val="auto"/>
              </w:rPr>
            </w:pPr>
            <w:r w:rsidRPr="006F09D5">
              <w:rPr>
                <w:color w:val="auto"/>
                <w:u w:val="single"/>
              </w:rPr>
              <w:t>38 CFR 3.385 – Disability Due to Impaired Hearing</w:t>
            </w:r>
            <w:r w:rsidR="002570A6" w:rsidRPr="006F09D5">
              <w:rPr>
                <w:color w:val="auto"/>
              </w:rPr>
              <w:br/>
            </w:r>
          </w:p>
          <w:p w14:paraId="235F41E6" w14:textId="0D34378C" w:rsidR="002570A6" w:rsidRPr="006F09D5" w:rsidRDefault="002570A6" w:rsidP="007056E7">
            <w:pPr>
              <w:pStyle w:val="VBASlideNumber"/>
              <w:rPr>
                <w:color w:val="auto"/>
              </w:rPr>
            </w:pPr>
            <w:r w:rsidRPr="006F09D5">
              <w:rPr>
                <w:color w:val="auto"/>
              </w:rPr>
              <w:lastRenderedPageBreak/>
              <w:t xml:space="preserve">Slide </w:t>
            </w:r>
            <w:r w:rsidR="00AF7E46" w:rsidRPr="006F09D5">
              <w:rPr>
                <w:color w:val="auto"/>
              </w:rPr>
              <w:t>10</w:t>
            </w:r>
            <w:r w:rsidRPr="006F09D5">
              <w:rPr>
                <w:color w:val="auto"/>
              </w:rPr>
              <w:br/>
            </w:r>
          </w:p>
          <w:p w14:paraId="235F41E7" w14:textId="45750D29" w:rsidR="002570A6" w:rsidRPr="006F09D5" w:rsidRDefault="002570A6" w:rsidP="007056E7">
            <w:pPr>
              <w:pStyle w:val="VBAHandoutNumber"/>
              <w:rPr>
                <w:color w:val="auto"/>
              </w:rPr>
            </w:pPr>
          </w:p>
        </w:tc>
        <w:tc>
          <w:tcPr>
            <w:tcW w:w="8175" w:type="dxa"/>
            <w:gridSpan w:val="2"/>
            <w:tcBorders>
              <w:top w:val="nil"/>
              <w:left w:val="nil"/>
              <w:bottom w:val="nil"/>
              <w:right w:val="nil"/>
            </w:tcBorders>
          </w:tcPr>
          <w:p w14:paraId="1EE32662" w14:textId="77777777" w:rsidR="00AF7E46" w:rsidRPr="006F09D5" w:rsidRDefault="00AF7E46" w:rsidP="00AF7E46">
            <w:pPr>
              <w:pStyle w:val="QSTBody"/>
              <w:jc w:val="left"/>
              <w:rPr>
                <w:rFonts w:ascii="Times New Roman" w:hAnsi="Times New Roman"/>
                <w:sz w:val="24"/>
                <w:szCs w:val="24"/>
              </w:rPr>
            </w:pPr>
            <w:r w:rsidRPr="006F09D5">
              <w:rPr>
                <w:rFonts w:ascii="Times New Roman" w:hAnsi="Times New Roman"/>
                <w:b/>
                <w:sz w:val="24"/>
                <w:szCs w:val="24"/>
              </w:rPr>
              <w:lastRenderedPageBreak/>
              <w:t xml:space="preserve">EXPLAIN </w:t>
            </w:r>
            <w:r w:rsidRPr="006F09D5">
              <w:rPr>
                <w:rFonts w:ascii="Times New Roman" w:hAnsi="Times New Roman"/>
                <w:sz w:val="24"/>
                <w:szCs w:val="24"/>
              </w:rPr>
              <w:t xml:space="preserve">that in order for a Veteran to be awarded service connection, current hearing loss, even if clinically diagnosed as such by an audiological professional, must meet the audiometric and/or speech discrimination requirements of 3.385. </w:t>
            </w:r>
          </w:p>
          <w:p w14:paraId="0B445040" w14:textId="77777777" w:rsidR="00AF7E46" w:rsidRPr="006F09D5" w:rsidRDefault="00AF7E46" w:rsidP="00AF7E46">
            <w:pPr>
              <w:pStyle w:val="QSTBody"/>
              <w:jc w:val="left"/>
              <w:rPr>
                <w:rFonts w:ascii="Times New Roman" w:hAnsi="Times New Roman"/>
                <w:sz w:val="24"/>
                <w:szCs w:val="24"/>
              </w:rPr>
            </w:pPr>
            <w:r w:rsidRPr="006F09D5">
              <w:rPr>
                <w:rFonts w:ascii="Times New Roman" w:hAnsi="Times New Roman"/>
                <w:b/>
                <w:sz w:val="24"/>
                <w:szCs w:val="24"/>
              </w:rPr>
              <w:lastRenderedPageBreak/>
              <w:t>DISPLAY</w:t>
            </w:r>
            <w:r w:rsidRPr="006F09D5">
              <w:rPr>
                <w:rFonts w:ascii="Times New Roman" w:hAnsi="Times New Roman"/>
                <w:sz w:val="24"/>
                <w:szCs w:val="24"/>
              </w:rPr>
              <w:t xml:space="preserve"> the following graphic onto a Whiteboard and ask that trainees identify whether audiometric findings as shown constitute 3.385-compliant, VA-purpose hearing loss.</w:t>
            </w:r>
          </w:p>
          <w:p w14:paraId="3AF2EC18" w14:textId="414C0F9E" w:rsidR="00AF7E46" w:rsidRPr="006F09D5" w:rsidRDefault="00AF7E46" w:rsidP="00AF7E46">
            <w:pPr>
              <w:pStyle w:val="QSTBody"/>
              <w:jc w:val="left"/>
              <w:rPr>
                <w:rFonts w:ascii="Times New Roman" w:hAnsi="Times New Roman"/>
                <w:sz w:val="24"/>
                <w:szCs w:val="24"/>
              </w:rPr>
            </w:pPr>
            <w:r w:rsidRPr="006F09D5">
              <w:rPr>
                <w:rFonts w:ascii="Times New Roman" w:hAnsi="Times New Roman"/>
                <w:noProof/>
                <w:sz w:val="24"/>
                <w:szCs w:val="24"/>
              </w:rPr>
              <w:drawing>
                <wp:inline distT="0" distB="0" distL="0" distR="0" wp14:anchorId="149D6588" wp14:editId="04A7491E">
                  <wp:extent cx="5079705" cy="2800350"/>
                  <wp:effectExtent l="0" t="0" r="6985" b="0"/>
                  <wp:docPr id="1" name="Picture 1" descr="HL or n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 or no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91707" cy="2806966"/>
                          </a:xfrm>
                          <a:prstGeom prst="rect">
                            <a:avLst/>
                          </a:prstGeom>
                          <a:noFill/>
                          <a:ln>
                            <a:noFill/>
                          </a:ln>
                        </pic:spPr>
                      </pic:pic>
                    </a:graphicData>
                  </a:graphic>
                </wp:inline>
              </w:drawing>
            </w:r>
          </w:p>
          <w:p w14:paraId="235F41E8" w14:textId="09266023" w:rsidR="002570A6" w:rsidRPr="006F09D5" w:rsidRDefault="00AF7E46" w:rsidP="00AF7E46">
            <w:pPr>
              <w:pStyle w:val="QSTBody"/>
              <w:jc w:val="left"/>
              <w:rPr>
                <w:rFonts w:ascii="Times New Roman" w:hAnsi="Times New Roman"/>
                <w:sz w:val="24"/>
                <w:szCs w:val="24"/>
              </w:rPr>
            </w:pPr>
            <w:r w:rsidRPr="006F09D5">
              <w:rPr>
                <w:rFonts w:ascii="Times New Roman" w:hAnsi="Times New Roman"/>
                <w:sz w:val="24"/>
                <w:szCs w:val="24"/>
              </w:rPr>
              <w:t>(Answer: The left does, and the right does not.)</w:t>
            </w:r>
          </w:p>
        </w:tc>
      </w:tr>
      <w:tr w:rsidR="006F09D5" w:rsidRPr="006F09D5" w14:paraId="235F41EE" w14:textId="77777777" w:rsidTr="005C0559">
        <w:trPr>
          <w:gridAfter w:val="1"/>
          <w:wAfter w:w="475" w:type="dxa"/>
          <w:trHeight w:val="212"/>
        </w:trPr>
        <w:tc>
          <w:tcPr>
            <w:tcW w:w="2560" w:type="dxa"/>
            <w:tcBorders>
              <w:top w:val="nil"/>
              <w:left w:val="nil"/>
              <w:bottom w:val="nil"/>
              <w:right w:val="nil"/>
            </w:tcBorders>
          </w:tcPr>
          <w:p w14:paraId="235F41EA" w14:textId="52A9306B" w:rsidR="002570A6" w:rsidRPr="006F09D5" w:rsidRDefault="005C0559" w:rsidP="007056E7">
            <w:pPr>
              <w:pStyle w:val="VBALevel2Heading"/>
              <w:rPr>
                <w:bCs/>
                <w:i/>
                <w:color w:val="auto"/>
                <w:szCs w:val="24"/>
              </w:rPr>
            </w:pPr>
            <w:r w:rsidRPr="006F09D5">
              <w:rPr>
                <w:color w:val="auto"/>
                <w:szCs w:val="24"/>
                <w:u w:val="single"/>
              </w:rPr>
              <w:lastRenderedPageBreak/>
              <w:t>Hearing Loss (DC 6100)</w:t>
            </w:r>
            <w:r w:rsidR="002570A6" w:rsidRPr="006F09D5">
              <w:rPr>
                <w:color w:val="auto"/>
                <w:szCs w:val="24"/>
              </w:rPr>
              <w:br/>
            </w:r>
          </w:p>
          <w:p w14:paraId="235F41EB" w14:textId="05A8B90A" w:rsidR="002570A6" w:rsidRPr="006F09D5" w:rsidRDefault="002570A6" w:rsidP="007056E7">
            <w:pPr>
              <w:pStyle w:val="VBASlideNumber"/>
              <w:rPr>
                <w:color w:val="auto"/>
                <w:szCs w:val="24"/>
              </w:rPr>
            </w:pPr>
            <w:r w:rsidRPr="006F09D5">
              <w:rPr>
                <w:color w:val="auto"/>
                <w:szCs w:val="24"/>
              </w:rPr>
              <w:t xml:space="preserve">Slide </w:t>
            </w:r>
            <w:r w:rsidR="005C0559" w:rsidRPr="006F09D5">
              <w:rPr>
                <w:color w:val="auto"/>
                <w:szCs w:val="24"/>
              </w:rPr>
              <w:t>11</w:t>
            </w:r>
            <w:r w:rsidRPr="006F09D5">
              <w:rPr>
                <w:color w:val="auto"/>
                <w:szCs w:val="24"/>
              </w:rPr>
              <w:br/>
            </w:r>
          </w:p>
          <w:p w14:paraId="235F41EC" w14:textId="71601311" w:rsidR="002570A6" w:rsidRPr="006F09D5" w:rsidRDefault="002570A6" w:rsidP="007056E7">
            <w:pPr>
              <w:pStyle w:val="VBAHandoutNumber"/>
              <w:rPr>
                <w:color w:val="auto"/>
                <w:szCs w:val="24"/>
              </w:rPr>
            </w:pPr>
          </w:p>
        </w:tc>
        <w:tc>
          <w:tcPr>
            <w:tcW w:w="7700" w:type="dxa"/>
            <w:tcBorders>
              <w:top w:val="nil"/>
              <w:left w:val="nil"/>
              <w:bottom w:val="nil"/>
              <w:right w:val="nil"/>
            </w:tcBorders>
          </w:tcPr>
          <w:p w14:paraId="235F41ED" w14:textId="5BA5E879" w:rsidR="002570A6" w:rsidRPr="006F09D5" w:rsidRDefault="005C0559" w:rsidP="005C0559">
            <w:pPr>
              <w:pStyle w:val="QSTBody"/>
              <w:jc w:val="left"/>
              <w:rPr>
                <w:rFonts w:ascii="Times New Roman" w:hAnsi="Times New Roman"/>
                <w:sz w:val="24"/>
                <w:szCs w:val="24"/>
              </w:rPr>
            </w:pPr>
            <w:r w:rsidRPr="006F09D5">
              <w:rPr>
                <w:rFonts w:ascii="Times New Roman" w:hAnsi="Times New Roman"/>
                <w:b/>
                <w:sz w:val="24"/>
                <w:szCs w:val="24"/>
              </w:rPr>
              <w:t>EXPLAIN</w:t>
            </w:r>
            <w:r w:rsidRPr="006F09D5">
              <w:rPr>
                <w:rFonts w:ascii="Times New Roman" w:hAnsi="Times New Roman"/>
                <w:sz w:val="24"/>
                <w:szCs w:val="24"/>
              </w:rPr>
              <w:t xml:space="preserve"> that the schedule for rating hearing loss comprises a series of tables that plot intersections of impairment to puretone threshold averages and percentages of speech discrimination. Stress that the puretone threshold average represents the mean of decibel losses recorded at frequencies of 1000-4000 Hertz, but that 500 (although a part of 3.385) 6000, and 8000 Hertz, though routinely documented on examination, bear no import on evaluation assignment.</w:t>
            </w:r>
          </w:p>
        </w:tc>
      </w:tr>
      <w:tr w:rsidR="006F09D5" w:rsidRPr="006F09D5" w14:paraId="235F41F6" w14:textId="77777777" w:rsidTr="005C0559">
        <w:trPr>
          <w:gridAfter w:val="1"/>
          <w:wAfter w:w="475" w:type="dxa"/>
          <w:cantSplit/>
          <w:trHeight w:val="212"/>
        </w:trPr>
        <w:tc>
          <w:tcPr>
            <w:tcW w:w="2560" w:type="dxa"/>
            <w:tcBorders>
              <w:top w:val="nil"/>
              <w:left w:val="nil"/>
              <w:bottom w:val="nil"/>
              <w:right w:val="nil"/>
            </w:tcBorders>
          </w:tcPr>
          <w:p w14:paraId="235F41EF" w14:textId="0A554B1D" w:rsidR="002570A6" w:rsidRPr="006F09D5" w:rsidRDefault="005C0559" w:rsidP="002570A6">
            <w:pPr>
              <w:pStyle w:val="VBALevel2Heading"/>
              <w:rPr>
                <w:color w:val="auto"/>
                <w:szCs w:val="24"/>
              </w:rPr>
            </w:pPr>
            <w:r w:rsidRPr="006F09D5">
              <w:rPr>
                <w:color w:val="auto"/>
                <w:szCs w:val="24"/>
                <w:u w:val="single"/>
              </w:rPr>
              <w:t>Hearing Loss: The DBQ</w:t>
            </w:r>
            <w:r w:rsidR="002570A6" w:rsidRPr="006F09D5">
              <w:rPr>
                <w:color w:val="auto"/>
                <w:szCs w:val="24"/>
              </w:rPr>
              <w:br/>
            </w:r>
          </w:p>
          <w:p w14:paraId="235F41F0" w14:textId="7E334615" w:rsidR="002570A6" w:rsidRPr="006F09D5" w:rsidRDefault="005C0559" w:rsidP="007056E7">
            <w:pPr>
              <w:pStyle w:val="VBASlideNumber"/>
              <w:rPr>
                <w:color w:val="auto"/>
                <w:szCs w:val="24"/>
              </w:rPr>
            </w:pPr>
            <w:r w:rsidRPr="006F09D5">
              <w:rPr>
                <w:color w:val="auto"/>
                <w:szCs w:val="24"/>
              </w:rPr>
              <w:t>Slide 12</w:t>
            </w:r>
            <w:r w:rsidR="002570A6" w:rsidRPr="006F09D5">
              <w:rPr>
                <w:color w:val="auto"/>
                <w:szCs w:val="24"/>
              </w:rPr>
              <w:br/>
            </w:r>
          </w:p>
          <w:p w14:paraId="235F41F1" w14:textId="0DC87A6D" w:rsidR="002570A6" w:rsidRPr="006F09D5" w:rsidRDefault="002570A6" w:rsidP="007056E7">
            <w:pPr>
              <w:pStyle w:val="VBAHandoutNumber"/>
              <w:rPr>
                <w:color w:val="auto"/>
                <w:szCs w:val="24"/>
              </w:rPr>
            </w:pPr>
          </w:p>
        </w:tc>
        <w:tc>
          <w:tcPr>
            <w:tcW w:w="7700" w:type="dxa"/>
            <w:tcBorders>
              <w:top w:val="nil"/>
              <w:left w:val="nil"/>
              <w:bottom w:val="nil"/>
              <w:right w:val="nil"/>
            </w:tcBorders>
          </w:tcPr>
          <w:p w14:paraId="35F1A249" w14:textId="77777777" w:rsidR="005C0559" w:rsidRPr="006F09D5" w:rsidRDefault="005C0559" w:rsidP="005C0559">
            <w:pPr>
              <w:pStyle w:val="QSTBody"/>
              <w:jc w:val="left"/>
              <w:rPr>
                <w:rFonts w:ascii="Times New Roman" w:hAnsi="Times New Roman"/>
                <w:sz w:val="24"/>
                <w:szCs w:val="24"/>
              </w:rPr>
            </w:pPr>
            <w:r w:rsidRPr="006F09D5">
              <w:rPr>
                <w:rFonts w:ascii="Times New Roman" w:hAnsi="Times New Roman"/>
                <w:b/>
                <w:sz w:val="24"/>
                <w:szCs w:val="24"/>
              </w:rPr>
              <w:t xml:space="preserve">DISPLAY </w:t>
            </w:r>
            <w:r w:rsidRPr="006F09D5">
              <w:rPr>
                <w:rFonts w:ascii="Times New Roman" w:hAnsi="Times New Roman"/>
                <w:sz w:val="24"/>
                <w:szCs w:val="24"/>
              </w:rPr>
              <w:t>excerpts from the audiological DBQ (or the complete DBQ) and call to trainees attentions that the primary points of focus upon reviewing such exams are the audiometric frequency readings, the Maryland CNC-derived speech discrimination scores, and the embedded etiology opinion request.</w:t>
            </w:r>
          </w:p>
          <w:p w14:paraId="235F41F5" w14:textId="1E0D4B0E" w:rsidR="002570A6" w:rsidRPr="006F09D5" w:rsidRDefault="005C0559" w:rsidP="005C0559">
            <w:pPr>
              <w:pStyle w:val="QSTBody"/>
              <w:jc w:val="left"/>
              <w:rPr>
                <w:rFonts w:ascii="Times New Roman" w:hAnsi="Times New Roman"/>
                <w:sz w:val="24"/>
                <w:szCs w:val="24"/>
              </w:rPr>
            </w:pPr>
            <w:r w:rsidRPr="006F09D5">
              <w:rPr>
                <w:rFonts w:ascii="Times New Roman" w:hAnsi="Times New Roman"/>
                <w:b/>
                <w:sz w:val="24"/>
                <w:szCs w:val="24"/>
              </w:rPr>
              <w:t>EMPHASIZE</w:t>
            </w:r>
            <w:r w:rsidRPr="006F09D5">
              <w:rPr>
                <w:rFonts w:ascii="Times New Roman" w:hAnsi="Times New Roman"/>
                <w:sz w:val="24"/>
                <w:szCs w:val="24"/>
              </w:rPr>
              <w:t xml:space="preserve"> footnote points, including the requirement that this specialty exam be carried out by a state-licensed audiologist; that Maryland CNC speech discrimination testing be conducted; and that hearing loss be assessed without the use of hearing aids.   </w:t>
            </w:r>
          </w:p>
        </w:tc>
      </w:tr>
      <w:tr w:rsidR="006F09D5" w:rsidRPr="006F09D5" w14:paraId="06AAE178" w14:textId="77777777" w:rsidTr="005C0559">
        <w:trPr>
          <w:gridAfter w:val="1"/>
          <w:wAfter w:w="475" w:type="dxa"/>
          <w:cantSplit/>
          <w:trHeight w:val="212"/>
        </w:trPr>
        <w:tc>
          <w:tcPr>
            <w:tcW w:w="2560" w:type="dxa"/>
            <w:tcBorders>
              <w:top w:val="nil"/>
              <w:left w:val="nil"/>
              <w:bottom w:val="nil"/>
              <w:right w:val="nil"/>
            </w:tcBorders>
          </w:tcPr>
          <w:p w14:paraId="3E19FE83" w14:textId="3A4B84ED" w:rsidR="00AF7E46" w:rsidRPr="006F09D5" w:rsidRDefault="008C3B43" w:rsidP="00AF7E46">
            <w:pPr>
              <w:pStyle w:val="VBALevel2Heading"/>
              <w:rPr>
                <w:color w:val="auto"/>
                <w:szCs w:val="24"/>
              </w:rPr>
            </w:pPr>
            <w:r w:rsidRPr="006F09D5">
              <w:rPr>
                <w:color w:val="auto"/>
                <w:szCs w:val="24"/>
                <w:u w:val="single"/>
              </w:rPr>
              <w:lastRenderedPageBreak/>
              <w:t>Special Considerations Re: Hearing Loss</w:t>
            </w:r>
            <w:r w:rsidR="00AF7E46" w:rsidRPr="006F09D5">
              <w:rPr>
                <w:color w:val="auto"/>
                <w:szCs w:val="24"/>
              </w:rPr>
              <w:br/>
            </w:r>
          </w:p>
          <w:p w14:paraId="0645CB19" w14:textId="77232D9A" w:rsidR="00AF7E46" w:rsidRPr="006F09D5" w:rsidRDefault="008C3B43" w:rsidP="00AF7E46">
            <w:pPr>
              <w:pStyle w:val="VBASlideNumber"/>
              <w:rPr>
                <w:color w:val="auto"/>
                <w:szCs w:val="24"/>
              </w:rPr>
            </w:pPr>
            <w:r w:rsidRPr="006F09D5">
              <w:rPr>
                <w:color w:val="auto"/>
                <w:szCs w:val="24"/>
              </w:rPr>
              <w:t>Slide 13</w:t>
            </w:r>
            <w:r w:rsidR="00AF7E46" w:rsidRPr="006F09D5">
              <w:rPr>
                <w:color w:val="auto"/>
                <w:szCs w:val="24"/>
              </w:rPr>
              <w:br/>
            </w:r>
          </w:p>
          <w:p w14:paraId="5BC95C93" w14:textId="77777777" w:rsidR="00AF7E46" w:rsidRPr="006F09D5" w:rsidRDefault="00AF7E46" w:rsidP="002570A6">
            <w:pPr>
              <w:pStyle w:val="VBALevel2Heading"/>
              <w:rPr>
                <w:color w:val="auto"/>
                <w:szCs w:val="24"/>
              </w:rPr>
            </w:pPr>
          </w:p>
        </w:tc>
        <w:tc>
          <w:tcPr>
            <w:tcW w:w="7700" w:type="dxa"/>
            <w:tcBorders>
              <w:top w:val="nil"/>
              <w:left w:val="nil"/>
              <w:bottom w:val="nil"/>
              <w:right w:val="nil"/>
            </w:tcBorders>
          </w:tcPr>
          <w:p w14:paraId="6A2A59A3" w14:textId="77777777" w:rsidR="008C3B43" w:rsidRPr="006F09D5" w:rsidRDefault="008C3B43" w:rsidP="008C3B43">
            <w:pPr>
              <w:pStyle w:val="QSTBody"/>
              <w:jc w:val="left"/>
              <w:rPr>
                <w:rFonts w:ascii="Times New Roman" w:hAnsi="Times New Roman"/>
                <w:sz w:val="24"/>
                <w:szCs w:val="24"/>
              </w:rPr>
            </w:pPr>
            <w:r w:rsidRPr="006F09D5">
              <w:rPr>
                <w:rFonts w:ascii="Times New Roman" w:hAnsi="Times New Roman"/>
                <w:b/>
                <w:sz w:val="24"/>
                <w:szCs w:val="24"/>
              </w:rPr>
              <w:t xml:space="preserve">EXPLAIN </w:t>
            </w:r>
            <w:r w:rsidRPr="006F09D5">
              <w:rPr>
                <w:rFonts w:ascii="Times New Roman" w:hAnsi="Times New Roman"/>
                <w:sz w:val="24"/>
                <w:szCs w:val="24"/>
              </w:rPr>
              <w:t>that sensorineural hearing loss (vice conductive, the less common variety) constitutes an “organic disease of the nervous system” and is subject to a one-year presumption of service connection under 38 CFR 3.309(a).</w:t>
            </w:r>
          </w:p>
          <w:p w14:paraId="56F16B36" w14:textId="07B2A790" w:rsidR="00AF7E46" w:rsidRPr="006F09D5" w:rsidRDefault="008C3B43" w:rsidP="008C3B43">
            <w:pPr>
              <w:pStyle w:val="QSTBody"/>
              <w:jc w:val="left"/>
              <w:rPr>
                <w:rFonts w:ascii="Times New Roman" w:hAnsi="Times New Roman"/>
                <w:sz w:val="24"/>
                <w:szCs w:val="24"/>
              </w:rPr>
            </w:pPr>
            <w:r w:rsidRPr="006F09D5">
              <w:rPr>
                <w:rFonts w:ascii="Times New Roman" w:hAnsi="Times New Roman"/>
                <w:sz w:val="24"/>
                <w:szCs w:val="24"/>
              </w:rPr>
              <w:t xml:space="preserve">Also remind trainees that a finding of bilateral deafness entitles a Veteran to a single SMC-K, and that 38 CFR 3.350(a)(5) defines “deafness” in the context of hearing loss that’s been granted the maximum schedular evaluation under DC 6100. </w:t>
            </w:r>
          </w:p>
        </w:tc>
      </w:tr>
      <w:tr w:rsidR="006F09D5" w:rsidRPr="006F09D5" w14:paraId="2378D3EA" w14:textId="77777777" w:rsidTr="005C0559">
        <w:trPr>
          <w:gridAfter w:val="1"/>
          <w:wAfter w:w="475" w:type="dxa"/>
          <w:cantSplit/>
          <w:trHeight w:val="212"/>
        </w:trPr>
        <w:tc>
          <w:tcPr>
            <w:tcW w:w="2560" w:type="dxa"/>
            <w:tcBorders>
              <w:top w:val="nil"/>
              <w:left w:val="nil"/>
              <w:bottom w:val="nil"/>
              <w:right w:val="nil"/>
            </w:tcBorders>
          </w:tcPr>
          <w:p w14:paraId="33C65CE8" w14:textId="388C27D2" w:rsidR="00AF7E46" w:rsidRPr="006F09D5" w:rsidRDefault="008C3B43" w:rsidP="00AF7E46">
            <w:pPr>
              <w:pStyle w:val="VBALevel2Heading"/>
              <w:rPr>
                <w:color w:val="auto"/>
                <w:szCs w:val="24"/>
              </w:rPr>
            </w:pPr>
            <w:r w:rsidRPr="006F09D5">
              <w:rPr>
                <w:color w:val="auto"/>
                <w:szCs w:val="24"/>
                <w:u w:val="single"/>
              </w:rPr>
              <w:t>Special Considerations Cont’d: Exceptional Patterns</w:t>
            </w:r>
            <w:r w:rsidR="00AF7E46" w:rsidRPr="006F09D5">
              <w:rPr>
                <w:color w:val="auto"/>
                <w:szCs w:val="24"/>
              </w:rPr>
              <w:br/>
            </w:r>
          </w:p>
          <w:p w14:paraId="5BE7021A" w14:textId="50644E61" w:rsidR="00AF7E46" w:rsidRPr="006F09D5" w:rsidRDefault="00AF7E46" w:rsidP="00AF7E46">
            <w:pPr>
              <w:pStyle w:val="VBASlideNumber"/>
              <w:rPr>
                <w:color w:val="auto"/>
                <w:szCs w:val="24"/>
              </w:rPr>
            </w:pPr>
            <w:r w:rsidRPr="006F09D5">
              <w:rPr>
                <w:color w:val="auto"/>
                <w:szCs w:val="24"/>
              </w:rPr>
              <w:t xml:space="preserve">Slide </w:t>
            </w:r>
            <w:r w:rsidR="008C3B43" w:rsidRPr="006F09D5">
              <w:rPr>
                <w:color w:val="auto"/>
                <w:szCs w:val="24"/>
              </w:rPr>
              <w:t>14</w:t>
            </w:r>
            <w:r w:rsidRPr="006F09D5">
              <w:rPr>
                <w:color w:val="auto"/>
                <w:szCs w:val="24"/>
              </w:rPr>
              <w:br/>
            </w:r>
          </w:p>
          <w:p w14:paraId="64986CD1" w14:textId="77777777" w:rsidR="00AF7E46" w:rsidRPr="006F09D5" w:rsidRDefault="00AF7E46" w:rsidP="002570A6">
            <w:pPr>
              <w:pStyle w:val="VBALevel2Heading"/>
              <w:rPr>
                <w:color w:val="auto"/>
                <w:szCs w:val="24"/>
              </w:rPr>
            </w:pPr>
          </w:p>
        </w:tc>
        <w:tc>
          <w:tcPr>
            <w:tcW w:w="7700" w:type="dxa"/>
            <w:tcBorders>
              <w:top w:val="nil"/>
              <w:left w:val="nil"/>
              <w:bottom w:val="nil"/>
              <w:right w:val="nil"/>
            </w:tcBorders>
          </w:tcPr>
          <w:p w14:paraId="46937EEB" w14:textId="13566215" w:rsidR="00AF7E46" w:rsidRPr="006F09D5" w:rsidRDefault="008C3B43" w:rsidP="008C3B43">
            <w:pPr>
              <w:pStyle w:val="QSTBody"/>
              <w:jc w:val="left"/>
              <w:rPr>
                <w:rFonts w:ascii="Times New Roman" w:hAnsi="Times New Roman"/>
                <w:b/>
                <w:sz w:val="24"/>
                <w:szCs w:val="24"/>
              </w:rPr>
            </w:pPr>
            <w:r w:rsidRPr="006F09D5">
              <w:rPr>
                <w:rFonts w:ascii="Times New Roman" w:hAnsi="Times New Roman"/>
                <w:b/>
                <w:sz w:val="24"/>
                <w:szCs w:val="24"/>
              </w:rPr>
              <w:t xml:space="preserve">EXPLAIN </w:t>
            </w:r>
            <w:r w:rsidRPr="006F09D5">
              <w:rPr>
                <w:rFonts w:ascii="Times New Roman" w:hAnsi="Times New Roman"/>
                <w:sz w:val="24"/>
                <w:szCs w:val="24"/>
              </w:rPr>
              <w:t>that 38 CFR 4.85 also contains Table VIA, which can be used to evaluate a Veteran’s hearing loss on the basis of puretone threshold averages alone if such consideration would yield a higher evaluation that conventional consideration under Table VI and when plotted on Table VII. Potential application of Table VIA is authorized when there exist “exceptional patterns of hearing impairment” consistent with 38 CFR 4.86(a) or (b), or when an examiner concludes that speech discrimination testing is not advisable for medical or cognitive reasons.</w:t>
            </w:r>
          </w:p>
        </w:tc>
      </w:tr>
      <w:tr w:rsidR="006F09D5" w:rsidRPr="006F09D5" w14:paraId="480FD6CF" w14:textId="77777777" w:rsidTr="005C0559">
        <w:trPr>
          <w:gridAfter w:val="1"/>
          <w:wAfter w:w="475" w:type="dxa"/>
          <w:cantSplit/>
          <w:trHeight w:val="212"/>
        </w:trPr>
        <w:tc>
          <w:tcPr>
            <w:tcW w:w="2560" w:type="dxa"/>
            <w:tcBorders>
              <w:top w:val="nil"/>
              <w:left w:val="nil"/>
              <w:bottom w:val="nil"/>
              <w:right w:val="nil"/>
            </w:tcBorders>
          </w:tcPr>
          <w:p w14:paraId="56F64C2D" w14:textId="5AF306F1" w:rsidR="00AF7E46" w:rsidRPr="006F09D5" w:rsidRDefault="008C3B43" w:rsidP="00AF7E46">
            <w:pPr>
              <w:pStyle w:val="VBALevel2Heading"/>
              <w:rPr>
                <w:color w:val="auto"/>
                <w:szCs w:val="24"/>
              </w:rPr>
            </w:pPr>
            <w:r w:rsidRPr="006F09D5">
              <w:rPr>
                <w:color w:val="auto"/>
                <w:szCs w:val="24"/>
                <w:u w:val="single"/>
              </w:rPr>
              <w:t>The Hearing Loss Calculator</w:t>
            </w:r>
            <w:r w:rsidR="00AF7E46" w:rsidRPr="006F09D5">
              <w:rPr>
                <w:color w:val="auto"/>
                <w:szCs w:val="24"/>
              </w:rPr>
              <w:br/>
            </w:r>
          </w:p>
          <w:p w14:paraId="41D53D8E" w14:textId="4357C197" w:rsidR="00AF7E46" w:rsidRPr="006F09D5" w:rsidRDefault="008C3B43" w:rsidP="00AF7E46">
            <w:pPr>
              <w:pStyle w:val="VBASlideNumber"/>
              <w:rPr>
                <w:color w:val="auto"/>
                <w:szCs w:val="24"/>
              </w:rPr>
            </w:pPr>
            <w:r w:rsidRPr="006F09D5">
              <w:rPr>
                <w:color w:val="auto"/>
                <w:szCs w:val="24"/>
              </w:rPr>
              <w:t>Slide 15</w:t>
            </w:r>
            <w:r w:rsidR="00AF7E46" w:rsidRPr="006F09D5">
              <w:rPr>
                <w:color w:val="auto"/>
                <w:szCs w:val="24"/>
              </w:rPr>
              <w:br/>
            </w:r>
          </w:p>
          <w:p w14:paraId="6D6689FA" w14:textId="77777777" w:rsidR="00AF7E46" w:rsidRPr="006F09D5" w:rsidRDefault="00AF7E46" w:rsidP="002570A6">
            <w:pPr>
              <w:pStyle w:val="VBALevel2Heading"/>
              <w:rPr>
                <w:color w:val="auto"/>
                <w:szCs w:val="24"/>
              </w:rPr>
            </w:pPr>
          </w:p>
        </w:tc>
        <w:tc>
          <w:tcPr>
            <w:tcW w:w="7700" w:type="dxa"/>
            <w:tcBorders>
              <w:top w:val="nil"/>
              <w:left w:val="nil"/>
              <w:bottom w:val="nil"/>
              <w:right w:val="nil"/>
            </w:tcBorders>
          </w:tcPr>
          <w:p w14:paraId="39B48F7A" w14:textId="77777777" w:rsidR="008C3B43" w:rsidRPr="006F09D5" w:rsidRDefault="008C3B43" w:rsidP="008C3B43">
            <w:pPr>
              <w:pStyle w:val="QSTBody"/>
              <w:jc w:val="left"/>
              <w:rPr>
                <w:rFonts w:ascii="Times New Roman" w:hAnsi="Times New Roman"/>
                <w:sz w:val="24"/>
                <w:szCs w:val="24"/>
              </w:rPr>
            </w:pPr>
            <w:r w:rsidRPr="006F09D5">
              <w:rPr>
                <w:rFonts w:ascii="Times New Roman" w:hAnsi="Times New Roman"/>
                <w:b/>
                <w:sz w:val="24"/>
                <w:szCs w:val="24"/>
              </w:rPr>
              <w:t xml:space="preserve">EXPLAIN </w:t>
            </w:r>
            <w:r w:rsidRPr="006F09D5">
              <w:rPr>
                <w:rFonts w:ascii="Times New Roman" w:hAnsi="Times New Roman"/>
                <w:sz w:val="24"/>
                <w:szCs w:val="24"/>
              </w:rPr>
              <w:t>that the Hearing Loss Calculator, which is accessible via the Rating Job Aids page and embedded as a hyperlink within the trainee PDF version of the PPT presentation, will be used to generate both grants and denials of service connection for hearing loss in an effort to facilitate the eventual transition into the VBMS-R environment. However, a claim for increase currently directs us to the legacy evaluation builder and its abbreviated format.</w:t>
            </w:r>
          </w:p>
          <w:p w14:paraId="11C83116" w14:textId="2204BE3F" w:rsidR="00AF7E46" w:rsidRPr="006F09D5" w:rsidRDefault="008C3B43" w:rsidP="008C3B43">
            <w:pPr>
              <w:pStyle w:val="QSTBody"/>
              <w:jc w:val="left"/>
              <w:rPr>
                <w:rFonts w:ascii="Times New Roman" w:hAnsi="Times New Roman"/>
                <w:sz w:val="24"/>
                <w:szCs w:val="24"/>
              </w:rPr>
            </w:pPr>
            <w:r w:rsidRPr="006F09D5">
              <w:rPr>
                <w:rFonts w:ascii="Times New Roman" w:hAnsi="Times New Roman"/>
                <w:b/>
                <w:sz w:val="24"/>
                <w:szCs w:val="24"/>
              </w:rPr>
              <w:t>INITIATE</w:t>
            </w:r>
            <w:r w:rsidRPr="006F09D5">
              <w:rPr>
                <w:rFonts w:ascii="Times New Roman" w:hAnsi="Times New Roman"/>
                <w:sz w:val="24"/>
                <w:szCs w:val="24"/>
              </w:rPr>
              <w:t xml:space="preserve"> sharing of screens and demonstrate data entry in each of the specifically labeled fields. Model entry of both a grant on the basis of in-service noise exposure, and a denial on the basis of audiometric findings that do not rise to the levels specified under 38 CFR 3.385.</w:t>
            </w:r>
          </w:p>
        </w:tc>
      </w:tr>
    </w:tbl>
    <w:p w14:paraId="235F4200" w14:textId="77777777" w:rsidR="002570A6" w:rsidRPr="006F09D5" w:rsidRDefault="002570A6">
      <w:pPr>
        <w:rPr>
          <w:szCs w:val="24"/>
        </w:rPr>
      </w:pPr>
      <w:r w:rsidRPr="006F09D5">
        <w:rPr>
          <w:b/>
          <w:smallCaps/>
          <w:szCs w:val="24"/>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6F09D5" w:rsidRPr="006F09D5" w14:paraId="235F4202" w14:textId="77777777" w:rsidTr="007056E7">
        <w:trPr>
          <w:trHeight w:val="212"/>
        </w:trPr>
        <w:tc>
          <w:tcPr>
            <w:tcW w:w="9777" w:type="dxa"/>
            <w:gridSpan w:val="2"/>
            <w:tcBorders>
              <w:top w:val="nil"/>
              <w:left w:val="nil"/>
              <w:bottom w:val="nil"/>
              <w:right w:val="nil"/>
            </w:tcBorders>
            <w:vAlign w:val="center"/>
          </w:tcPr>
          <w:p w14:paraId="235F4201" w14:textId="690417C3" w:rsidR="002570A6" w:rsidRPr="006F09D5" w:rsidRDefault="002570A6" w:rsidP="00AB6A61">
            <w:pPr>
              <w:pStyle w:val="VBALessonTopicTitle"/>
              <w:rPr>
                <w:rFonts w:ascii="Times New Roman" w:hAnsi="Times New Roman"/>
                <w:color w:val="auto"/>
                <w:szCs w:val="28"/>
              </w:rPr>
            </w:pPr>
            <w:bookmarkStart w:id="31" w:name="_Toc453835095"/>
            <w:r w:rsidRPr="006F09D5">
              <w:rPr>
                <w:rFonts w:ascii="Times New Roman" w:hAnsi="Times New Roman"/>
                <w:color w:val="auto"/>
                <w:szCs w:val="28"/>
              </w:rPr>
              <w:lastRenderedPageBreak/>
              <w:t xml:space="preserve">Topic 3: </w:t>
            </w:r>
            <w:r w:rsidR="00AB6A61" w:rsidRPr="006F09D5">
              <w:rPr>
                <w:rFonts w:ascii="Times New Roman" w:hAnsi="Times New Roman"/>
                <w:color w:val="auto"/>
                <w:szCs w:val="28"/>
              </w:rPr>
              <w:t>Tinnitus</w:t>
            </w:r>
            <w:bookmarkEnd w:id="31"/>
          </w:p>
        </w:tc>
      </w:tr>
      <w:tr w:rsidR="006F09D5" w:rsidRPr="006F09D5" w14:paraId="235F4205" w14:textId="77777777" w:rsidTr="007056E7">
        <w:trPr>
          <w:trHeight w:val="212"/>
        </w:trPr>
        <w:tc>
          <w:tcPr>
            <w:tcW w:w="2560" w:type="dxa"/>
            <w:tcBorders>
              <w:top w:val="nil"/>
              <w:left w:val="nil"/>
              <w:bottom w:val="nil"/>
              <w:right w:val="nil"/>
            </w:tcBorders>
          </w:tcPr>
          <w:p w14:paraId="235F4203" w14:textId="77777777" w:rsidR="002570A6" w:rsidRPr="006F09D5" w:rsidRDefault="002570A6" w:rsidP="007056E7">
            <w:pPr>
              <w:pStyle w:val="VBALevel1Heading"/>
              <w:rPr>
                <w:szCs w:val="24"/>
              </w:rPr>
            </w:pPr>
            <w:r w:rsidRPr="006F09D5">
              <w:rPr>
                <w:szCs w:val="24"/>
              </w:rPr>
              <w:t>Introduction</w:t>
            </w:r>
          </w:p>
        </w:tc>
        <w:tc>
          <w:tcPr>
            <w:tcW w:w="7217" w:type="dxa"/>
            <w:tcBorders>
              <w:top w:val="nil"/>
              <w:left w:val="nil"/>
              <w:bottom w:val="nil"/>
              <w:right w:val="nil"/>
            </w:tcBorders>
          </w:tcPr>
          <w:p w14:paraId="235F4204" w14:textId="00E67A5F" w:rsidR="002570A6" w:rsidRPr="006F09D5" w:rsidRDefault="00AB6A61" w:rsidP="006F09D5">
            <w:pPr>
              <w:pStyle w:val="VBABodyText"/>
              <w:rPr>
                <w:b/>
                <w:color w:val="auto"/>
                <w:szCs w:val="24"/>
              </w:rPr>
            </w:pPr>
            <w:r w:rsidRPr="006F09D5">
              <w:rPr>
                <w:color w:val="auto"/>
                <w:szCs w:val="24"/>
              </w:rPr>
              <w:t>Tinnitus is a frequently claimed disability that involves subjective  perception</w:t>
            </w:r>
            <w:r w:rsidR="006F09D5" w:rsidRPr="006F09D5">
              <w:rPr>
                <w:color w:val="auto"/>
                <w:szCs w:val="24"/>
              </w:rPr>
              <w:t xml:space="preserve"> of ringing in one or both ears, and in some instances, due to certain medical conditions, odjectively.</w:t>
            </w:r>
          </w:p>
        </w:tc>
      </w:tr>
      <w:tr w:rsidR="006F09D5" w:rsidRPr="006F09D5" w14:paraId="235F4218" w14:textId="77777777" w:rsidTr="007056E7">
        <w:trPr>
          <w:trHeight w:val="212"/>
        </w:trPr>
        <w:tc>
          <w:tcPr>
            <w:tcW w:w="2560" w:type="dxa"/>
            <w:tcBorders>
              <w:top w:val="nil"/>
              <w:left w:val="nil"/>
              <w:bottom w:val="nil"/>
              <w:right w:val="nil"/>
            </w:tcBorders>
          </w:tcPr>
          <w:p w14:paraId="235F4214" w14:textId="2560E2B0" w:rsidR="002570A6" w:rsidRPr="006F09D5" w:rsidRDefault="00F26046" w:rsidP="007056E7">
            <w:pPr>
              <w:pStyle w:val="VBALevel2Heading"/>
              <w:rPr>
                <w:bCs/>
                <w:i/>
                <w:color w:val="auto"/>
                <w:szCs w:val="24"/>
              </w:rPr>
            </w:pPr>
            <w:r w:rsidRPr="006F09D5">
              <w:rPr>
                <w:color w:val="auto"/>
                <w:szCs w:val="24"/>
                <w:u w:val="single"/>
              </w:rPr>
              <w:t>Tinnitus</w:t>
            </w:r>
            <w:r w:rsidR="002570A6" w:rsidRPr="006F09D5">
              <w:rPr>
                <w:color w:val="auto"/>
                <w:szCs w:val="24"/>
              </w:rPr>
              <w:br/>
            </w:r>
          </w:p>
          <w:p w14:paraId="235F4215" w14:textId="43DF816F" w:rsidR="002570A6" w:rsidRPr="006F09D5" w:rsidRDefault="002570A6" w:rsidP="007056E7">
            <w:pPr>
              <w:pStyle w:val="VBASlideNumber"/>
              <w:rPr>
                <w:color w:val="auto"/>
                <w:szCs w:val="24"/>
              </w:rPr>
            </w:pPr>
            <w:r w:rsidRPr="006F09D5">
              <w:rPr>
                <w:color w:val="auto"/>
                <w:szCs w:val="24"/>
              </w:rPr>
              <w:t xml:space="preserve">Slide </w:t>
            </w:r>
            <w:r w:rsidR="00F26046" w:rsidRPr="006F09D5">
              <w:rPr>
                <w:color w:val="auto"/>
                <w:szCs w:val="24"/>
              </w:rPr>
              <w:t>16</w:t>
            </w:r>
            <w:r w:rsidRPr="006F09D5">
              <w:rPr>
                <w:color w:val="auto"/>
                <w:szCs w:val="24"/>
              </w:rPr>
              <w:br/>
            </w:r>
          </w:p>
          <w:p w14:paraId="235F4216" w14:textId="70754D3F" w:rsidR="002570A6" w:rsidRPr="006F09D5" w:rsidRDefault="002570A6" w:rsidP="007056E7">
            <w:pPr>
              <w:pStyle w:val="VBAHandoutNumber"/>
              <w:rPr>
                <w:color w:val="auto"/>
                <w:szCs w:val="24"/>
              </w:rPr>
            </w:pPr>
          </w:p>
        </w:tc>
        <w:tc>
          <w:tcPr>
            <w:tcW w:w="7217" w:type="dxa"/>
            <w:tcBorders>
              <w:top w:val="nil"/>
              <w:left w:val="nil"/>
              <w:bottom w:val="nil"/>
              <w:right w:val="nil"/>
            </w:tcBorders>
          </w:tcPr>
          <w:p w14:paraId="44B859E9" w14:textId="77777777" w:rsidR="002570A6" w:rsidRPr="006F09D5" w:rsidRDefault="00F26046" w:rsidP="00F26046">
            <w:pPr>
              <w:pStyle w:val="QSTBody"/>
              <w:jc w:val="left"/>
              <w:rPr>
                <w:rFonts w:ascii="Times New Roman" w:hAnsi="Times New Roman"/>
                <w:sz w:val="24"/>
                <w:szCs w:val="24"/>
              </w:rPr>
            </w:pPr>
            <w:r w:rsidRPr="006F09D5">
              <w:rPr>
                <w:rFonts w:ascii="Times New Roman" w:hAnsi="Times New Roman"/>
                <w:sz w:val="24"/>
                <w:szCs w:val="24"/>
              </w:rPr>
              <w:t>Stress to trainees that tinnitus will essentially have to present recurrently before it’s ascribed a clinical diagnosis, and that 38 CFR 4.87 provides a lone 10-percent evaluation – no more or less – for tinnitus perceived unilaterally or bilaterally. In the rare event that tinnitus is objectively perceptible, DC 6260 is not for utilization, and consideration must be lent to the underlying etiology behind the symptom.</w:t>
            </w:r>
          </w:p>
          <w:p w14:paraId="07EA9CE3" w14:textId="77777777" w:rsidR="00F26046" w:rsidRPr="006F09D5" w:rsidRDefault="00F26046" w:rsidP="00F26046">
            <w:pPr>
              <w:pStyle w:val="QSTBody"/>
              <w:jc w:val="left"/>
              <w:rPr>
                <w:rFonts w:ascii="Times New Roman" w:hAnsi="Times New Roman"/>
                <w:sz w:val="24"/>
                <w:szCs w:val="24"/>
              </w:rPr>
            </w:pPr>
          </w:p>
          <w:p w14:paraId="235F4217" w14:textId="42BEEDD0" w:rsidR="00F26046" w:rsidRPr="006F09D5" w:rsidRDefault="00F26046" w:rsidP="00F26046">
            <w:pPr>
              <w:pStyle w:val="QSTBody"/>
              <w:jc w:val="left"/>
              <w:rPr>
                <w:rFonts w:ascii="Times New Roman" w:hAnsi="Times New Roman"/>
                <w:sz w:val="24"/>
                <w:szCs w:val="24"/>
              </w:rPr>
            </w:pPr>
            <w:r w:rsidRPr="006F09D5">
              <w:rPr>
                <w:rFonts w:ascii="Times New Roman" w:hAnsi="Times New Roman"/>
                <w:b/>
                <w:sz w:val="24"/>
                <w:szCs w:val="24"/>
              </w:rPr>
              <w:t xml:space="preserve">EMPHASIZE </w:t>
            </w:r>
            <w:r w:rsidRPr="006F09D5">
              <w:rPr>
                <w:rFonts w:ascii="Times New Roman" w:hAnsi="Times New Roman"/>
                <w:sz w:val="24"/>
                <w:szCs w:val="24"/>
              </w:rPr>
              <w:t>that the Tinnitus section of the audiological DBQ essentially consists of one pertinent question concerning whether or not the Veteran attests to current symptoms, as well as an etiology opinion, wherein the attending audiologist can attribute the tinnitus to hearing loss or to military noise exposure.</w:t>
            </w:r>
          </w:p>
        </w:tc>
      </w:tr>
      <w:tr w:rsidR="002570A6" w:rsidRPr="006F09D5" w14:paraId="235F421D" w14:textId="77777777" w:rsidTr="007056E7">
        <w:trPr>
          <w:trHeight w:val="212"/>
        </w:trPr>
        <w:tc>
          <w:tcPr>
            <w:tcW w:w="2560" w:type="dxa"/>
            <w:tcBorders>
              <w:top w:val="nil"/>
              <w:left w:val="nil"/>
              <w:bottom w:val="nil"/>
              <w:right w:val="nil"/>
            </w:tcBorders>
          </w:tcPr>
          <w:p w14:paraId="235F4219" w14:textId="641356C4" w:rsidR="002570A6" w:rsidRPr="006F09D5" w:rsidRDefault="00F26046" w:rsidP="002570A6">
            <w:pPr>
              <w:pStyle w:val="VBALevel2Heading"/>
              <w:rPr>
                <w:color w:val="auto"/>
                <w:szCs w:val="24"/>
              </w:rPr>
            </w:pPr>
            <w:r w:rsidRPr="006F09D5">
              <w:rPr>
                <w:color w:val="auto"/>
                <w:szCs w:val="24"/>
                <w:u w:val="single"/>
              </w:rPr>
              <w:t>Special Considerations re: Tinnitus</w:t>
            </w:r>
            <w:r w:rsidR="002570A6" w:rsidRPr="006F09D5">
              <w:rPr>
                <w:color w:val="auto"/>
                <w:szCs w:val="24"/>
              </w:rPr>
              <w:br/>
            </w:r>
          </w:p>
          <w:p w14:paraId="235F421A" w14:textId="647AA813" w:rsidR="002570A6" w:rsidRPr="006F09D5" w:rsidRDefault="00A750FB" w:rsidP="007056E7">
            <w:pPr>
              <w:pStyle w:val="VBASlideNumber"/>
              <w:rPr>
                <w:color w:val="auto"/>
                <w:szCs w:val="24"/>
              </w:rPr>
            </w:pPr>
            <w:r w:rsidRPr="006F09D5">
              <w:rPr>
                <w:color w:val="auto"/>
                <w:szCs w:val="24"/>
              </w:rPr>
              <w:t>Slide 17</w:t>
            </w:r>
            <w:r w:rsidR="002570A6" w:rsidRPr="006F09D5">
              <w:rPr>
                <w:color w:val="auto"/>
                <w:szCs w:val="24"/>
              </w:rPr>
              <w:br/>
            </w:r>
          </w:p>
          <w:p w14:paraId="235F421B" w14:textId="508EDD0F" w:rsidR="002570A6" w:rsidRPr="006F09D5" w:rsidRDefault="002570A6" w:rsidP="007056E7">
            <w:pPr>
              <w:pStyle w:val="VBAHandoutNumber"/>
              <w:rPr>
                <w:color w:val="auto"/>
                <w:szCs w:val="24"/>
              </w:rPr>
            </w:pPr>
          </w:p>
        </w:tc>
        <w:tc>
          <w:tcPr>
            <w:tcW w:w="7217" w:type="dxa"/>
            <w:tcBorders>
              <w:top w:val="nil"/>
              <w:left w:val="nil"/>
              <w:bottom w:val="nil"/>
              <w:right w:val="nil"/>
            </w:tcBorders>
          </w:tcPr>
          <w:p w14:paraId="278871B9" w14:textId="77777777" w:rsidR="00F26046" w:rsidRPr="006F09D5" w:rsidRDefault="00F26046" w:rsidP="00F26046">
            <w:pPr>
              <w:pStyle w:val="QSTBody"/>
              <w:jc w:val="left"/>
              <w:rPr>
                <w:rFonts w:ascii="Times New Roman" w:hAnsi="Times New Roman"/>
                <w:sz w:val="24"/>
                <w:szCs w:val="24"/>
              </w:rPr>
            </w:pPr>
            <w:r w:rsidRPr="006F09D5">
              <w:rPr>
                <w:rFonts w:ascii="Times New Roman" w:hAnsi="Times New Roman"/>
                <w:b/>
                <w:sz w:val="24"/>
                <w:szCs w:val="24"/>
              </w:rPr>
              <w:t xml:space="preserve">EXPLAIN </w:t>
            </w:r>
            <w:r w:rsidRPr="006F09D5">
              <w:rPr>
                <w:rFonts w:ascii="Times New Roman" w:hAnsi="Times New Roman"/>
                <w:sz w:val="24"/>
                <w:szCs w:val="24"/>
              </w:rPr>
              <w:t>the following four special considerations that frequently apply to rating tinnitus:</w:t>
            </w:r>
          </w:p>
          <w:p w14:paraId="387F9063" w14:textId="1F5775D0" w:rsidR="00F26046" w:rsidRPr="006F09D5" w:rsidRDefault="00F26046" w:rsidP="0053484E">
            <w:pPr>
              <w:pStyle w:val="QSTBody"/>
              <w:numPr>
                <w:ilvl w:val="0"/>
                <w:numId w:val="21"/>
              </w:numPr>
              <w:jc w:val="left"/>
              <w:rPr>
                <w:rFonts w:ascii="Times New Roman" w:hAnsi="Times New Roman"/>
                <w:sz w:val="24"/>
                <w:szCs w:val="24"/>
              </w:rPr>
            </w:pPr>
            <w:r w:rsidRPr="006F09D5">
              <w:rPr>
                <w:rFonts w:ascii="Times New Roman" w:hAnsi="Times New Roman"/>
                <w:sz w:val="24"/>
                <w:szCs w:val="24"/>
              </w:rPr>
              <w:t>Tinnitus is a chronic disability subject to a one-year presumption of service con</w:t>
            </w:r>
            <w:r w:rsidR="0053484E">
              <w:rPr>
                <w:rFonts w:ascii="Times New Roman" w:hAnsi="Times New Roman"/>
                <w:sz w:val="24"/>
                <w:szCs w:val="24"/>
              </w:rPr>
              <w:t xml:space="preserve">nection under 38 CFR 3.309(a). </w:t>
            </w:r>
            <w:r w:rsidRPr="006F09D5">
              <w:rPr>
                <w:rFonts w:ascii="Times New Roman" w:hAnsi="Times New Roman"/>
                <w:sz w:val="24"/>
                <w:szCs w:val="24"/>
              </w:rPr>
              <w:t>(See M21-1 IV.ii.2.B.2.b; Fountain v McDonald)</w:t>
            </w:r>
          </w:p>
          <w:p w14:paraId="10D2F910" w14:textId="77777777" w:rsidR="00F26046" w:rsidRPr="006F09D5" w:rsidRDefault="00F26046" w:rsidP="0053484E">
            <w:pPr>
              <w:pStyle w:val="QSTBody"/>
              <w:numPr>
                <w:ilvl w:val="0"/>
                <w:numId w:val="21"/>
              </w:numPr>
              <w:jc w:val="left"/>
              <w:rPr>
                <w:rFonts w:ascii="Times New Roman" w:hAnsi="Times New Roman"/>
                <w:sz w:val="24"/>
                <w:szCs w:val="24"/>
              </w:rPr>
            </w:pPr>
            <w:r w:rsidRPr="006F09D5">
              <w:rPr>
                <w:rFonts w:ascii="Times New Roman" w:hAnsi="Times New Roman"/>
                <w:sz w:val="24"/>
                <w:szCs w:val="24"/>
              </w:rPr>
              <w:t>A claim for hearing loss that ultimately yields a diagnosis of (unclaimed) tinnitus should be “sympathetically read” as inclusive of both contentions, provided favorable medical opinions exist for both (M21-1.III.iv.4.B).</w:t>
            </w:r>
          </w:p>
          <w:p w14:paraId="08A99F27" w14:textId="77777777" w:rsidR="00F26046" w:rsidRPr="006F09D5" w:rsidRDefault="00F26046" w:rsidP="0053484E">
            <w:pPr>
              <w:pStyle w:val="QSTBody"/>
              <w:numPr>
                <w:ilvl w:val="0"/>
                <w:numId w:val="21"/>
              </w:numPr>
              <w:jc w:val="left"/>
              <w:rPr>
                <w:rFonts w:ascii="Times New Roman" w:hAnsi="Times New Roman"/>
                <w:sz w:val="24"/>
                <w:szCs w:val="24"/>
              </w:rPr>
            </w:pPr>
            <w:r w:rsidRPr="006F09D5">
              <w:rPr>
                <w:rFonts w:ascii="Times New Roman" w:hAnsi="Times New Roman"/>
                <w:sz w:val="24"/>
                <w:szCs w:val="24"/>
              </w:rPr>
              <w:t xml:space="preserve">Tinnitus that is opined to be secondary or related to service-connected hearing loss should </w:t>
            </w:r>
            <w:r w:rsidRPr="006F09D5">
              <w:rPr>
                <w:rFonts w:ascii="Times New Roman" w:hAnsi="Times New Roman"/>
                <w:i/>
                <w:iCs/>
                <w:sz w:val="24"/>
                <w:szCs w:val="24"/>
              </w:rPr>
              <w:t>still</w:t>
            </w:r>
            <w:r w:rsidRPr="006F09D5">
              <w:rPr>
                <w:rFonts w:ascii="Times New Roman" w:hAnsi="Times New Roman"/>
                <w:sz w:val="24"/>
                <w:szCs w:val="24"/>
              </w:rPr>
              <w:t xml:space="preserve"> be granted and coded service connection on a direct/incurred (vs. secondary) basis (M21-1.III.iv.4.B).</w:t>
            </w:r>
          </w:p>
          <w:p w14:paraId="235F421C" w14:textId="720BFC2A" w:rsidR="002570A6" w:rsidRPr="006F09D5" w:rsidRDefault="00F26046" w:rsidP="0053484E">
            <w:pPr>
              <w:pStyle w:val="QSTBody"/>
              <w:numPr>
                <w:ilvl w:val="0"/>
                <w:numId w:val="21"/>
              </w:numPr>
              <w:jc w:val="left"/>
              <w:rPr>
                <w:rFonts w:ascii="Times New Roman" w:hAnsi="Times New Roman"/>
                <w:sz w:val="24"/>
                <w:szCs w:val="24"/>
              </w:rPr>
            </w:pPr>
            <w:r w:rsidRPr="006F09D5">
              <w:rPr>
                <w:rFonts w:ascii="Times New Roman" w:hAnsi="Times New Roman"/>
                <w:sz w:val="24"/>
                <w:szCs w:val="24"/>
              </w:rPr>
              <w:t xml:space="preserve">If </w:t>
            </w:r>
            <w:r w:rsidRPr="006F09D5">
              <w:rPr>
                <w:rFonts w:ascii="Times New Roman" w:hAnsi="Times New Roman"/>
                <w:i/>
                <w:iCs/>
                <w:sz w:val="24"/>
                <w:szCs w:val="24"/>
              </w:rPr>
              <w:t>service treatment records mention a complaint of tinnitus</w:t>
            </w:r>
            <w:r w:rsidRPr="006F09D5">
              <w:rPr>
                <w:rFonts w:ascii="Times New Roman" w:hAnsi="Times New Roman"/>
                <w:sz w:val="24"/>
                <w:szCs w:val="24"/>
              </w:rPr>
              <w:t xml:space="preserve"> and the </w:t>
            </w:r>
            <w:r w:rsidR="0053484E">
              <w:rPr>
                <w:rFonts w:ascii="Times New Roman" w:hAnsi="Times New Roman"/>
                <w:sz w:val="24"/>
                <w:szCs w:val="24"/>
              </w:rPr>
              <w:t>V</w:t>
            </w:r>
            <w:r w:rsidRPr="006F09D5">
              <w:rPr>
                <w:rFonts w:ascii="Times New Roman" w:hAnsi="Times New Roman"/>
                <w:sz w:val="24"/>
                <w:szCs w:val="24"/>
              </w:rPr>
              <w:t xml:space="preserve">eteran claims tinnitus and has current complaints of tinnitus, a medical opinion regarding possible causation is </w:t>
            </w:r>
            <w:r w:rsidRPr="006F09D5">
              <w:rPr>
                <w:rFonts w:ascii="Times New Roman" w:hAnsi="Times New Roman"/>
                <w:b/>
                <w:bCs/>
                <w:sz w:val="24"/>
                <w:szCs w:val="24"/>
                <w:u w:val="single"/>
              </w:rPr>
              <w:t>not required</w:t>
            </w:r>
            <w:r w:rsidR="0053484E">
              <w:rPr>
                <w:rFonts w:ascii="Times New Roman" w:hAnsi="Times New Roman"/>
                <w:sz w:val="24"/>
                <w:szCs w:val="24"/>
              </w:rPr>
              <w:t xml:space="preserve">. </w:t>
            </w:r>
            <w:r w:rsidRPr="006F09D5">
              <w:rPr>
                <w:rFonts w:ascii="Times New Roman" w:hAnsi="Times New Roman"/>
                <w:sz w:val="24"/>
                <w:szCs w:val="24"/>
              </w:rPr>
              <w:t>Service connection can be established without an opinion about the specific cause of the tinnitus because it began in service (TL 10-02).</w:t>
            </w:r>
          </w:p>
        </w:tc>
      </w:tr>
    </w:tbl>
    <w:p w14:paraId="235F423B" w14:textId="77777777" w:rsidR="009B2F5A" w:rsidRPr="006F09D5" w:rsidRDefault="009B2F5A">
      <w:pPr>
        <w:pStyle w:val="Heading1"/>
        <w:rPr>
          <w:rFonts w:ascii="Times New Roman" w:hAnsi="Times New Roman"/>
          <w:sz w:val="24"/>
          <w:szCs w:val="24"/>
        </w:rPr>
      </w:pPr>
    </w:p>
    <w:p w14:paraId="235F423C" w14:textId="77777777" w:rsidR="009B2F5A" w:rsidRPr="006F09D5" w:rsidRDefault="009B2F5A">
      <w:pPr>
        <w:pStyle w:val="Heading1"/>
        <w:rPr>
          <w:rFonts w:ascii="Times New Roman" w:hAnsi="Times New Roman"/>
          <w:sz w:val="24"/>
          <w:szCs w:val="24"/>
        </w:rPr>
      </w:pPr>
      <w:r w:rsidRPr="006F09D5">
        <w:rPr>
          <w:rFonts w:ascii="Times New Roman" w:hAnsi="Times New Roman"/>
          <w:sz w:val="24"/>
          <w:szCs w:val="24"/>
        </w:rPr>
        <w:br w:type="page"/>
      </w:r>
    </w:p>
    <w:tbl>
      <w:tblPr>
        <w:tblW w:w="0" w:type="auto"/>
        <w:tblLayout w:type="fixed"/>
        <w:tblCellMar>
          <w:left w:w="115" w:type="dxa"/>
          <w:right w:w="115" w:type="dxa"/>
        </w:tblCellMar>
        <w:tblLook w:val="0000" w:firstRow="0" w:lastRow="0" w:firstColumn="0" w:lastColumn="0" w:noHBand="0" w:noVBand="0"/>
      </w:tblPr>
      <w:tblGrid>
        <w:gridCol w:w="2560"/>
        <w:gridCol w:w="6967"/>
      </w:tblGrid>
      <w:tr w:rsidR="006F09D5" w:rsidRPr="006F09D5" w14:paraId="235F423E" w14:textId="77777777">
        <w:trPr>
          <w:cantSplit/>
          <w:trHeight w:val="625"/>
        </w:trPr>
        <w:tc>
          <w:tcPr>
            <w:tcW w:w="9527" w:type="dxa"/>
            <w:gridSpan w:val="2"/>
            <w:tcBorders>
              <w:top w:val="nil"/>
              <w:left w:val="nil"/>
              <w:bottom w:val="nil"/>
              <w:right w:val="nil"/>
            </w:tcBorders>
            <w:vAlign w:val="center"/>
          </w:tcPr>
          <w:p w14:paraId="235F423D" w14:textId="77777777" w:rsidR="009B2F5A" w:rsidRPr="006F09D5" w:rsidRDefault="009B2F5A">
            <w:pPr>
              <w:pStyle w:val="Heading1"/>
              <w:spacing w:before="0" w:after="0"/>
              <w:rPr>
                <w:rFonts w:ascii="Times New Roman" w:hAnsi="Times New Roman"/>
                <w:szCs w:val="28"/>
              </w:rPr>
            </w:pPr>
            <w:bookmarkStart w:id="32" w:name="_Toc453835096"/>
            <w:r w:rsidRPr="006F09D5">
              <w:rPr>
                <w:rFonts w:ascii="Times New Roman" w:hAnsi="Times New Roman"/>
                <w:szCs w:val="28"/>
              </w:rPr>
              <w:lastRenderedPageBreak/>
              <w:t>Practical Exercise</w:t>
            </w:r>
            <w:bookmarkEnd w:id="32"/>
          </w:p>
        </w:tc>
      </w:tr>
      <w:tr w:rsidR="006F09D5" w:rsidRPr="006F09D5" w14:paraId="235F4245" w14:textId="77777777" w:rsidTr="00885622">
        <w:trPr>
          <w:cantSplit/>
          <w:trHeight w:val="906"/>
        </w:trPr>
        <w:tc>
          <w:tcPr>
            <w:tcW w:w="2560" w:type="dxa"/>
            <w:tcBorders>
              <w:top w:val="nil"/>
              <w:left w:val="nil"/>
              <w:right w:val="nil"/>
            </w:tcBorders>
          </w:tcPr>
          <w:p w14:paraId="235F4242" w14:textId="53A1AEE6" w:rsidR="00885622" w:rsidRPr="006F09D5" w:rsidRDefault="00885622">
            <w:pPr>
              <w:pStyle w:val="VBAEXERCISE"/>
              <w:rPr>
                <w:szCs w:val="24"/>
              </w:rPr>
            </w:pPr>
            <w:bookmarkStart w:id="33" w:name="_Toc269888424"/>
            <w:bookmarkStart w:id="34" w:name="_Toc269888767"/>
            <w:r w:rsidRPr="006F09D5">
              <w:rPr>
                <w:szCs w:val="24"/>
              </w:rPr>
              <w:t>Questions/</w:t>
            </w:r>
            <w:r w:rsidRPr="006F09D5">
              <w:rPr>
                <w:szCs w:val="24"/>
              </w:rPr>
              <w:br/>
              <w:t>EXERCISE</w:t>
            </w:r>
            <w:bookmarkEnd w:id="33"/>
            <w:bookmarkEnd w:id="34"/>
          </w:p>
        </w:tc>
        <w:tc>
          <w:tcPr>
            <w:tcW w:w="6967" w:type="dxa"/>
            <w:vMerge w:val="restart"/>
            <w:tcBorders>
              <w:top w:val="nil"/>
              <w:left w:val="nil"/>
              <w:right w:val="nil"/>
            </w:tcBorders>
          </w:tcPr>
          <w:p w14:paraId="5C7A55E9" w14:textId="77777777" w:rsidR="00885622" w:rsidRPr="006F09D5" w:rsidRDefault="00885622" w:rsidP="00885622">
            <w:pPr>
              <w:pStyle w:val="QSTBody"/>
              <w:jc w:val="left"/>
              <w:rPr>
                <w:rFonts w:ascii="Times New Roman" w:hAnsi="Times New Roman"/>
                <w:sz w:val="24"/>
                <w:szCs w:val="24"/>
              </w:rPr>
            </w:pPr>
            <w:r w:rsidRPr="006F09D5">
              <w:rPr>
                <w:rFonts w:ascii="Times New Roman" w:hAnsi="Times New Roman"/>
                <w:sz w:val="24"/>
                <w:szCs w:val="24"/>
              </w:rPr>
              <w:t xml:space="preserve">Entertain any questions trainees may present and offer any clarification that may be requested. </w:t>
            </w:r>
          </w:p>
          <w:p w14:paraId="593B9F91" w14:textId="0A93A053" w:rsidR="00885622" w:rsidRPr="006F09D5" w:rsidRDefault="00885622" w:rsidP="00885622">
            <w:pPr>
              <w:pStyle w:val="QSTBody"/>
              <w:jc w:val="left"/>
              <w:rPr>
                <w:rFonts w:ascii="Times New Roman" w:hAnsi="Times New Roman"/>
                <w:sz w:val="24"/>
                <w:szCs w:val="24"/>
              </w:rPr>
            </w:pPr>
            <w:r w:rsidRPr="006F09D5">
              <w:rPr>
                <w:rFonts w:ascii="Times New Roman" w:hAnsi="Times New Roman"/>
                <w:sz w:val="24"/>
                <w:szCs w:val="24"/>
              </w:rPr>
              <w:t>Then refer trainees to their review exercises and allow fifteen minutes for independent completion.</w:t>
            </w:r>
          </w:p>
          <w:p w14:paraId="235F4244" w14:textId="0700B49E" w:rsidR="00885622" w:rsidRPr="006F09D5" w:rsidRDefault="00885622" w:rsidP="00885622">
            <w:pPr>
              <w:spacing w:after="120"/>
              <w:rPr>
                <w:b/>
                <w:bCs/>
                <w:szCs w:val="24"/>
              </w:rPr>
            </w:pPr>
            <w:r w:rsidRPr="006F09D5">
              <w:rPr>
                <w:szCs w:val="24"/>
              </w:rPr>
              <w:t>Ask if there are any questions about the information presented in the exercise, or additional questions concerning the material.</w:t>
            </w:r>
          </w:p>
        </w:tc>
      </w:tr>
      <w:tr w:rsidR="006F09D5" w:rsidRPr="006F09D5" w14:paraId="11D3BCE2" w14:textId="77777777" w:rsidTr="00885622">
        <w:trPr>
          <w:cantSplit/>
          <w:trHeight w:val="1863"/>
        </w:trPr>
        <w:tc>
          <w:tcPr>
            <w:tcW w:w="2560" w:type="dxa"/>
            <w:tcBorders>
              <w:left w:val="nil"/>
              <w:bottom w:val="nil"/>
              <w:right w:val="nil"/>
            </w:tcBorders>
          </w:tcPr>
          <w:p w14:paraId="21777637" w14:textId="6A8872F1" w:rsidR="00885622" w:rsidRPr="006F09D5" w:rsidRDefault="00885622" w:rsidP="00885622">
            <w:pPr>
              <w:pStyle w:val="Heading3"/>
              <w:rPr>
                <w:szCs w:val="24"/>
              </w:rPr>
            </w:pPr>
            <w:r w:rsidRPr="006F09D5">
              <w:rPr>
                <w:szCs w:val="24"/>
              </w:rPr>
              <w:t>Slide 18</w:t>
            </w:r>
          </w:p>
        </w:tc>
        <w:tc>
          <w:tcPr>
            <w:tcW w:w="6967" w:type="dxa"/>
            <w:vMerge/>
            <w:tcBorders>
              <w:left w:val="nil"/>
              <w:bottom w:val="nil"/>
              <w:right w:val="nil"/>
            </w:tcBorders>
          </w:tcPr>
          <w:p w14:paraId="7EFED8E5" w14:textId="77777777" w:rsidR="00885622" w:rsidRPr="006F09D5" w:rsidRDefault="00885622" w:rsidP="00885622">
            <w:pPr>
              <w:pStyle w:val="QSTBody"/>
              <w:jc w:val="left"/>
              <w:rPr>
                <w:rFonts w:ascii="Times New Roman" w:hAnsi="Times New Roman"/>
                <w:sz w:val="24"/>
                <w:szCs w:val="24"/>
              </w:rPr>
            </w:pPr>
          </w:p>
        </w:tc>
      </w:tr>
    </w:tbl>
    <w:p w14:paraId="235F424D" w14:textId="7883360E" w:rsidR="009B2F5A" w:rsidRPr="009640D0" w:rsidRDefault="009B2F5A" w:rsidP="00885622">
      <w:pPr>
        <w:pStyle w:val="Heading1"/>
        <w:jc w:val="left"/>
        <w:rPr>
          <w:rFonts w:ascii="Times New Roman" w:hAnsi="Times New Roman"/>
          <w:sz w:val="24"/>
          <w:szCs w:val="24"/>
        </w:rPr>
      </w:pPr>
    </w:p>
    <w:sectPr w:rsidR="009B2F5A" w:rsidRPr="009640D0">
      <w:footerReference w:type="default" r:id="rId2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F9E88" w14:textId="77777777" w:rsidR="00082E1B" w:rsidRDefault="00082E1B">
      <w:r>
        <w:separator/>
      </w:r>
    </w:p>
  </w:endnote>
  <w:endnote w:type="continuationSeparator" w:id="0">
    <w:p w14:paraId="140C0827" w14:textId="77777777" w:rsidR="00082E1B" w:rsidRDefault="0008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EF96D" w14:textId="68E10D28" w:rsidR="006B72F7" w:rsidRDefault="00DB5E1B">
    <w:pPr>
      <w:pStyle w:val="Footer"/>
      <w:jc w:val="right"/>
    </w:pPr>
    <w:r>
      <w:t>May</w:t>
    </w:r>
    <w:r w:rsidR="006B72F7">
      <w:t xml:space="preserve"> 2016 </w:t>
    </w:r>
    <w:r w:rsidR="006B72F7">
      <w:tab/>
    </w:r>
    <w:r w:rsidR="006B72F7">
      <w:tab/>
    </w:r>
    <w:sdt>
      <w:sdtPr>
        <w:id w:val="115424556"/>
        <w:docPartObj>
          <w:docPartGallery w:val="Page Numbers (Bottom of Page)"/>
          <w:docPartUnique/>
        </w:docPartObj>
      </w:sdtPr>
      <w:sdtEndPr>
        <w:rPr>
          <w:noProof/>
        </w:rPr>
      </w:sdtEndPr>
      <w:sdtContent>
        <w:r w:rsidR="006B72F7">
          <w:fldChar w:fldCharType="begin"/>
        </w:r>
        <w:r w:rsidR="006B72F7">
          <w:instrText xml:space="preserve"> PAGE   \* MERGEFORMAT </w:instrText>
        </w:r>
        <w:r w:rsidR="006B72F7">
          <w:fldChar w:fldCharType="separate"/>
        </w:r>
        <w:r w:rsidR="001D611F">
          <w:rPr>
            <w:noProof/>
          </w:rPr>
          <w:t>4</w:t>
        </w:r>
        <w:r w:rsidR="006B72F7">
          <w:rPr>
            <w:noProof/>
          </w:rPr>
          <w:fldChar w:fldCharType="end"/>
        </w:r>
      </w:sdtContent>
    </w:sdt>
  </w:p>
  <w:p w14:paraId="235F426A" w14:textId="77777777" w:rsidR="009B2F5A" w:rsidRDefault="009B2F5A">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975F43" w14:textId="77777777" w:rsidR="00082E1B" w:rsidRDefault="00082E1B">
      <w:r>
        <w:separator/>
      </w:r>
    </w:p>
  </w:footnote>
  <w:footnote w:type="continuationSeparator" w:id="0">
    <w:p w14:paraId="6CF1F2A8" w14:textId="77777777" w:rsidR="00082E1B" w:rsidRDefault="00082E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A297D"/>
    <w:multiLevelType w:val="hybridMultilevel"/>
    <w:tmpl w:val="959E37EC"/>
    <w:lvl w:ilvl="0" w:tplc="A3940F7A">
      <w:start w:val="1"/>
      <w:numFmt w:val="bullet"/>
      <w:lvlText w:val=""/>
      <w:lvlJc w:val="left"/>
      <w:pPr>
        <w:tabs>
          <w:tab w:val="num" w:pos="720"/>
        </w:tabs>
        <w:ind w:left="720" w:hanging="360"/>
      </w:pPr>
      <w:rPr>
        <w:rFonts w:ascii="Wingdings" w:hAnsi="Wingdings" w:hint="default"/>
      </w:rPr>
    </w:lvl>
    <w:lvl w:ilvl="1" w:tplc="15A47B52" w:tentative="1">
      <w:start w:val="1"/>
      <w:numFmt w:val="bullet"/>
      <w:lvlText w:val=""/>
      <w:lvlJc w:val="left"/>
      <w:pPr>
        <w:tabs>
          <w:tab w:val="num" w:pos="1440"/>
        </w:tabs>
        <w:ind w:left="1440" w:hanging="360"/>
      </w:pPr>
      <w:rPr>
        <w:rFonts w:ascii="Wingdings" w:hAnsi="Wingdings" w:hint="default"/>
      </w:rPr>
    </w:lvl>
    <w:lvl w:ilvl="2" w:tplc="90A239D0" w:tentative="1">
      <w:start w:val="1"/>
      <w:numFmt w:val="bullet"/>
      <w:lvlText w:val=""/>
      <w:lvlJc w:val="left"/>
      <w:pPr>
        <w:tabs>
          <w:tab w:val="num" w:pos="2160"/>
        </w:tabs>
        <w:ind w:left="2160" w:hanging="360"/>
      </w:pPr>
      <w:rPr>
        <w:rFonts w:ascii="Wingdings" w:hAnsi="Wingdings" w:hint="default"/>
      </w:rPr>
    </w:lvl>
    <w:lvl w:ilvl="3" w:tplc="4F2CA372" w:tentative="1">
      <w:start w:val="1"/>
      <w:numFmt w:val="bullet"/>
      <w:lvlText w:val=""/>
      <w:lvlJc w:val="left"/>
      <w:pPr>
        <w:tabs>
          <w:tab w:val="num" w:pos="2880"/>
        </w:tabs>
        <w:ind w:left="2880" w:hanging="360"/>
      </w:pPr>
      <w:rPr>
        <w:rFonts w:ascii="Wingdings" w:hAnsi="Wingdings" w:hint="default"/>
      </w:rPr>
    </w:lvl>
    <w:lvl w:ilvl="4" w:tplc="CC9AAA9C" w:tentative="1">
      <w:start w:val="1"/>
      <w:numFmt w:val="bullet"/>
      <w:lvlText w:val=""/>
      <w:lvlJc w:val="left"/>
      <w:pPr>
        <w:tabs>
          <w:tab w:val="num" w:pos="3600"/>
        </w:tabs>
        <w:ind w:left="3600" w:hanging="360"/>
      </w:pPr>
      <w:rPr>
        <w:rFonts w:ascii="Wingdings" w:hAnsi="Wingdings" w:hint="default"/>
      </w:rPr>
    </w:lvl>
    <w:lvl w:ilvl="5" w:tplc="C888AA0C" w:tentative="1">
      <w:start w:val="1"/>
      <w:numFmt w:val="bullet"/>
      <w:lvlText w:val=""/>
      <w:lvlJc w:val="left"/>
      <w:pPr>
        <w:tabs>
          <w:tab w:val="num" w:pos="4320"/>
        </w:tabs>
        <w:ind w:left="4320" w:hanging="360"/>
      </w:pPr>
      <w:rPr>
        <w:rFonts w:ascii="Wingdings" w:hAnsi="Wingdings" w:hint="default"/>
      </w:rPr>
    </w:lvl>
    <w:lvl w:ilvl="6" w:tplc="3F726DA8" w:tentative="1">
      <w:start w:val="1"/>
      <w:numFmt w:val="bullet"/>
      <w:lvlText w:val=""/>
      <w:lvlJc w:val="left"/>
      <w:pPr>
        <w:tabs>
          <w:tab w:val="num" w:pos="5040"/>
        </w:tabs>
        <w:ind w:left="5040" w:hanging="360"/>
      </w:pPr>
      <w:rPr>
        <w:rFonts w:ascii="Wingdings" w:hAnsi="Wingdings" w:hint="default"/>
      </w:rPr>
    </w:lvl>
    <w:lvl w:ilvl="7" w:tplc="4E8A5826" w:tentative="1">
      <w:start w:val="1"/>
      <w:numFmt w:val="bullet"/>
      <w:lvlText w:val=""/>
      <w:lvlJc w:val="left"/>
      <w:pPr>
        <w:tabs>
          <w:tab w:val="num" w:pos="5760"/>
        </w:tabs>
        <w:ind w:left="5760" w:hanging="360"/>
      </w:pPr>
      <w:rPr>
        <w:rFonts w:ascii="Wingdings" w:hAnsi="Wingdings" w:hint="default"/>
      </w:rPr>
    </w:lvl>
    <w:lvl w:ilvl="8" w:tplc="FDEAC7BE" w:tentative="1">
      <w:start w:val="1"/>
      <w:numFmt w:val="bullet"/>
      <w:lvlText w:val=""/>
      <w:lvlJc w:val="left"/>
      <w:pPr>
        <w:tabs>
          <w:tab w:val="num" w:pos="6480"/>
        </w:tabs>
        <w:ind w:left="6480" w:hanging="360"/>
      </w:pPr>
      <w:rPr>
        <w:rFonts w:ascii="Wingdings" w:hAnsi="Wingdings" w:hint="default"/>
      </w:rPr>
    </w:lvl>
  </w:abstractNum>
  <w:abstractNum w:abstractNumId="1">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BB16BA"/>
    <w:multiLevelType w:val="hybridMultilevel"/>
    <w:tmpl w:val="40C4F7DA"/>
    <w:lvl w:ilvl="0" w:tplc="04090001">
      <w:start w:val="1"/>
      <w:numFmt w:val="bullet"/>
      <w:lvlText w:val=""/>
      <w:lvlJc w:val="left"/>
      <w:pPr>
        <w:tabs>
          <w:tab w:val="num" w:pos="720"/>
        </w:tabs>
        <w:ind w:left="720" w:hanging="360"/>
      </w:pPr>
      <w:rPr>
        <w:rFonts w:ascii="Symbol" w:hAnsi="Symbol" w:hint="default"/>
      </w:rPr>
    </w:lvl>
    <w:lvl w:ilvl="1" w:tplc="581CB2A4">
      <w:start w:val="1"/>
      <w:numFmt w:val="bullet"/>
      <w:lvlText w:val=""/>
      <w:lvlJc w:val="left"/>
      <w:pPr>
        <w:tabs>
          <w:tab w:val="num" w:pos="1440"/>
        </w:tabs>
        <w:ind w:left="1440" w:hanging="360"/>
      </w:pPr>
      <w:rPr>
        <w:rFonts w:ascii="Wingdings" w:hAnsi="Wingdings" w:hint="default"/>
      </w:rPr>
    </w:lvl>
    <w:lvl w:ilvl="2" w:tplc="C3948942">
      <w:start w:val="1"/>
      <w:numFmt w:val="bullet"/>
      <w:lvlText w:val=""/>
      <w:lvlJc w:val="left"/>
      <w:pPr>
        <w:tabs>
          <w:tab w:val="num" w:pos="2160"/>
        </w:tabs>
        <w:ind w:left="2160" w:hanging="360"/>
      </w:pPr>
      <w:rPr>
        <w:rFonts w:ascii="Wingdings" w:hAnsi="Wingdings" w:hint="default"/>
      </w:rPr>
    </w:lvl>
    <w:lvl w:ilvl="3" w:tplc="0CC05D7C">
      <w:start w:val="1"/>
      <w:numFmt w:val="bullet"/>
      <w:lvlText w:val=""/>
      <w:lvlJc w:val="left"/>
      <w:pPr>
        <w:tabs>
          <w:tab w:val="num" w:pos="2880"/>
        </w:tabs>
        <w:ind w:left="2880" w:hanging="360"/>
      </w:pPr>
      <w:rPr>
        <w:rFonts w:ascii="Wingdings" w:hAnsi="Wingdings" w:hint="default"/>
      </w:rPr>
    </w:lvl>
    <w:lvl w:ilvl="4" w:tplc="BFAEFE14">
      <w:start w:val="1"/>
      <w:numFmt w:val="bullet"/>
      <w:lvlText w:val=""/>
      <w:lvlJc w:val="left"/>
      <w:pPr>
        <w:tabs>
          <w:tab w:val="num" w:pos="3600"/>
        </w:tabs>
        <w:ind w:left="3600" w:hanging="360"/>
      </w:pPr>
      <w:rPr>
        <w:rFonts w:ascii="Wingdings" w:hAnsi="Wingdings" w:hint="default"/>
      </w:rPr>
    </w:lvl>
    <w:lvl w:ilvl="5" w:tplc="F08CC75C">
      <w:start w:val="1"/>
      <w:numFmt w:val="bullet"/>
      <w:lvlText w:val=""/>
      <w:lvlJc w:val="left"/>
      <w:pPr>
        <w:tabs>
          <w:tab w:val="num" w:pos="4320"/>
        </w:tabs>
        <w:ind w:left="4320" w:hanging="360"/>
      </w:pPr>
      <w:rPr>
        <w:rFonts w:ascii="Wingdings" w:hAnsi="Wingdings" w:hint="default"/>
      </w:rPr>
    </w:lvl>
    <w:lvl w:ilvl="6" w:tplc="8C2E318A">
      <w:start w:val="1"/>
      <w:numFmt w:val="bullet"/>
      <w:lvlText w:val=""/>
      <w:lvlJc w:val="left"/>
      <w:pPr>
        <w:tabs>
          <w:tab w:val="num" w:pos="5040"/>
        </w:tabs>
        <w:ind w:left="5040" w:hanging="360"/>
      </w:pPr>
      <w:rPr>
        <w:rFonts w:ascii="Wingdings" w:hAnsi="Wingdings" w:hint="default"/>
      </w:rPr>
    </w:lvl>
    <w:lvl w:ilvl="7" w:tplc="ECD8B75E">
      <w:start w:val="1"/>
      <w:numFmt w:val="bullet"/>
      <w:lvlText w:val=""/>
      <w:lvlJc w:val="left"/>
      <w:pPr>
        <w:tabs>
          <w:tab w:val="num" w:pos="5760"/>
        </w:tabs>
        <w:ind w:left="5760" w:hanging="360"/>
      </w:pPr>
      <w:rPr>
        <w:rFonts w:ascii="Wingdings" w:hAnsi="Wingdings" w:hint="default"/>
      </w:rPr>
    </w:lvl>
    <w:lvl w:ilvl="8" w:tplc="36F49122">
      <w:start w:val="1"/>
      <w:numFmt w:val="bullet"/>
      <w:lvlText w:val=""/>
      <w:lvlJc w:val="left"/>
      <w:pPr>
        <w:tabs>
          <w:tab w:val="num" w:pos="6480"/>
        </w:tabs>
        <w:ind w:left="6480" w:hanging="360"/>
      </w:pPr>
      <w:rPr>
        <w:rFonts w:ascii="Wingdings" w:hAnsi="Wingdings" w:hint="default"/>
      </w:rPr>
    </w:lvl>
  </w:abstractNum>
  <w:abstractNum w:abstractNumId="6">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1">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2">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10"/>
  </w:num>
  <w:num w:numId="2">
    <w:abstractNumId w:val="1"/>
  </w:num>
  <w:num w:numId="3">
    <w:abstractNumId w:val="3"/>
  </w:num>
  <w:num w:numId="4">
    <w:abstractNumId w:val="13"/>
  </w:num>
  <w:num w:numId="5">
    <w:abstractNumId w:val="9"/>
  </w:num>
  <w:num w:numId="6">
    <w:abstractNumId w:val="7"/>
  </w:num>
  <w:num w:numId="7">
    <w:abstractNumId w:val="2"/>
  </w:num>
  <w:num w:numId="8">
    <w:abstractNumId w:val="4"/>
  </w:num>
  <w:num w:numId="9">
    <w:abstractNumId w:val="11"/>
  </w:num>
  <w:num w:numId="10">
    <w:abstractNumId w:val="8"/>
  </w:num>
  <w:num w:numId="11">
    <w:abstractNumId w:val="6"/>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num>
  <w:num w:numId="15">
    <w:abstractNumId w:val="7"/>
  </w:num>
  <w:num w:numId="16">
    <w:abstractNumId w:val="7"/>
  </w:num>
  <w:num w:numId="17">
    <w:abstractNumId w:val="7"/>
  </w:num>
  <w:num w:numId="18">
    <w:abstractNumId w:val="7"/>
  </w:num>
  <w:num w:numId="19">
    <w:abstractNumId w:val="12"/>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36461"/>
    <w:rsid w:val="00082E1B"/>
    <w:rsid w:val="000928BD"/>
    <w:rsid w:val="000F1A72"/>
    <w:rsid w:val="000F78B6"/>
    <w:rsid w:val="00155B56"/>
    <w:rsid w:val="00174AED"/>
    <w:rsid w:val="001C7065"/>
    <w:rsid w:val="001D611F"/>
    <w:rsid w:val="001F14BE"/>
    <w:rsid w:val="001F6ECC"/>
    <w:rsid w:val="00220AA3"/>
    <w:rsid w:val="002570A6"/>
    <w:rsid w:val="002939D1"/>
    <w:rsid w:val="002B7C4D"/>
    <w:rsid w:val="00301ED5"/>
    <w:rsid w:val="00314F70"/>
    <w:rsid w:val="00387428"/>
    <w:rsid w:val="00423243"/>
    <w:rsid w:val="00477FA6"/>
    <w:rsid w:val="0053484E"/>
    <w:rsid w:val="00556C47"/>
    <w:rsid w:val="005A52C4"/>
    <w:rsid w:val="005A6823"/>
    <w:rsid w:val="005C0559"/>
    <w:rsid w:val="00602A79"/>
    <w:rsid w:val="006826DE"/>
    <w:rsid w:val="006B72F7"/>
    <w:rsid w:val="006F09D5"/>
    <w:rsid w:val="006F1B6F"/>
    <w:rsid w:val="00716C9B"/>
    <w:rsid w:val="00737B79"/>
    <w:rsid w:val="00787D99"/>
    <w:rsid w:val="00844FCC"/>
    <w:rsid w:val="00885622"/>
    <w:rsid w:val="008B68A5"/>
    <w:rsid w:val="008C3B43"/>
    <w:rsid w:val="008C4276"/>
    <w:rsid w:val="008F25C6"/>
    <w:rsid w:val="0090462A"/>
    <w:rsid w:val="009640D0"/>
    <w:rsid w:val="00990C21"/>
    <w:rsid w:val="009B2F5A"/>
    <w:rsid w:val="00A02BA6"/>
    <w:rsid w:val="00A2038C"/>
    <w:rsid w:val="00A750FB"/>
    <w:rsid w:val="00A81ECE"/>
    <w:rsid w:val="00AA6C23"/>
    <w:rsid w:val="00AB6A61"/>
    <w:rsid w:val="00AF7580"/>
    <w:rsid w:val="00AF7E46"/>
    <w:rsid w:val="00B10EA6"/>
    <w:rsid w:val="00B12C90"/>
    <w:rsid w:val="00B14FFA"/>
    <w:rsid w:val="00B212BF"/>
    <w:rsid w:val="00B3741F"/>
    <w:rsid w:val="00B50204"/>
    <w:rsid w:val="00B71A72"/>
    <w:rsid w:val="00B93BC9"/>
    <w:rsid w:val="00BC17E4"/>
    <w:rsid w:val="00BE5025"/>
    <w:rsid w:val="00C01072"/>
    <w:rsid w:val="00C05E3D"/>
    <w:rsid w:val="00C53F24"/>
    <w:rsid w:val="00C63EEC"/>
    <w:rsid w:val="00C8092F"/>
    <w:rsid w:val="00CA3852"/>
    <w:rsid w:val="00CE4401"/>
    <w:rsid w:val="00D87BD4"/>
    <w:rsid w:val="00DB4FA0"/>
    <w:rsid w:val="00DB5E1B"/>
    <w:rsid w:val="00DF348A"/>
    <w:rsid w:val="00DF7E7C"/>
    <w:rsid w:val="00E35944"/>
    <w:rsid w:val="00E46583"/>
    <w:rsid w:val="00E93036"/>
    <w:rsid w:val="00EC4B58"/>
    <w:rsid w:val="00EF587B"/>
    <w:rsid w:val="00F26046"/>
    <w:rsid w:val="00FB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QSTBody">
    <w:name w:val="QST Body"/>
    <w:basedOn w:val="Normal"/>
    <w:uiPriority w:val="99"/>
    <w:qFormat/>
    <w:rsid w:val="001F14BE"/>
    <w:pPr>
      <w:overflowPunct/>
      <w:autoSpaceDE/>
      <w:autoSpaceDN/>
      <w:adjustRightInd/>
      <w:spacing w:after="120"/>
      <w:jc w:val="both"/>
      <w:textAlignment w:val="auto"/>
    </w:pPr>
    <w:rPr>
      <w:rFonts w:ascii="Verdana" w:eastAsia="Calibri" w:hAnsi="Verdana"/>
      <w:sz w:val="22"/>
      <w:szCs w:val="22"/>
    </w:rPr>
  </w:style>
  <w:style w:type="character" w:customStyle="1" w:styleId="FooterChar">
    <w:name w:val="Footer Char"/>
    <w:basedOn w:val="DefaultParagraphFont"/>
    <w:link w:val="Footer"/>
    <w:uiPriority w:val="99"/>
    <w:rsid w:val="006B72F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QSTBody">
    <w:name w:val="QST Body"/>
    <w:basedOn w:val="Normal"/>
    <w:uiPriority w:val="99"/>
    <w:qFormat/>
    <w:rsid w:val="001F14BE"/>
    <w:pPr>
      <w:overflowPunct/>
      <w:autoSpaceDE/>
      <w:autoSpaceDN/>
      <w:adjustRightInd/>
      <w:spacing w:after="120"/>
      <w:jc w:val="both"/>
      <w:textAlignment w:val="auto"/>
    </w:pPr>
    <w:rPr>
      <w:rFonts w:ascii="Verdana" w:eastAsia="Calibri" w:hAnsi="Verdana"/>
      <w:sz w:val="22"/>
      <w:szCs w:val="22"/>
    </w:rPr>
  </w:style>
  <w:style w:type="character" w:customStyle="1" w:styleId="FooterChar">
    <w:name w:val="Footer Char"/>
    <w:basedOn w:val="DefaultParagraphFont"/>
    <w:link w:val="Footer"/>
    <w:uiPriority w:val="99"/>
    <w:rsid w:val="006B72F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18619">
      <w:bodyDiv w:val="1"/>
      <w:marLeft w:val="0"/>
      <w:marRight w:val="0"/>
      <w:marTop w:val="0"/>
      <w:marBottom w:val="0"/>
      <w:divBdr>
        <w:top w:val="none" w:sz="0" w:space="0" w:color="auto"/>
        <w:left w:val="none" w:sz="0" w:space="0" w:color="auto"/>
        <w:bottom w:val="none" w:sz="0" w:space="0" w:color="auto"/>
        <w:right w:val="none" w:sz="0" w:space="0" w:color="auto"/>
      </w:divBdr>
    </w:div>
    <w:div w:id="71854002">
      <w:bodyDiv w:val="1"/>
      <w:marLeft w:val="0"/>
      <w:marRight w:val="0"/>
      <w:marTop w:val="0"/>
      <w:marBottom w:val="0"/>
      <w:divBdr>
        <w:top w:val="none" w:sz="0" w:space="0" w:color="auto"/>
        <w:left w:val="none" w:sz="0" w:space="0" w:color="auto"/>
        <w:bottom w:val="none" w:sz="0" w:space="0" w:color="auto"/>
        <w:right w:val="none" w:sz="0" w:space="0" w:color="auto"/>
      </w:divBdr>
    </w:div>
    <w:div w:id="244848510">
      <w:bodyDiv w:val="1"/>
      <w:marLeft w:val="0"/>
      <w:marRight w:val="0"/>
      <w:marTop w:val="0"/>
      <w:marBottom w:val="0"/>
      <w:divBdr>
        <w:top w:val="none" w:sz="0" w:space="0" w:color="auto"/>
        <w:left w:val="none" w:sz="0" w:space="0" w:color="auto"/>
        <w:bottom w:val="none" w:sz="0" w:space="0" w:color="auto"/>
        <w:right w:val="none" w:sz="0" w:space="0" w:color="auto"/>
      </w:divBdr>
    </w:div>
    <w:div w:id="388656481">
      <w:bodyDiv w:val="1"/>
      <w:marLeft w:val="0"/>
      <w:marRight w:val="0"/>
      <w:marTop w:val="0"/>
      <w:marBottom w:val="0"/>
      <w:divBdr>
        <w:top w:val="none" w:sz="0" w:space="0" w:color="auto"/>
        <w:left w:val="none" w:sz="0" w:space="0" w:color="auto"/>
        <w:bottom w:val="none" w:sz="0" w:space="0" w:color="auto"/>
        <w:right w:val="none" w:sz="0" w:space="0" w:color="auto"/>
      </w:divBdr>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690378827">
      <w:bodyDiv w:val="1"/>
      <w:marLeft w:val="0"/>
      <w:marRight w:val="0"/>
      <w:marTop w:val="0"/>
      <w:marBottom w:val="0"/>
      <w:divBdr>
        <w:top w:val="none" w:sz="0" w:space="0" w:color="auto"/>
        <w:left w:val="none" w:sz="0" w:space="0" w:color="auto"/>
        <w:bottom w:val="none" w:sz="0" w:space="0" w:color="auto"/>
        <w:right w:val="none" w:sz="0" w:space="0" w:color="auto"/>
      </w:divBdr>
    </w:div>
    <w:div w:id="698556178">
      <w:bodyDiv w:val="1"/>
      <w:marLeft w:val="0"/>
      <w:marRight w:val="0"/>
      <w:marTop w:val="0"/>
      <w:marBottom w:val="0"/>
      <w:divBdr>
        <w:top w:val="none" w:sz="0" w:space="0" w:color="auto"/>
        <w:left w:val="none" w:sz="0" w:space="0" w:color="auto"/>
        <w:bottom w:val="none" w:sz="0" w:space="0" w:color="auto"/>
        <w:right w:val="none" w:sz="0" w:space="0" w:color="auto"/>
      </w:divBdr>
    </w:div>
    <w:div w:id="710375312">
      <w:bodyDiv w:val="1"/>
      <w:marLeft w:val="0"/>
      <w:marRight w:val="0"/>
      <w:marTop w:val="0"/>
      <w:marBottom w:val="0"/>
      <w:divBdr>
        <w:top w:val="none" w:sz="0" w:space="0" w:color="auto"/>
        <w:left w:val="none" w:sz="0" w:space="0" w:color="auto"/>
        <w:bottom w:val="none" w:sz="0" w:space="0" w:color="auto"/>
        <w:right w:val="none" w:sz="0" w:space="0" w:color="auto"/>
      </w:divBdr>
    </w:div>
    <w:div w:id="1031301465">
      <w:bodyDiv w:val="1"/>
      <w:marLeft w:val="0"/>
      <w:marRight w:val="0"/>
      <w:marTop w:val="0"/>
      <w:marBottom w:val="0"/>
      <w:divBdr>
        <w:top w:val="none" w:sz="0" w:space="0" w:color="auto"/>
        <w:left w:val="none" w:sz="0" w:space="0" w:color="auto"/>
        <w:bottom w:val="none" w:sz="0" w:space="0" w:color="auto"/>
        <w:right w:val="none" w:sz="0" w:space="0" w:color="auto"/>
      </w:divBdr>
    </w:div>
    <w:div w:id="1132138569">
      <w:bodyDiv w:val="1"/>
      <w:marLeft w:val="0"/>
      <w:marRight w:val="0"/>
      <w:marTop w:val="0"/>
      <w:marBottom w:val="0"/>
      <w:divBdr>
        <w:top w:val="none" w:sz="0" w:space="0" w:color="auto"/>
        <w:left w:val="none" w:sz="0" w:space="0" w:color="auto"/>
        <w:bottom w:val="none" w:sz="0" w:space="0" w:color="auto"/>
        <w:right w:val="none" w:sz="0" w:space="0" w:color="auto"/>
      </w:divBdr>
    </w:div>
    <w:div w:id="1241868529">
      <w:bodyDiv w:val="1"/>
      <w:marLeft w:val="0"/>
      <w:marRight w:val="0"/>
      <w:marTop w:val="0"/>
      <w:marBottom w:val="0"/>
      <w:divBdr>
        <w:top w:val="none" w:sz="0" w:space="0" w:color="auto"/>
        <w:left w:val="none" w:sz="0" w:space="0" w:color="auto"/>
        <w:bottom w:val="none" w:sz="0" w:space="0" w:color="auto"/>
        <w:right w:val="none" w:sz="0" w:space="0" w:color="auto"/>
      </w:divBdr>
    </w:div>
    <w:div w:id="1257982477">
      <w:bodyDiv w:val="1"/>
      <w:marLeft w:val="0"/>
      <w:marRight w:val="0"/>
      <w:marTop w:val="0"/>
      <w:marBottom w:val="0"/>
      <w:divBdr>
        <w:top w:val="none" w:sz="0" w:space="0" w:color="auto"/>
        <w:left w:val="none" w:sz="0" w:space="0" w:color="auto"/>
        <w:bottom w:val="none" w:sz="0" w:space="0" w:color="auto"/>
        <w:right w:val="none" w:sz="0" w:space="0" w:color="auto"/>
      </w:divBdr>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381711710">
      <w:bodyDiv w:val="1"/>
      <w:marLeft w:val="0"/>
      <w:marRight w:val="0"/>
      <w:marTop w:val="0"/>
      <w:marBottom w:val="0"/>
      <w:divBdr>
        <w:top w:val="none" w:sz="0" w:space="0" w:color="auto"/>
        <w:left w:val="none" w:sz="0" w:space="0" w:color="auto"/>
        <w:bottom w:val="none" w:sz="0" w:space="0" w:color="auto"/>
        <w:right w:val="none" w:sz="0" w:space="0" w:color="auto"/>
      </w:divBdr>
    </w:div>
    <w:div w:id="1394232189">
      <w:bodyDiv w:val="1"/>
      <w:marLeft w:val="0"/>
      <w:marRight w:val="0"/>
      <w:marTop w:val="0"/>
      <w:marBottom w:val="0"/>
      <w:divBdr>
        <w:top w:val="none" w:sz="0" w:space="0" w:color="auto"/>
        <w:left w:val="none" w:sz="0" w:space="0" w:color="auto"/>
        <w:bottom w:val="none" w:sz="0" w:space="0" w:color="auto"/>
        <w:right w:val="none" w:sz="0" w:space="0" w:color="auto"/>
      </w:divBdr>
      <w:divsChild>
        <w:div w:id="102771443">
          <w:marLeft w:val="0"/>
          <w:marRight w:val="0"/>
          <w:marTop w:val="77"/>
          <w:marBottom w:val="0"/>
          <w:divBdr>
            <w:top w:val="none" w:sz="0" w:space="0" w:color="auto"/>
            <w:left w:val="none" w:sz="0" w:space="0" w:color="auto"/>
            <w:bottom w:val="none" w:sz="0" w:space="0" w:color="auto"/>
            <w:right w:val="none" w:sz="0" w:space="0" w:color="auto"/>
          </w:divBdr>
        </w:div>
        <w:div w:id="1010638408">
          <w:marLeft w:val="0"/>
          <w:marRight w:val="0"/>
          <w:marTop w:val="77"/>
          <w:marBottom w:val="0"/>
          <w:divBdr>
            <w:top w:val="none" w:sz="0" w:space="0" w:color="auto"/>
            <w:left w:val="none" w:sz="0" w:space="0" w:color="auto"/>
            <w:bottom w:val="none" w:sz="0" w:space="0" w:color="auto"/>
            <w:right w:val="none" w:sz="0" w:space="0" w:color="auto"/>
          </w:divBdr>
        </w:div>
        <w:div w:id="16588757">
          <w:marLeft w:val="0"/>
          <w:marRight w:val="0"/>
          <w:marTop w:val="77"/>
          <w:marBottom w:val="0"/>
          <w:divBdr>
            <w:top w:val="none" w:sz="0" w:space="0" w:color="auto"/>
            <w:left w:val="none" w:sz="0" w:space="0" w:color="auto"/>
            <w:bottom w:val="none" w:sz="0" w:space="0" w:color="auto"/>
            <w:right w:val="none" w:sz="0" w:space="0" w:color="auto"/>
          </w:divBdr>
        </w:div>
        <w:div w:id="69158110">
          <w:marLeft w:val="0"/>
          <w:marRight w:val="0"/>
          <w:marTop w:val="77"/>
          <w:marBottom w:val="0"/>
          <w:divBdr>
            <w:top w:val="none" w:sz="0" w:space="0" w:color="auto"/>
            <w:left w:val="none" w:sz="0" w:space="0" w:color="auto"/>
            <w:bottom w:val="none" w:sz="0" w:space="0" w:color="auto"/>
            <w:right w:val="none" w:sz="0" w:space="0" w:color="auto"/>
          </w:divBdr>
        </w:div>
        <w:div w:id="199780240">
          <w:marLeft w:val="0"/>
          <w:marRight w:val="0"/>
          <w:marTop w:val="77"/>
          <w:marBottom w:val="0"/>
          <w:divBdr>
            <w:top w:val="none" w:sz="0" w:space="0" w:color="auto"/>
            <w:left w:val="none" w:sz="0" w:space="0" w:color="auto"/>
            <w:bottom w:val="none" w:sz="0" w:space="0" w:color="auto"/>
            <w:right w:val="none" w:sz="0" w:space="0" w:color="auto"/>
          </w:divBdr>
        </w:div>
        <w:div w:id="1091201568">
          <w:marLeft w:val="0"/>
          <w:marRight w:val="0"/>
          <w:marTop w:val="77"/>
          <w:marBottom w:val="0"/>
          <w:divBdr>
            <w:top w:val="none" w:sz="0" w:space="0" w:color="auto"/>
            <w:left w:val="none" w:sz="0" w:space="0" w:color="auto"/>
            <w:bottom w:val="none" w:sz="0" w:space="0" w:color="auto"/>
            <w:right w:val="none" w:sz="0" w:space="0" w:color="auto"/>
          </w:divBdr>
        </w:div>
        <w:div w:id="485975634">
          <w:marLeft w:val="0"/>
          <w:marRight w:val="0"/>
          <w:marTop w:val="77"/>
          <w:marBottom w:val="0"/>
          <w:divBdr>
            <w:top w:val="none" w:sz="0" w:space="0" w:color="auto"/>
            <w:left w:val="none" w:sz="0" w:space="0" w:color="auto"/>
            <w:bottom w:val="none" w:sz="0" w:space="0" w:color="auto"/>
            <w:right w:val="none" w:sz="0" w:space="0" w:color="auto"/>
          </w:divBdr>
        </w:div>
        <w:div w:id="240212840">
          <w:marLeft w:val="0"/>
          <w:marRight w:val="0"/>
          <w:marTop w:val="77"/>
          <w:marBottom w:val="0"/>
          <w:divBdr>
            <w:top w:val="none" w:sz="0" w:space="0" w:color="auto"/>
            <w:left w:val="none" w:sz="0" w:space="0" w:color="auto"/>
            <w:bottom w:val="none" w:sz="0" w:space="0" w:color="auto"/>
            <w:right w:val="none" w:sz="0" w:space="0" w:color="auto"/>
          </w:divBdr>
        </w:div>
        <w:div w:id="202639856">
          <w:marLeft w:val="0"/>
          <w:marRight w:val="0"/>
          <w:marTop w:val="77"/>
          <w:marBottom w:val="0"/>
          <w:divBdr>
            <w:top w:val="none" w:sz="0" w:space="0" w:color="auto"/>
            <w:left w:val="none" w:sz="0" w:space="0" w:color="auto"/>
            <w:bottom w:val="none" w:sz="0" w:space="0" w:color="auto"/>
            <w:right w:val="none" w:sz="0" w:space="0" w:color="auto"/>
          </w:divBdr>
        </w:div>
        <w:div w:id="1700163152">
          <w:marLeft w:val="0"/>
          <w:marRight w:val="0"/>
          <w:marTop w:val="77"/>
          <w:marBottom w:val="0"/>
          <w:divBdr>
            <w:top w:val="none" w:sz="0" w:space="0" w:color="auto"/>
            <w:left w:val="none" w:sz="0" w:space="0" w:color="auto"/>
            <w:bottom w:val="none" w:sz="0" w:space="0" w:color="auto"/>
            <w:right w:val="none" w:sz="0" w:space="0" w:color="auto"/>
          </w:divBdr>
        </w:div>
        <w:div w:id="793059392">
          <w:marLeft w:val="0"/>
          <w:marRight w:val="0"/>
          <w:marTop w:val="77"/>
          <w:marBottom w:val="0"/>
          <w:divBdr>
            <w:top w:val="none" w:sz="0" w:space="0" w:color="auto"/>
            <w:left w:val="none" w:sz="0" w:space="0" w:color="auto"/>
            <w:bottom w:val="none" w:sz="0" w:space="0" w:color="auto"/>
            <w:right w:val="none" w:sz="0" w:space="0" w:color="auto"/>
          </w:divBdr>
        </w:div>
      </w:divsChild>
    </w:div>
    <w:div w:id="1473255218">
      <w:bodyDiv w:val="1"/>
      <w:marLeft w:val="0"/>
      <w:marRight w:val="0"/>
      <w:marTop w:val="0"/>
      <w:marBottom w:val="0"/>
      <w:divBdr>
        <w:top w:val="none" w:sz="0" w:space="0" w:color="auto"/>
        <w:left w:val="none" w:sz="0" w:space="0" w:color="auto"/>
        <w:bottom w:val="none" w:sz="0" w:space="0" w:color="auto"/>
        <w:right w:val="none" w:sz="0" w:space="0" w:color="auto"/>
      </w:divBdr>
    </w:div>
    <w:div w:id="1485707162">
      <w:bodyDiv w:val="1"/>
      <w:marLeft w:val="0"/>
      <w:marRight w:val="0"/>
      <w:marTop w:val="0"/>
      <w:marBottom w:val="0"/>
      <w:divBdr>
        <w:top w:val="none" w:sz="0" w:space="0" w:color="auto"/>
        <w:left w:val="none" w:sz="0" w:space="0" w:color="auto"/>
        <w:bottom w:val="none" w:sz="0" w:space="0" w:color="auto"/>
        <w:right w:val="none" w:sz="0" w:space="0" w:color="auto"/>
      </w:divBdr>
    </w:div>
    <w:div w:id="1522233071">
      <w:bodyDiv w:val="1"/>
      <w:marLeft w:val="0"/>
      <w:marRight w:val="0"/>
      <w:marTop w:val="0"/>
      <w:marBottom w:val="0"/>
      <w:divBdr>
        <w:top w:val="none" w:sz="0" w:space="0" w:color="auto"/>
        <w:left w:val="none" w:sz="0" w:space="0" w:color="auto"/>
        <w:bottom w:val="none" w:sz="0" w:space="0" w:color="auto"/>
        <w:right w:val="none" w:sz="0" w:space="0" w:color="auto"/>
      </w:divBdr>
    </w:div>
    <w:div w:id="1787847778">
      <w:bodyDiv w:val="1"/>
      <w:marLeft w:val="0"/>
      <w:marRight w:val="0"/>
      <w:marTop w:val="0"/>
      <w:marBottom w:val="0"/>
      <w:divBdr>
        <w:top w:val="none" w:sz="0" w:space="0" w:color="auto"/>
        <w:left w:val="none" w:sz="0" w:space="0" w:color="auto"/>
        <w:bottom w:val="none" w:sz="0" w:space="0" w:color="auto"/>
        <w:right w:val="none" w:sz="0" w:space="0" w:color="auto"/>
      </w:divBdr>
    </w:div>
    <w:div w:id="1853837312">
      <w:bodyDiv w:val="1"/>
      <w:marLeft w:val="0"/>
      <w:marRight w:val="0"/>
      <w:marTop w:val="0"/>
      <w:marBottom w:val="0"/>
      <w:divBdr>
        <w:top w:val="none" w:sz="0" w:space="0" w:color="auto"/>
        <w:left w:val="none" w:sz="0" w:space="0" w:color="auto"/>
        <w:bottom w:val="none" w:sz="0" w:space="0" w:color="auto"/>
        <w:right w:val="none" w:sz="0" w:space="0" w:color="auto"/>
      </w:divBdr>
    </w:div>
    <w:div w:id="1868911177">
      <w:bodyDiv w:val="1"/>
      <w:marLeft w:val="0"/>
      <w:marRight w:val="0"/>
      <w:marTop w:val="0"/>
      <w:marBottom w:val="0"/>
      <w:divBdr>
        <w:top w:val="none" w:sz="0" w:space="0" w:color="auto"/>
        <w:left w:val="none" w:sz="0" w:space="0" w:color="auto"/>
        <w:bottom w:val="none" w:sz="0" w:space="0" w:color="auto"/>
        <w:right w:val="none" w:sz="0" w:space="0" w:color="auto"/>
      </w:divBdr>
    </w:div>
    <w:div w:id="1893686853">
      <w:bodyDiv w:val="1"/>
      <w:marLeft w:val="0"/>
      <w:marRight w:val="0"/>
      <w:marTop w:val="0"/>
      <w:marBottom w:val="0"/>
      <w:divBdr>
        <w:top w:val="none" w:sz="0" w:space="0" w:color="auto"/>
        <w:left w:val="none" w:sz="0" w:space="0" w:color="auto"/>
        <w:bottom w:val="none" w:sz="0" w:space="0" w:color="auto"/>
        <w:right w:val="none" w:sz="0" w:space="0" w:color="auto"/>
      </w:divBdr>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8726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fr.gov/cgi-bin/text-idx?c=ecfr&amp;sid=39c7e367a71c8efc570650851b266303&amp;rgn=div5&amp;view=text&amp;node=38:1.0.1.1.4&amp;idno=38" TargetMode="External"/><Relationship Id="rId18" Type="http://schemas.openxmlformats.org/officeDocument/2006/relationships/hyperlink" Target="http://www.ecfr.gov/cgi-bin/text-idx?SID=f364af7ea3f3e64e5b8f670a6f215a70&amp;mc=true&amp;node=se38.1.4_185&amp;rgn=div8"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ecfr.gov/cgi-bin/text-idx?SID=f364af7ea3f3e64e5b8f670a6f215a70&amp;mc=true&amp;node=se38.1.4_187a&amp;rgn=div8" TargetMode="External"/><Relationship Id="rId7" Type="http://schemas.openxmlformats.org/officeDocument/2006/relationships/settings" Target="settings.xml"/><Relationship Id="rId12" Type="http://schemas.openxmlformats.org/officeDocument/2006/relationships/hyperlink" Target="http://www.ecfr.gov/cgi-bin/text-idx?c=ecfr&amp;sid=39c7e367a71c8efc570650851b266303&amp;rgn=div5&amp;view=text&amp;node=38:1.0.1.1.4&amp;idno=38" TargetMode="External"/><Relationship Id="rId17" Type="http://schemas.openxmlformats.org/officeDocument/2006/relationships/hyperlink" Target="http://www.ecfr.gov/cgi-bin/text-idx?SID=f364af7ea3f3e64e5b8f670a6f215a70&amp;mc=true&amp;node=se38.1.3_1385&amp;rgn=div8" TargetMode="Externa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http://www.ecfr.gov/cgi-bin/text-idx?SID=f364af7ea3f3e64e5b8f670a6f215a70&amp;mc=true&amp;node=se38.1.3_1383&amp;rgn=div8" TargetMode="External"/><Relationship Id="rId20" Type="http://schemas.openxmlformats.org/officeDocument/2006/relationships/hyperlink" Target="http://www.ecfr.gov/cgi-bin/text-idx?SID=f364af7ea3f3e64e5b8f670a6f215a70&amp;mc=true&amp;node=se38.1.4_187&amp;rgn=div8"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vaww.compensation.pension.km.va.gov/" TargetMode="External"/><Relationship Id="rId24" Type="http://schemas.openxmlformats.org/officeDocument/2006/relationships/hyperlink" Target="https://vaww.compensation.pension.km.va.gov/system/templates/selfservice/va_ka/portal.html?encodedHash=%23!agent%2Fportal%2F554400000001034%2Farticle%2F554400000014200%2FM21-1-Part-III-Subpart-iv-Chapter-4-Section-G-Neurological-Conditions-and-Convulsive-Disorders" TargetMode="External"/><Relationship Id="rId5" Type="http://schemas.openxmlformats.org/officeDocument/2006/relationships/styles" Target="styles.xml"/><Relationship Id="rId15" Type="http://schemas.openxmlformats.org/officeDocument/2006/relationships/hyperlink" Target="http://www.ecfr.gov/cgi-bin/text-idx?SID=f364af7ea3f3e64e5b8f670a6f215a70&amp;mc=true&amp;node=se38.1.3_1350&amp;rgn=div8" TargetMode="External"/><Relationship Id="rId23" Type="http://schemas.openxmlformats.org/officeDocument/2006/relationships/hyperlink" Target="https://vaww.compensation.pension.km.va.gov/system/templates/selfservice/va_ka/portal.html?portalid=554400000001034"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cfr.gov/cgi-bin/text-idx?SID=f364af7ea3f3e64e5b8f670a6f215a70&amp;mc=true&amp;node=se38.1.4_186&amp;rgn=div8"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ecfr.gov/cgi-bin/text-idx?SID=f364af7ea3f3e64e5b8f670a6f215a70&amp;mc=true&amp;node=se38.1.3_1309&amp;rgn=div8" TargetMode="External"/><Relationship Id="rId22" Type="http://schemas.openxmlformats.org/officeDocument/2006/relationships/hyperlink" Target="https://vaww.compensation.pension.km.va.gov/system/templates/selfservice/va_ka/portal.html?portalid=554400000001034"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3.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NTC_ LP Template</Template>
  <TotalTime>148</TotalTime>
  <Pages>11</Pages>
  <Words>2844</Words>
  <Characters>16212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Auditory Disorders Lesson Plan</vt:lpstr>
    </vt:vector>
  </TitlesOfParts>
  <Company>Veterans Benefits Administration</Company>
  <LinksUpToDate>false</LinksUpToDate>
  <CharactersWithSpaces>19018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Auditory Disorders Lesson Plan</dc:title>
  <dc:subject>RVSR</dc:subject>
  <dc:creator>Department of Veterans Affairs, Veterans Benefits Administration, Compensation Service, STAFF</dc:creator>
  <cp:keywords>rating schedule,auditory conditions,hearing loss,tinnitus,38 CFR 4.85</cp:keywords>
  <dc:description>This lesson covers the rating schedule for auditory conditions, with emphasis on proper rating consideration and evaluation of hearing loss and tinnitus.</dc:description>
  <cp:lastModifiedBy>Kathleen Poole</cp:lastModifiedBy>
  <cp:revision>32</cp:revision>
  <cp:lastPrinted>2010-09-08T15:08:00Z</cp:lastPrinted>
  <dcterms:created xsi:type="dcterms:W3CDTF">2016-02-17T16:50:00Z</dcterms:created>
  <dcterms:modified xsi:type="dcterms:W3CDTF">2016-06-16T14:14:00Z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