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A59B" w14:textId="5DEABFF0" w:rsidR="00B96DD6" w:rsidRDefault="00B96DD6">
      <w:pPr>
        <w:pStyle w:val="VBALessonPlanTitle"/>
        <w:rPr>
          <w:color w:val="auto"/>
        </w:rPr>
      </w:pPr>
      <w:bookmarkStart w:id="0" w:name="_Toc276556863"/>
      <w:bookmarkStart w:id="1" w:name="_GoBack"/>
      <w:bookmarkEnd w:id="1"/>
      <w:r w:rsidRPr="00B96DD6">
        <w:rPr>
          <w:color w:val="auto"/>
        </w:rPr>
        <w:t>Review of Service Treatment Records (STRs) for Benefits Deliver</w:t>
      </w:r>
      <w:r w:rsidR="00A020E4">
        <w:rPr>
          <w:color w:val="auto"/>
        </w:rPr>
        <w:t>ed</w:t>
      </w:r>
      <w:r w:rsidRPr="00B96DD6">
        <w:rPr>
          <w:color w:val="auto"/>
        </w:rPr>
        <w:t xml:space="preserve"> at Discharge (BDD) </w:t>
      </w:r>
    </w:p>
    <w:p w14:paraId="1BA2BA6F" w14:textId="7CC10E96" w:rsidR="007A5600" w:rsidRDefault="007A5600">
      <w:pPr>
        <w:pStyle w:val="VBALessonPlanTitle"/>
        <w:rPr>
          <w:color w:val="auto"/>
        </w:rPr>
      </w:pPr>
      <w:r>
        <w:rPr>
          <w:color w:val="auto"/>
        </w:rPr>
        <w:t>Trainee Handout</w:t>
      </w:r>
      <w:bookmarkEnd w:id="0"/>
    </w:p>
    <w:p w14:paraId="1BA2BA70" w14:textId="77777777" w:rsidR="007A5600" w:rsidRDefault="007A5600">
      <w:pPr>
        <w:pStyle w:val="VBATopicHeading1"/>
      </w:pPr>
      <w:bookmarkStart w:id="2" w:name="_Toc276556864"/>
    </w:p>
    <w:p w14:paraId="1BA2BA71"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1BA2BA72" w14:textId="77777777" w:rsidR="007A5600" w:rsidRDefault="007A5600"/>
    <w:p w14:paraId="7EC867C6" w14:textId="77777777" w:rsidR="00515FCF"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50892713" w:history="1">
        <w:r w:rsidR="00515FCF" w:rsidRPr="000A0338">
          <w:rPr>
            <w:rStyle w:val="Hyperlink"/>
          </w:rPr>
          <w:t>Objectives</w:t>
        </w:r>
        <w:r w:rsidR="00515FCF">
          <w:rPr>
            <w:webHidden/>
          </w:rPr>
          <w:tab/>
        </w:r>
        <w:r w:rsidR="00515FCF">
          <w:rPr>
            <w:webHidden/>
          </w:rPr>
          <w:fldChar w:fldCharType="begin"/>
        </w:r>
        <w:r w:rsidR="00515FCF">
          <w:rPr>
            <w:webHidden/>
          </w:rPr>
          <w:instrText xml:space="preserve"> PAGEREF _Toc450892713 \h </w:instrText>
        </w:r>
        <w:r w:rsidR="00515FCF">
          <w:rPr>
            <w:webHidden/>
          </w:rPr>
        </w:r>
        <w:r w:rsidR="00515FCF">
          <w:rPr>
            <w:webHidden/>
          </w:rPr>
          <w:fldChar w:fldCharType="separate"/>
        </w:r>
        <w:r w:rsidR="005C1D18">
          <w:rPr>
            <w:webHidden/>
          </w:rPr>
          <w:t>2</w:t>
        </w:r>
        <w:r w:rsidR="00515FCF">
          <w:rPr>
            <w:webHidden/>
          </w:rPr>
          <w:fldChar w:fldCharType="end"/>
        </w:r>
      </w:hyperlink>
    </w:p>
    <w:p w14:paraId="69421568" w14:textId="77777777" w:rsidR="00515FCF" w:rsidRDefault="00EE3197">
      <w:pPr>
        <w:pStyle w:val="TOC1"/>
        <w:rPr>
          <w:rFonts w:asciiTheme="minorHAnsi" w:eastAsiaTheme="minorEastAsia" w:hAnsiTheme="minorHAnsi" w:cstheme="minorBidi"/>
          <w:sz w:val="22"/>
        </w:rPr>
      </w:pPr>
      <w:hyperlink w:anchor="_Toc450892714" w:history="1">
        <w:r w:rsidR="00515FCF" w:rsidRPr="000A0338">
          <w:rPr>
            <w:rStyle w:val="Hyperlink"/>
          </w:rPr>
          <w:t>References</w:t>
        </w:r>
        <w:r w:rsidR="00515FCF">
          <w:rPr>
            <w:webHidden/>
          </w:rPr>
          <w:tab/>
        </w:r>
        <w:r w:rsidR="00515FCF">
          <w:rPr>
            <w:webHidden/>
          </w:rPr>
          <w:fldChar w:fldCharType="begin"/>
        </w:r>
        <w:r w:rsidR="00515FCF">
          <w:rPr>
            <w:webHidden/>
          </w:rPr>
          <w:instrText xml:space="preserve"> PAGEREF _Toc450892714 \h </w:instrText>
        </w:r>
        <w:r w:rsidR="00515FCF">
          <w:rPr>
            <w:webHidden/>
          </w:rPr>
        </w:r>
        <w:r w:rsidR="00515FCF">
          <w:rPr>
            <w:webHidden/>
          </w:rPr>
          <w:fldChar w:fldCharType="separate"/>
        </w:r>
        <w:r w:rsidR="005C1D18">
          <w:rPr>
            <w:webHidden/>
          </w:rPr>
          <w:t>3</w:t>
        </w:r>
        <w:r w:rsidR="00515FCF">
          <w:rPr>
            <w:webHidden/>
          </w:rPr>
          <w:fldChar w:fldCharType="end"/>
        </w:r>
      </w:hyperlink>
    </w:p>
    <w:p w14:paraId="273C2800" w14:textId="77777777" w:rsidR="00515FCF" w:rsidRDefault="00EE3197">
      <w:pPr>
        <w:pStyle w:val="TOC1"/>
        <w:rPr>
          <w:rFonts w:asciiTheme="minorHAnsi" w:eastAsiaTheme="minorEastAsia" w:hAnsiTheme="minorHAnsi" w:cstheme="minorBidi"/>
          <w:sz w:val="22"/>
        </w:rPr>
      </w:pPr>
      <w:hyperlink w:anchor="_Toc450892715" w:history="1">
        <w:r w:rsidR="00515FCF" w:rsidRPr="000A0338">
          <w:rPr>
            <w:rStyle w:val="Hyperlink"/>
          </w:rPr>
          <w:t>Topic 1: Overview of STRs</w:t>
        </w:r>
        <w:r w:rsidR="00515FCF">
          <w:rPr>
            <w:webHidden/>
          </w:rPr>
          <w:tab/>
        </w:r>
        <w:r w:rsidR="00515FCF">
          <w:rPr>
            <w:webHidden/>
          </w:rPr>
          <w:fldChar w:fldCharType="begin"/>
        </w:r>
        <w:r w:rsidR="00515FCF">
          <w:rPr>
            <w:webHidden/>
          </w:rPr>
          <w:instrText xml:space="preserve"> PAGEREF _Toc450892715 \h </w:instrText>
        </w:r>
        <w:r w:rsidR="00515FCF">
          <w:rPr>
            <w:webHidden/>
          </w:rPr>
        </w:r>
        <w:r w:rsidR="00515FCF">
          <w:rPr>
            <w:webHidden/>
          </w:rPr>
          <w:fldChar w:fldCharType="separate"/>
        </w:r>
        <w:r w:rsidR="005C1D18">
          <w:rPr>
            <w:webHidden/>
          </w:rPr>
          <w:t>4</w:t>
        </w:r>
        <w:r w:rsidR="00515FCF">
          <w:rPr>
            <w:webHidden/>
          </w:rPr>
          <w:fldChar w:fldCharType="end"/>
        </w:r>
      </w:hyperlink>
    </w:p>
    <w:p w14:paraId="49D74D15" w14:textId="77777777" w:rsidR="00515FCF" w:rsidRDefault="00EE3197">
      <w:pPr>
        <w:pStyle w:val="TOC1"/>
        <w:rPr>
          <w:rFonts w:asciiTheme="minorHAnsi" w:eastAsiaTheme="minorEastAsia" w:hAnsiTheme="minorHAnsi" w:cstheme="minorBidi"/>
          <w:sz w:val="22"/>
        </w:rPr>
      </w:pPr>
      <w:hyperlink w:anchor="_Toc450892716" w:history="1">
        <w:r w:rsidR="00515FCF" w:rsidRPr="000A0338">
          <w:rPr>
            <w:rStyle w:val="Hyperlink"/>
          </w:rPr>
          <w:t>Topic 2: MSC Responsibilities for the Review of STRs</w:t>
        </w:r>
        <w:r w:rsidR="00515FCF">
          <w:rPr>
            <w:webHidden/>
          </w:rPr>
          <w:tab/>
        </w:r>
        <w:r w:rsidR="00515FCF">
          <w:rPr>
            <w:webHidden/>
          </w:rPr>
          <w:fldChar w:fldCharType="begin"/>
        </w:r>
        <w:r w:rsidR="00515FCF">
          <w:rPr>
            <w:webHidden/>
          </w:rPr>
          <w:instrText xml:space="preserve"> PAGEREF _Toc450892716 \h </w:instrText>
        </w:r>
        <w:r w:rsidR="00515FCF">
          <w:rPr>
            <w:webHidden/>
          </w:rPr>
        </w:r>
        <w:r w:rsidR="00515FCF">
          <w:rPr>
            <w:webHidden/>
          </w:rPr>
          <w:fldChar w:fldCharType="separate"/>
        </w:r>
        <w:r w:rsidR="005C1D18">
          <w:rPr>
            <w:webHidden/>
          </w:rPr>
          <w:t>7</w:t>
        </w:r>
        <w:r w:rsidR="00515FCF">
          <w:rPr>
            <w:webHidden/>
          </w:rPr>
          <w:fldChar w:fldCharType="end"/>
        </w:r>
      </w:hyperlink>
    </w:p>
    <w:p w14:paraId="1BA2BA7B" w14:textId="77777777" w:rsidR="007A5600" w:rsidRDefault="007A5600">
      <w:pPr>
        <w:pStyle w:val="VBATopicHeading1"/>
        <w:rPr>
          <w:sz w:val="24"/>
        </w:rPr>
      </w:pPr>
      <w:r>
        <w:rPr>
          <w:rStyle w:val="Hyperlink"/>
          <w:bCs/>
          <w:szCs w:val="24"/>
        </w:rPr>
        <w:fldChar w:fldCharType="end"/>
      </w:r>
    </w:p>
    <w:p w14:paraId="1BA2BA7C" w14:textId="77777777" w:rsidR="007A5600" w:rsidRDefault="007A5600"/>
    <w:p w14:paraId="1BA2BA7D" w14:textId="77777777" w:rsidR="007A5600" w:rsidRDefault="007A5600"/>
    <w:p w14:paraId="1BA2BA7E" w14:textId="77777777" w:rsidR="007A5600" w:rsidRDefault="007A5600"/>
    <w:p w14:paraId="1BA2BA7F" w14:textId="77777777" w:rsidR="007A5600" w:rsidRDefault="007A5600"/>
    <w:p w14:paraId="1BA2BA80" w14:textId="77777777" w:rsidR="007A5600" w:rsidRDefault="007A5600"/>
    <w:p w14:paraId="1BA2BA81" w14:textId="77777777" w:rsidR="007A5600" w:rsidRDefault="007A5600"/>
    <w:p w14:paraId="1BA2BA82" w14:textId="77777777" w:rsidR="007A5600" w:rsidRDefault="007A5600"/>
    <w:p w14:paraId="1BA2BA83" w14:textId="77777777" w:rsidR="007A5600" w:rsidRDefault="007A5600"/>
    <w:p w14:paraId="1BA2BA84" w14:textId="77777777" w:rsidR="007A5600" w:rsidRDefault="007A5600">
      <w:pPr>
        <w:overflowPunct/>
        <w:autoSpaceDE/>
        <w:autoSpaceDN/>
        <w:adjustRightInd/>
        <w:spacing w:before="0"/>
      </w:pPr>
      <w:r>
        <w:br w:type="page"/>
      </w:r>
    </w:p>
    <w:p w14:paraId="1BA2BA85" w14:textId="77777777" w:rsidR="007A5600" w:rsidRDefault="007A5600">
      <w:pPr>
        <w:pStyle w:val="VBATopicHeading1"/>
      </w:pPr>
      <w:bookmarkStart w:id="3" w:name="_Toc450892713"/>
      <w:bookmarkStart w:id="4" w:name="_Toc269888405"/>
      <w:bookmarkStart w:id="5" w:name="_Toc269888748"/>
      <w:bookmarkStart w:id="6" w:name="_Toc278291133"/>
      <w:r>
        <w:lastRenderedPageBreak/>
        <w:t>Objectives</w:t>
      </w:r>
      <w:bookmarkEnd w:id="3"/>
    </w:p>
    <w:p w14:paraId="623D0C76" w14:textId="77777777" w:rsidR="00381CB5" w:rsidRDefault="00381CB5" w:rsidP="00381CB5">
      <w:pPr>
        <w:pStyle w:val="VBAFirstLevelBullet"/>
      </w:pPr>
      <w:r>
        <w:t>Identify the types of records found in STRs.</w:t>
      </w:r>
    </w:p>
    <w:p w14:paraId="5B13F710" w14:textId="77777777" w:rsidR="00381CB5" w:rsidRPr="00DD2E23" w:rsidRDefault="00381CB5" w:rsidP="00381CB5">
      <w:pPr>
        <w:pStyle w:val="VBAFirstLevelBullet"/>
      </w:pPr>
      <w:r>
        <w:t>Understand how the individual records are formatted (SOAP).</w:t>
      </w:r>
    </w:p>
    <w:p w14:paraId="42812B22" w14:textId="77777777" w:rsidR="00381CB5" w:rsidRDefault="00381CB5" w:rsidP="00381CB5">
      <w:pPr>
        <w:pStyle w:val="VBAFirstLevelBullet"/>
      </w:pPr>
      <w:r>
        <w:t>I</w:t>
      </w:r>
      <w:r w:rsidRPr="00DD2E23">
        <w:t xml:space="preserve">dentify methods for the review of </w:t>
      </w:r>
      <w:r>
        <w:t>STRs</w:t>
      </w:r>
      <w:r w:rsidRPr="00DD2E23">
        <w:t>.</w:t>
      </w:r>
    </w:p>
    <w:p w14:paraId="1BA2BA86" w14:textId="70608E1E" w:rsidR="000E3279" w:rsidRPr="00381CB5" w:rsidRDefault="00381CB5" w:rsidP="00381CB5">
      <w:pPr>
        <w:pStyle w:val="VBAFirstLevelBullet"/>
      </w:pPr>
      <w:r>
        <w:t>I</w:t>
      </w:r>
      <w:r w:rsidRPr="00DD2E23">
        <w:t xml:space="preserve">dentify methods for the routine handling of </w:t>
      </w:r>
      <w:r>
        <w:t>STRs.</w:t>
      </w:r>
    </w:p>
    <w:p w14:paraId="44B20D6C" w14:textId="77777777" w:rsidR="00381CB5" w:rsidRDefault="00381CB5" w:rsidP="000E3279">
      <w:pPr>
        <w:pStyle w:val="VBATopicHeading1"/>
        <w:jc w:val="left"/>
        <w:rPr>
          <w:rFonts w:ascii="Times New Roman" w:hAnsi="Times New Roman"/>
          <w:b w:val="0"/>
          <w:smallCaps w:val="0"/>
          <w:sz w:val="24"/>
          <w:szCs w:val="20"/>
        </w:rPr>
      </w:pPr>
    </w:p>
    <w:p w14:paraId="7DB9CE82" w14:textId="77777777" w:rsidR="00381CB5" w:rsidRDefault="00381CB5" w:rsidP="000E3279">
      <w:pPr>
        <w:pStyle w:val="VBATopicHeading1"/>
        <w:jc w:val="left"/>
        <w:rPr>
          <w:rFonts w:ascii="Times New Roman" w:hAnsi="Times New Roman"/>
          <w:b w:val="0"/>
          <w:smallCaps w:val="0"/>
          <w:sz w:val="24"/>
          <w:szCs w:val="20"/>
        </w:rPr>
      </w:pPr>
    </w:p>
    <w:p w14:paraId="1BA2BA87" w14:textId="77777777" w:rsidR="007A5600" w:rsidRDefault="007A5600" w:rsidP="000E3279">
      <w:pPr>
        <w:pStyle w:val="VBATopicHeading1"/>
      </w:pPr>
      <w:r>
        <w:br w:type="page"/>
      </w:r>
      <w:bookmarkStart w:id="7" w:name="_Toc450892714"/>
      <w:r>
        <w:lastRenderedPageBreak/>
        <w:t>References</w:t>
      </w:r>
      <w:bookmarkEnd w:id="7"/>
    </w:p>
    <w:p w14:paraId="1BA2BA88" w14:textId="77777777" w:rsidR="00F86C93" w:rsidRDefault="00F86C93" w:rsidP="00F86C93">
      <w:pPr>
        <w:pStyle w:val="VBATopicHeading1"/>
        <w:ind w:left="720"/>
      </w:pPr>
    </w:p>
    <w:p w14:paraId="01C9DF71" w14:textId="77777777" w:rsidR="00381CB5" w:rsidRPr="00381CB5" w:rsidRDefault="00381CB5" w:rsidP="00381CB5">
      <w:pPr>
        <w:spacing w:after="120"/>
        <w:textAlignment w:val="baseline"/>
        <w:rPr>
          <w:b/>
          <w:noProof/>
        </w:rPr>
      </w:pPr>
      <w:r w:rsidRPr="00381CB5">
        <w:rPr>
          <w:noProof/>
        </w:rPr>
        <w:t xml:space="preserve">All M21-1 references are located in the </w:t>
      </w:r>
      <w:hyperlink r:id="rId12" w:history="1">
        <w:r w:rsidRPr="00381CB5">
          <w:rPr>
            <w:noProof/>
            <w:color w:val="0000FF"/>
            <w:u w:val="single"/>
          </w:rPr>
          <w:t>Live Manual Website</w:t>
        </w:r>
      </w:hyperlink>
    </w:p>
    <w:p w14:paraId="71F3948D" w14:textId="77777777" w:rsidR="002D721E" w:rsidRDefault="00EE3197" w:rsidP="002D721E">
      <w:pPr>
        <w:pStyle w:val="VBAFirstLevelBullet"/>
      </w:pPr>
      <w:hyperlink r:id="rId13" w:history="1">
        <w:r w:rsidR="002D721E" w:rsidRPr="00EA3DD9">
          <w:rPr>
            <w:rStyle w:val="Hyperlink"/>
          </w:rPr>
          <w:t>M21-1, Part III, Subpart iii, 2.A – General Information on Service Records</w:t>
        </w:r>
      </w:hyperlink>
    </w:p>
    <w:p w14:paraId="2896D2EB" w14:textId="77777777" w:rsidR="002D721E" w:rsidRDefault="00EE3197" w:rsidP="002D721E">
      <w:pPr>
        <w:pStyle w:val="VBAFirstLevelBullet"/>
      </w:pPr>
      <w:hyperlink r:id="rId14" w:history="1">
        <w:r w:rsidR="002D721E" w:rsidRPr="00EA3DD9">
          <w:rPr>
            <w:rStyle w:val="Hyperlink"/>
          </w:rPr>
          <w:t>M21-1, Part III, Subpart ii, 4.G – Folder Maintenance</w:t>
        </w:r>
      </w:hyperlink>
    </w:p>
    <w:p w14:paraId="3D265837" w14:textId="77777777" w:rsidR="002D721E" w:rsidRDefault="00EE3197" w:rsidP="002D721E">
      <w:pPr>
        <w:pStyle w:val="VBAFirstLevelBullet"/>
      </w:pPr>
      <w:hyperlink r:id="rId15" w:history="1">
        <w:r w:rsidR="002D721E" w:rsidRPr="00EA3DD9">
          <w:rPr>
            <w:rStyle w:val="Hyperlink"/>
          </w:rPr>
          <w:t>M21-1, Part III, Subpart iii, 2.B.3.j – Associating Health Records Located in the JLV</w:t>
        </w:r>
      </w:hyperlink>
    </w:p>
    <w:p w14:paraId="0A927CA6" w14:textId="77777777" w:rsidR="002D721E" w:rsidRDefault="00EE3197" w:rsidP="002D721E">
      <w:pPr>
        <w:pStyle w:val="ListParagraph"/>
        <w:numPr>
          <w:ilvl w:val="0"/>
          <w:numId w:val="17"/>
        </w:numPr>
        <w:spacing w:before="0"/>
      </w:pPr>
      <w:hyperlink r:id="rId16" w:history="1">
        <w:r w:rsidR="002D721E" w:rsidRPr="00EA3DD9">
          <w:rPr>
            <w:rStyle w:val="Hyperlink"/>
          </w:rPr>
          <w:t>M21-1, Part III, Subpart iii, 1.C.8.d – Requesting OPTRS from an MTF</w:t>
        </w:r>
      </w:hyperlink>
    </w:p>
    <w:p w14:paraId="4BC2E461" w14:textId="58AEBC51" w:rsidR="002D721E" w:rsidRDefault="002D721E" w:rsidP="002D721E">
      <w:pPr>
        <w:ind w:left="360"/>
      </w:pPr>
    </w:p>
    <w:p w14:paraId="4338FBC6" w14:textId="77777777" w:rsidR="00381CB5" w:rsidRDefault="00381CB5" w:rsidP="00F86C93">
      <w:pPr>
        <w:ind w:left="360"/>
      </w:pPr>
    </w:p>
    <w:p w14:paraId="7C1FC3E7" w14:textId="77777777" w:rsidR="00381CB5" w:rsidRDefault="00381CB5" w:rsidP="00F86C93">
      <w:pPr>
        <w:ind w:left="360"/>
      </w:pPr>
    </w:p>
    <w:p w14:paraId="1BA2BA8A"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1BA2BA8B" w14:textId="77777777" w:rsidR="007A5600" w:rsidRDefault="007A5600"/>
    <w:p w14:paraId="1BA2BA8C" w14:textId="77777777" w:rsidR="007A5600" w:rsidRDefault="007A5600"/>
    <w:p w14:paraId="1BA2BA8D" w14:textId="77777777" w:rsidR="007A5600" w:rsidRDefault="007A5600"/>
    <w:p w14:paraId="1BA2BA8E" w14:textId="77777777" w:rsidR="007A5600" w:rsidRDefault="007A5600"/>
    <w:p w14:paraId="1BA2BA8F" w14:textId="77777777" w:rsidR="007A5600" w:rsidRDefault="007A5600"/>
    <w:p w14:paraId="1BA2BA90" w14:textId="77777777" w:rsidR="007A5600" w:rsidRDefault="007A5600"/>
    <w:p w14:paraId="1BA2BA91" w14:textId="77777777" w:rsidR="007A5600" w:rsidRDefault="007A5600"/>
    <w:p w14:paraId="1BA2BA92" w14:textId="77777777" w:rsidR="007A5600" w:rsidRDefault="007A5600"/>
    <w:p w14:paraId="1BA2BA93" w14:textId="77777777" w:rsidR="007A5600" w:rsidRDefault="007A5600"/>
    <w:p w14:paraId="1BA2BA94" w14:textId="77777777" w:rsidR="007A5600" w:rsidRDefault="007A5600"/>
    <w:p w14:paraId="1BA2BA95" w14:textId="77777777" w:rsidR="007A5600" w:rsidRDefault="007A5600"/>
    <w:p w14:paraId="1BA2BA96" w14:textId="77777777" w:rsidR="007A5600" w:rsidRDefault="007A5600"/>
    <w:p w14:paraId="1BA2BA97" w14:textId="77777777" w:rsidR="007A5600" w:rsidRDefault="007A5600"/>
    <w:p w14:paraId="1BA2BA98" w14:textId="77777777" w:rsidR="007A5600" w:rsidRDefault="007A5600"/>
    <w:p w14:paraId="1BA2BA99" w14:textId="77777777" w:rsidR="007A5600" w:rsidRDefault="007A5600"/>
    <w:p w14:paraId="1BA2BA9A" w14:textId="77777777" w:rsidR="007A5600" w:rsidRDefault="007A5600"/>
    <w:p w14:paraId="1BA2BA9B" w14:textId="77777777" w:rsidR="007A5600" w:rsidRDefault="007A5600"/>
    <w:p w14:paraId="1BA2BA9C" w14:textId="77777777" w:rsidR="007A5600" w:rsidRDefault="007A5600"/>
    <w:p w14:paraId="1BA2BA9D" w14:textId="77777777" w:rsidR="007A5600" w:rsidRDefault="007A5600"/>
    <w:p w14:paraId="1BA2BA9E" w14:textId="77777777" w:rsidR="007A5600" w:rsidRDefault="007A5600"/>
    <w:p w14:paraId="1BA2BA9F" w14:textId="77777777" w:rsidR="007A5600" w:rsidRDefault="007A5600"/>
    <w:p w14:paraId="1BA2BAA5" w14:textId="028D66BE" w:rsidR="00975461" w:rsidRPr="00381CB5" w:rsidRDefault="00381CB5" w:rsidP="00435649">
      <w:pPr>
        <w:pStyle w:val="VBATopicHeading1"/>
        <w:spacing w:before="0"/>
        <w:rPr>
          <w:bCs/>
          <w:i/>
        </w:rPr>
      </w:pPr>
      <w:bookmarkStart w:id="8" w:name="_Toc269888406"/>
      <w:bookmarkStart w:id="9" w:name="_Toc269888749"/>
      <w:bookmarkStart w:id="10" w:name="_Toc269888789"/>
      <w:bookmarkStart w:id="11" w:name="_Toc450826289"/>
      <w:bookmarkStart w:id="12" w:name="_Toc450892715"/>
      <w:r w:rsidRPr="00381CB5">
        <w:lastRenderedPageBreak/>
        <w:t xml:space="preserve">Topic 1: </w:t>
      </w:r>
      <w:bookmarkEnd w:id="8"/>
      <w:bookmarkEnd w:id="9"/>
      <w:bookmarkEnd w:id="10"/>
      <w:r w:rsidRPr="00381CB5">
        <w:t>Overview of STRs</w:t>
      </w:r>
      <w:bookmarkEnd w:id="11"/>
      <w:bookmarkEnd w:id="12"/>
    </w:p>
    <w:p w14:paraId="19F953FE" w14:textId="47BCE3DA" w:rsidR="00381CB5" w:rsidRPr="00381CB5" w:rsidRDefault="00381CB5">
      <w:pPr>
        <w:pStyle w:val="VBASubHeading1"/>
        <w:spacing w:before="0"/>
        <w:rPr>
          <w:b/>
          <w:bCs/>
          <w:i w:val="0"/>
        </w:rPr>
      </w:pPr>
      <w:r w:rsidRPr="00381CB5">
        <w:rPr>
          <w:b/>
          <w:bCs/>
          <w:i w:val="0"/>
        </w:rPr>
        <w:t>General Information in STRs</w:t>
      </w:r>
    </w:p>
    <w:p w14:paraId="042F7FCA" w14:textId="77777777" w:rsidR="00381CB5" w:rsidRPr="00381CB5" w:rsidRDefault="00381CB5" w:rsidP="00381CB5">
      <w:pPr>
        <w:spacing w:after="120"/>
        <w:textAlignment w:val="baseline"/>
      </w:pPr>
      <w:r w:rsidRPr="00381CB5">
        <w:t>The following information can be located within STRs:</w:t>
      </w:r>
    </w:p>
    <w:p w14:paraId="2D461C89" w14:textId="77777777" w:rsidR="00381CB5" w:rsidRPr="00381CB5" w:rsidRDefault="00381CB5" w:rsidP="00381CB5">
      <w:pPr>
        <w:pStyle w:val="ListParagraph"/>
        <w:numPr>
          <w:ilvl w:val="0"/>
          <w:numId w:val="18"/>
        </w:numPr>
        <w:spacing w:before="0"/>
        <w:textAlignment w:val="baseline"/>
      </w:pPr>
      <w:r w:rsidRPr="00381CB5">
        <w:t>Entrance and separation physical exams</w:t>
      </w:r>
    </w:p>
    <w:p w14:paraId="75C1776D" w14:textId="0B8D0A93" w:rsidR="00381CB5" w:rsidRPr="00381CB5" w:rsidRDefault="00381CB5" w:rsidP="00381CB5">
      <w:pPr>
        <w:numPr>
          <w:ilvl w:val="1"/>
          <w:numId w:val="18"/>
        </w:numPr>
        <w:spacing w:before="0"/>
        <w:textAlignment w:val="baseline"/>
      </w:pPr>
      <w:r w:rsidRPr="00381CB5">
        <w:t>BDD participants may have previous periods of service to reflect additional separation examinations.</w:t>
      </w:r>
    </w:p>
    <w:p w14:paraId="1A0F91A0" w14:textId="77777777" w:rsidR="00381CB5" w:rsidRPr="00381CB5" w:rsidRDefault="00381CB5" w:rsidP="00381CB5">
      <w:pPr>
        <w:numPr>
          <w:ilvl w:val="1"/>
          <w:numId w:val="18"/>
        </w:numPr>
        <w:spacing w:before="0"/>
        <w:textAlignment w:val="baseline"/>
      </w:pPr>
      <w:r w:rsidRPr="00381CB5">
        <w:t>Entrance exams which are not located within the STRs may be found to be part of the claimant’s personnel records.</w:t>
      </w:r>
    </w:p>
    <w:p w14:paraId="625278DF" w14:textId="77777777" w:rsidR="00381CB5" w:rsidRPr="00381CB5" w:rsidRDefault="00381CB5" w:rsidP="00381CB5">
      <w:pPr>
        <w:pStyle w:val="ListParagraph"/>
        <w:numPr>
          <w:ilvl w:val="0"/>
          <w:numId w:val="18"/>
        </w:numPr>
        <w:spacing w:before="0"/>
        <w:textAlignment w:val="baseline"/>
      </w:pPr>
      <w:r w:rsidRPr="00381CB5">
        <w:t>Medical Evaluation Board (MEB) and Physical Evaluation Board (PEB) reports</w:t>
      </w:r>
    </w:p>
    <w:p w14:paraId="10F3E35F" w14:textId="77777777" w:rsidR="00381CB5" w:rsidRPr="00381CB5" w:rsidRDefault="00381CB5" w:rsidP="00381CB5">
      <w:pPr>
        <w:pStyle w:val="ListParagraph"/>
        <w:numPr>
          <w:ilvl w:val="0"/>
          <w:numId w:val="18"/>
        </w:numPr>
        <w:spacing w:before="0"/>
        <w:textAlignment w:val="baseline"/>
      </w:pPr>
      <w:r w:rsidRPr="00381CB5">
        <w:t>Preventative and chronic care flow sheets</w:t>
      </w:r>
    </w:p>
    <w:p w14:paraId="77667D9D" w14:textId="77777777" w:rsidR="00381CB5" w:rsidRPr="00381CB5" w:rsidRDefault="00381CB5" w:rsidP="00381CB5">
      <w:pPr>
        <w:pStyle w:val="ListParagraph"/>
        <w:numPr>
          <w:ilvl w:val="0"/>
          <w:numId w:val="18"/>
        </w:numPr>
        <w:spacing w:before="0"/>
        <w:textAlignment w:val="baseline"/>
      </w:pPr>
      <w:r w:rsidRPr="00381CB5">
        <w:t>Hearing conservation data</w:t>
      </w:r>
    </w:p>
    <w:p w14:paraId="479980B4" w14:textId="77777777" w:rsidR="00381CB5" w:rsidRPr="00381CB5" w:rsidRDefault="00381CB5" w:rsidP="00381CB5">
      <w:pPr>
        <w:pStyle w:val="ListParagraph"/>
        <w:numPr>
          <w:ilvl w:val="0"/>
          <w:numId w:val="18"/>
        </w:numPr>
        <w:spacing w:before="0"/>
        <w:textAlignment w:val="baseline"/>
        <w:rPr>
          <w:bCs/>
        </w:rPr>
      </w:pPr>
      <w:r w:rsidRPr="00381CB5">
        <w:t>Physical therapy and x-ray reports</w:t>
      </w:r>
    </w:p>
    <w:p w14:paraId="1BA2BAA7" w14:textId="66EB4E0F" w:rsidR="00AA1A39" w:rsidRPr="00381CB5" w:rsidRDefault="00381CB5" w:rsidP="00435649">
      <w:pPr>
        <w:pStyle w:val="ListParagraph"/>
        <w:numPr>
          <w:ilvl w:val="0"/>
          <w:numId w:val="18"/>
        </w:numPr>
        <w:spacing w:before="0" w:after="240"/>
        <w:textAlignment w:val="baseline"/>
        <w:rPr>
          <w:bCs/>
        </w:rPr>
      </w:pPr>
      <w:r w:rsidRPr="00381CB5">
        <w:t>Emergency treatment reports</w:t>
      </w:r>
    </w:p>
    <w:p w14:paraId="6C1E7907" w14:textId="077A5CE9" w:rsidR="00381CB5" w:rsidRPr="00381CB5" w:rsidRDefault="00381CB5" w:rsidP="00435649">
      <w:pPr>
        <w:spacing w:after="120"/>
        <w:rPr>
          <w:b/>
        </w:rPr>
      </w:pPr>
      <w:r w:rsidRPr="00381CB5">
        <w:rPr>
          <w:b/>
        </w:rPr>
        <w:t xml:space="preserve">Documents </w:t>
      </w:r>
      <w:r w:rsidR="000A3A4D">
        <w:rPr>
          <w:b/>
        </w:rPr>
        <w:t xml:space="preserve">not </w:t>
      </w:r>
      <w:r w:rsidRPr="00381CB5">
        <w:rPr>
          <w:b/>
        </w:rPr>
        <w:t>found in STRs</w:t>
      </w:r>
    </w:p>
    <w:p w14:paraId="4EE9CA2A" w14:textId="77777777" w:rsidR="000A3A4D" w:rsidRPr="000A3A4D" w:rsidRDefault="000A3A4D" w:rsidP="000A3A4D">
      <w:pPr>
        <w:spacing w:after="120"/>
        <w:textAlignment w:val="baseline"/>
      </w:pPr>
      <w:r w:rsidRPr="000A3A4D">
        <w:t>The following information is not found in standard STRs:</w:t>
      </w:r>
    </w:p>
    <w:p w14:paraId="79FD9601" w14:textId="77777777" w:rsidR="000A3A4D" w:rsidRPr="000A3A4D" w:rsidRDefault="000A3A4D" w:rsidP="000A3A4D">
      <w:pPr>
        <w:numPr>
          <w:ilvl w:val="0"/>
          <w:numId w:val="32"/>
        </w:numPr>
        <w:spacing w:before="0"/>
        <w:textAlignment w:val="baseline"/>
      </w:pPr>
      <w:r w:rsidRPr="000A3A4D">
        <w:t>Behavioral Health Records</w:t>
      </w:r>
    </w:p>
    <w:p w14:paraId="1070A205" w14:textId="77777777" w:rsidR="000A3A4D" w:rsidRPr="000A3A4D" w:rsidRDefault="000A3A4D" w:rsidP="000A3A4D">
      <w:pPr>
        <w:numPr>
          <w:ilvl w:val="0"/>
          <w:numId w:val="32"/>
        </w:numPr>
        <w:spacing w:before="0"/>
        <w:textAlignment w:val="baseline"/>
      </w:pPr>
      <w:r w:rsidRPr="000A3A4D">
        <w:t>Surgical Records</w:t>
      </w:r>
    </w:p>
    <w:p w14:paraId="4C0464D2" w14:textId="77777777" w:rsidR="000A3A4D" w:rsidRPr="000A3A4D" w:rsidRDefault="000A3A4D" w:rsidP="000A3A4D">
      <w:pPr>
        <w:numPr>
          <w:ilvl w:val="0"/>
          <w:numId w:val="32"/>
        </w:numPr>
        <w:spacing w:before="0"/>
        <w:textAlignment w:val="baseline"/>
      </w:pPr>
      <w:r w:rsidRPr="000A3A4D">
        <w:t>Line of Duty Determinations</w:t>
      </w:r>
    </w:p>
    <w:p w14:paraId="1BA2BAAA" w14:textId="77777777" w:rsidR="007A5600" w:rsidRDefault="007A5600" w:rsidP="00435649">
      <w:pPr>
        <w:spacing w:before="0"/>
      </w:pPr>
    </w:p>
    <w:p w14:paraId="0E559635" w14:textId="77777777" w:rsidR="00381CB5" w:rsidRDefault="00381CB5" w:rsidP="00435649">
      <w:pPr>
        <w:pStyle w:val="VBALevel2Heading"/>
        <w:spacing w:before="0" w:after="120"/>
        <w:rPr>
          <w:color w:val="auto"/>
        </w:rPr>
      </w:pPr>
      <w:bookmarkStart w:id="13" w:name="_Toc444677107"/>
      <w:bookmarkStart w:id="14" w:name="_Toc450826295"/>
      <w:r>
        <w:rPr>
          <w:color w:val="auto"/>
        </w:rPr>
        <w:t>Review of STRs Forms Demonstration</w:t>
      </w:r>
      <w:bookmarkEnd w:id="13"/>
      <w:bookmarkEnd w:id="14"/>
    </w:p>
    <w:p w14:paraId="1746E134" w14:textId="309C8E27" w:rsidR="00381CB5" w:rsidRPr="00381CB5" w:rsidRDefault="00381CB5" w:rsidP="00381CB5">
      <w:pPr>
        <w:spacing w:before="0" w:after="120"/>
        <w:ind w:left="50"/>
        <w:textAlignment w:val="baseline"/>
      </w:pPr>
      <w:r w:rsidRPr="00381CB5">
        <w:rPr>
          <w:b/>
          <w:i/>
        </w:rPr>
        <w:t>Instructor Demonstration</w:t>
      </w:r>
      <w:r w:rsidRPr="00381CB5">
        <w:t xml:space="preserve">: The purpose of this demonstration is to introduce </w:t>
      </w:r>
      <w:r w:rsidR="008C0B7A">
        <w:t>you</w:t>
      </w:r>
      <w:r w:rsidRPr="00381CB5">
        <w:t xml:space="preserve"> to </w:t>
      </w:r>
      <w:r w:rsidR="008C0B7A">
        <w:t xml:space="preserve">the </w:t>
      </w:r>
      <w:r w:rsidRPr="00381CB5">
        <w:t xml:space="preserve">MEPSS STR Tool. </w:t>
      </w:r>
    </w:p>
    <w:p w14:paraId="153A4795" w14:textId="77777777" w:rsidR="00381CB5" w:rsidRPr="00381CB5" w:rsidRDefault="00381CB5" w:rsidP="00381CB5">
      <w:pPr>
        <w:pStyle w:val="ListParagraph"/>
        <w:numPr>
          <w:ilvl w:val="0"/>
          <w:numId w:val="20"/>
        </w:numPr>
        <w:spacing w:before="0"/>
        <w:ind w:left="720"/>
        <w:textAlignment w:val="baseline"/>
      </w:pPr>
      <w:r w:rsidRPr="00381CB5">
        <w:t xml:space="preserve">Open </w:t>
      </w:r>
      <w:hyperlink r:id="rId17" w:history="1">
        <w:r w:rsidRPr="00381CB5">
          <w:rPr>
            <w:color w:val="0000FF"/>
            <w:u w:val="single"/>
          </w:rPr>
          <w:t>Medical EPSS</w:t>
        </w:r>
      </w:hyperlink>
    </w:p>
    <w:p w14:paraId="77D8E1BD" w14:textId="77777777" w:rsidR="00381CB5" w:rsidRPr="00381CB5" w:rsidRDefault="00381CB5" w:rsidP="00381CB5">
      <w:pPr>
        <w:pStyle w:val="ListParagraph"/>
        <w:numPr>
          <w:ilvl w:val="0"/>
          <w:numId w:val="20"/>
        </w:numPr>
        <w:spacing w:before="0"/>
        <w:ind w:left="720"/>
        <w:textAlignment w:val="baseline"/>
      </w:pPr>
      <w:r w:rsidRPr="00381CB5">
        <w:t>Select the Tools tab in the menu bar</w:t>
      </w:r>
    </w:p>
    <w:p w14:paraId="5658FBDB" w14:textId="73FE6641" w:rsidR="00381CB5" w:rsidRPr="00381CB5" w:rsidRDefault="00381CB5" w:rsidP="00381CB5">
      <w:pPr>
        <w:textAlignment w:val="baseline"/>
      </w:pPr>
      <w:r>
        <w:rPr>
          <w:noProof/>
        </w:rPr>
        <w:drawing>
          <wp:inline distT="0" distB="0" distL="0" distR="0" wp14:anchorId="6F8A363B" wp14:editId="4324C09F">
            <wp:extent cx="1670050" cy="6705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0050" cy="670560"/>
                    </a:xfrm>
                    <a:prstGeom prst="rect">
                      <a:avLst/>
                    </a:prstGeom>
                    <a:noFill/>
                  </pic:spPr>
                </pic:pic>
              </a:graphicData>
            </a:graphic>
          </wp:inline>
        </w:drawing>
      </w:r>
    </w:p>
    <w:p w14:paraId="2EC2E57D" w14:textId="77777777" w:rsidR="00381CB5" w:rsidRPr="00381CB5" w:rsidRDefault="00381CB5" w:rsidP="00381CB5">
      <w:pPr>
        <w:pStyle w:val="ListParagraph"/>
        <w:numPr>
          <w:ilvl w:val="0"/>
          <w:numId w:val="21"/>
        </w:numPr>
        <w:spacing w:before="0"/>
        <w:ind w:left="720"/>
        <w:textAlignment w:val="baseline"/>
      </w:pPr>
      <w:r w:rsidRPr="00381CB5">
        <w:t>Select the STR Tool Tab (last tab on the right)</w:t>
      </w:r>
    </w:p>
    <w:p w14:paraId="05EAB997" w14:textId="77777777" w:rsidR="00381CB5" w:rsidRPr="00381CB5" w:rsidRDefault="00381CB5" w:rsidP="00381CB5">
      <w:pPr>
        <w:pStyle w:val="ListParagraph"/>
        <w:numPr>
          <w:ilvl w:val="0"/>
          <w:numId w:val="21"/>
        </w:numPr>
        <w:spacing w:before="0"/>
        <w:ind w:left="720"/>
        <w:textAlignment w:val="baseline"/>
      </w:pPr>
      <w:r w:rsidRPr="00381CB5">
        <w:t>Select Open the Folder</w:t>
      </w:r>
    </w:p>
    <w:p w14:paraId="18DE8CC8" w14:textId="77777777" w:rsidR="00381CB5" w:rsidRPr="00381CB5" w:rsidRDefault="00381CB5" w:rsidP="00381CB5">
      <w:pPr>
        <w:pStyle w:val="ListParagraph"/>
        <w:numPr>
          <w:ilvl w:val="0"/>
          <w:numId w:val="21"/>
        </w:numPr>
        <w:spacing w:before="0"/>
        <w:ind w:left="720"/>
        <w:textAlignment w:val="baseline"/>
      </w:pPr>
      <w:r w:rsidRPr="00381CB5">
        <w:t>Select (2) SF 88 Report of Medical Examination</w:t>
      </w:r>
    </w:p>
    <w:p w14:paraId="2CCB8D9A" w14:textId="77777777" w:rsidR="00381CB5" w:rsidRPr="00381CB5" w:rsidRDefault="00381CB5" w:rsidP="00381CB5">
      <w:pPr>
        <w:pStyle w:val="ListParagraph"/>
        <w:numPr>
          <w:ilvl w:val="0"/>
          <w:numId w:val="21"/>
        </w:numPr>
        <w:spacing w:before="0"/>
        <w:ind w:left="720"/>
        <w:textAlignment w:val="baseline"/>
      </w:pPr>
      <w:r w:rsidRPr="00381CB5">
        <w:t>Select Demographic Information</w:t>
      </w:r>
    </w:p>
    <w:p w14:paraId="54BD5F5F" w14:textId="77777777" w:rsidR="00435649" w:rsidRDefault="00435649" w:rsidP="00381CB5">
      <w:pPr>
        <w:spacing w:before="0"/>
        <w:ind w:left="50" w:hanging="50"/>
        <w:textAlignment w:val="baseline"/>
      </w:pPr>
    </w:p>
    <w:p w14:paraId="18042896" w14:textId="2F135057" w:rsidR="00381CB5" w:rsidRPr="00381CB5" w:rsidRDefault="008C0B7A" w:rsidP="00381CB5">
      <w:pPr>
        <w:spacing w:before="0"/>
        <w:ind w:left="50" w:hanging="50"/>
        <w:textAlignment w:val="baseline"/>
      </w:pPr>
      <w:r>
        <w:t>T</w:t>
      </w:r>
      <w:r w:rsidR="00381CB5" w:rsidRPr="00381CB5">
        <w:t>he Purpose of Examination could be for any number of reasons. MEB, Aviation Annual Examination, Entrance Examination, Exit Examination, etc.</w:t>
      </w:r>
    </w:p>
    <w:p w14:paraId="1C413112" w14:textId="77777777" w:rsidR="00A034C8" w:rsidRDefault="00A034C8" w:rsidP="00435649">
      <w:pPr>
        <w:spacing w:before="0"/>
        <w:rPr>
          <w:b/>
        </w:rPr>
      </w:pPr>
      <w:bookmarkStart w:id="15" w:name="_Toc444677111"/>
      <w:bookmarkStart w:id="16" w:name="_Toc450826298"/>
    </w:p>
    <w:p w14:paraId="19E65DF4" w14:textId="77777777" w:rsidR="00A034C8" w:rsidRDefault="00A034C8">
      <w:pPr>
        <w:overflowPunct/>
        <w:autoSpaceDE/>
        <w:autoSpaceDN/>
        <w:adjustRightInd/>
        <w:spacing w:before="0"/>
        <w:rPr>
          <w:b/>
        </w:rPr>
      </w:pPr>
      <w:r>
        <w:rPr>
          <w:b/>
        </w:rPr>
        <w:br w:type="page"/>
      </w:r>
    </w:p>
    <w:p w14:paraId="678D0D58" w14:textId="0C043EB5" w:rsidR="00381CB5" w:rsidRPr="00381CB5" w:rsidRDefault="00381CB5" w:rsidP="00435649">
      <w:pPr>
        <w:spacing w:before="0"/>
        <w:rPr>
          <w:b/>
        </w:rPr>
      </w:pPr>
      <w:r w:rsidRPr="00381CB5">
        <w:rPr>
          <w:b/>
        </w:rPr>
        <w:lastRenderedPageBreak/>
        <w:t>SOAP Format</w:t>
      </w:r>
      <w:bookmarkEnd w:id="15"/>
      <w:bookmarkEnd w:id="16"/>
    </w:p>
    <w:p w14:paraId="699B9F69" w14:textId="77777777" w:rsidR="00381CB5" w:rsidRDefault="00381CB5" w:rsidP="00381CB5">
      <w:pPr>
        <w:spacing w:after="120"/>
        <w:textAlignment w:val="baseline"/>
      </w:pPr>
      <w:r w:rsidRPr="00381CB5">
        <w:t xml:space="preserve">The SOAP format found in treatment records came into use by the military in the late 1970s and early 1980s. Some treatment records may use a variation of the common SOAP format shown below. </w:t>
      </w:r>
    </w:p>
    <w:p w14:paraId="006B9A5A" w14:textId="77777777" w:rsidR="00A776E8" w:rsidRPr="00A776E8" w:rsidRDefault="00A776E8" w:rsidP="00435649">
      <w:pPr>
        <w:textAlignment w:val="baseline"/>
      </w:pPr>
      <w:r w:rsidRPr="00A776E8">
        <w:t xml:space="preserve">Common SOAP format: </w:t>
      </w:r>
    </w:p>
    <w:p w14:paraId="04040B38" w14:textId="6B7448FE" w:rsidR="00A776E8" w:rsidRPr="00381CB5" w:rsidRDefault="00381CB5" w:rsidP="00435649">
      <w:pPr>
        <w:textAlignment w:val="baseline"/>
      </w:pPr>
      <w:r w:rsidRPr="00381CB5">
        <w:t xml:space="preserve"> </w:t>
      </w:r>
    </w:p>
    <w:tbl>
      <w:tblPr>
        <w:tblpPr w:leftFromText="180" w:rightFromText="180" w:vertAnchor="text" w:horzAnchor="margin" w:tblpX="108" w:tblpY="-175"/>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85"/>
        <w:gridCol w:w="7403"/>
      </w:tblGrid>
      <w:tr w:rsidR="00A776E8" w:rsidRPr="00A776E8" w14:paraId="15CBD681" w14:textId="77777777" w:rsidTr="00A776E8">
        <w:tc>
          <w:tcPr>
            <w:tcW w:w="1885" w:type="dxa"/>
            <w:shd w:val="clear" w:color="auto" w:fill="D9D9D9"/>
          </w:tcPr>
          <w:p w14:paraId="018F9DD9" w14:textId="77777777" w:rsidR="00A776E8" w:rsidRPr="00A776E8" w:rsidRDefault="00A776E8" w:rsidP="00A776E8">
            <w:pPr>
              <w:rPr>
                <w:b/>
              </w:rPr>
            </w:pPr>
            <w:r w:rsidRPr="00A776E8">
              <w:rPr>
                <w:b/>
              </w:rPr>
              <w:t>Letter(s)</w:t>
            </w:r>
          </w:p>
        </w:tc>
        <w:tc>
          <w:tcPr>
            <w:tcW w:w="7403" w:type="dxa"/>
            <w:shd w:val="clear" w:color="auto" w:fill="D9D9D9"/>
          </w:tcPr>
          <w:p w14:paraId="7DA749EC" w14:textId="77777777" w:rsidR="00A776E8" w:rsidRPr="00A776E8" w:rsidRDefault="00A776E8" w:rsidP="00A776E8">
            <w:pPr>
              <w:rPr>
                <w:b/>
              </w:rPr>
            </w:pPr>
            <w:r w:rsidRPr="00A776E8">
              <w:rPr>
                <w:b/>
              </w:rPr>
              <w:t>Meaning</w:t>
            </w:r>
          </w:p>
        </w:tc>
      </w:tr>
      <w:tr w:rsidR="00A776E8" w:rsidRPr="00A776E8" w14:paraId="796A45AE" w14:textId="77777777" w:rsidTr="00A776E8">
        <w:tc>
          <w:tcPr>
            <w:tcW w:w="1885" w:type="dxa"/>
          </w:tcPr>
          <w:p w14:paraId="47F0C3F1" w14:textId="77777777" w:rsidR="00A776E8" w:rsidRPr="00A776E8" w:rsidRDefault="00A776E8" w:rsidP="00A776E8">
            <w:r w:rsidRPr="00A776E8">
              <w:t>S or H</w:t>
            </w:r>
          </w:p>
        </w:tc>
        <w:tc>
          <w:tcPr>
            <w:tcW w:w="7403" w:type="dxa"/>
          </w:tcPr>
          <w:p w14:paraId="7A99CD6A" w14:textId="77777777" w:rsidR="00A776E8" w:rsidRPr="00A776E8" w:rsidRDefault="00A776E8" w:rsidP="00A776E8">
            <w:r w:rsidRPr="00A776E8">
              <w:t>Subjective summary or history of the patient’s reason for seeking medical advice/help or symptoms experienced</w:t>
            </w:r>
          </w:p>
        </w:tc>
      </w:tr>
      <w:tr w:rsidR="00A776E8" w:rsidRPr="00A776E8" w14:paraId="108E6462" w14:textId="77777777" w:rsidTr="00A776E8">
        <w:tc>
          <w:tcPr>
            <w:tcW w:w="1885" w:type="dxa"/>
          </w:tcPr>
          <w:p w14:paraId="7D000CE2" w14:textId="77777777" w:rsidR="00A776E8" w:rsidRPr="00A776E8" w:rsidRDefault="00A776E8" w:rsidP="00A776E8">
            <w:r w:rsidRPr="00A776E8">
              <w:t>O</w:t>
            </w:r>
          </w:p>
        </w:tc>
        <w:tc>
          <w:tcPr>
            <w:tcW w:w="7403" w:type="dxa"/>
          </w:tcPr>
          <w:p w14:paraId="05FB30DE" w14:textId="77777777" w:rsidR="00A776E8" w:rsidRPr="00A776E8" w:rsidRDefault="00A776E8" w:rsidP="00A776E8">
            <w:r w:rsidRPr="00A776E8">
              <w:t>Objective finding by the treatment provider during the examination</w:t>
            </w:r>
          </w:p>
        </w:tc>
      </w:tr>
      <w:tr w:rsidR="00A776E8" w:rsidRPr="00A776E8" w14:paraId="17C69A17" w14:textId="77777777" w:rsidTr="00A776E8">
        <w:tc>
          <w:tcPr>
            <w:tcW w:w="1885" w:type="dxa"/>
          </w:tcPr>
          <w:p w14:paraId="41ADABC3" w14:textId="77777777" w:rsidR="00A776E8" w:rsidRPr="00A776E8" w:rsidRDefault="00A776E8" w:rsidP="00A776E8">
            <w:r w:rsidRPr="00A776E8">
              <w:t>A, I, or Dx</w:t>
            </w:r>
          </w:p>
        </w:tc>
        <w:tc>
          <w:tcPr>
            <w:tcW w:w="7403" w:type="dxa"/>
          </w:tcPr>
          <w:p w14:paraId="3EA33F77" w14:textId="77777777" w:rsidR="00A776E8" w:rsidRPr="00A776E8" w:rsidRDefault="00A776E8" w:rsidP="00A776E8">
            <w:r w:rsidRPr="00A776E8">
              <w:t>Assessment - the diagnosis, or in some cases the provisional diagnosis pending further tests</w:t>
            </w:r>
          </w:p>
        </w:tc>
      </w:tr>
      <w:tr w:rsidR="00A776E8" w:rsidRPr="00A776E8" w14:paraId="0CE7ABA7" w14:textId="77777777" w:rsidTr="00A776E8">
        <w:tc>
          <w:tcPr>
            <w:tcW w:w="1885" w:type="dxa"/>
          </w:tcPr>
          <w:p w14:paraId="39122060" w14:textId="77777777" w:rsidR="00A776E8" w:rsidRPr="00A776E8" w:rsidRDefault="00A776E8" w:rsidP="00A776E8">
            <w:r w:rsidRPr="00A776E8">
              <w:t>P</w:t>
            </w:r>
          </w:p>
        </w:tc>
        <w:tc>
          <w:tcPr>
            <w:tcW w:w="7403" w:type="dxa"/>
          </w:tcPr>
          <w:p w14:paraId="0770C950" w14:textId="77777777" w:rsidR="00A776E8" w:rsidRPr="00A776E8" w:rsidRDefault="00A776E8" w:rsidP="00A776E8">
            <w:r w:rsidRPr="00A776E8">
              <w:t>Plan for treatment or medication prescribed</w:t>
            </w:r>
          </w:p>
        </w:tc>
      </w:tr>
    </w:tbl>
    <w:p w14:paraId="1BA2BAAB" w14:textId="7FA03C27" w:rsidR="007A5600" w:rsidRPr="00A776E8" w:rsidRDefault="00A776E8" w:rsidP="00435649">
      <w:pPr>
        <w:spacing w:before="0"/>
        <w:rPr>
          <w:b/>
        </w:rPr>
      </w:pPr>
      <w:bookmarkStart w:id="17" w:name="_Toc444677112"/>
      <w:bookmarkStart w:id="18" w:name="_Toc450826299"/>
      <w:r w:rsidRPr="00A776E8">
        <w:rPr>
          <w:b/>
        </w:rPr>
        <w:t>Other Military Treatment Records</w:t>
      </w:r>
      <w:bookmarkEnd w:id="17"/>
      <w:bookmarkEnd w:id="18"/>
    </w:p>
    <w:p w14:paraId="77E3B867" w14:textId="77777777" w:rsidR="00A776E8" w:rsidRPr="00A776E8" w:rsidRDefault="00A776E8" w:rsidP="00A776E8">
      <w:pPr>
        <w:spacing w:after="120"/>
        <w:textAlignment w:val="baseline"/>
      </w:pPr>
      <w:r w:rsidRPr="00A776E8">
        <w:t>Military treatment records are also located in:</w:t>
      </w:r>
    </w:p>
    <w:p w14:paraId="76263316" w14:textId="77777777" w:rsidR="00A776E8" w:rsidRPr="00A776E8" w:rsidRDefault="00A776E8" w:rsidP="00A776E8">
      <w:pPr>
        <w:pStyle w:val="ListParagraph"/>
        <w:numPr>
          <w:ilvl w:val="0"/>
          <w:numId w:val="22"/>
        </w:numPr>
        <w:spacing w:before="0"/>
        <w:textAlignment w:val="baseline"/>
      </w:pPr>
      <w:r w:rsidRPr="00A776E8">
        <w:t>Armed Forces Health Longitudinal Technology Application (AHLTA)</w:t>
      </w:r>
    </w:p>
    <w:p w14:paraId="3282D3F2" w14:textId="77777777" w:rsidR="00A776E8" w:rsidRPr="00A776E8" w:rsidRDefault="00A776E8" w:rsidP="00A776E8">
      <w:pPr>
        <w:pStyle w:val="ListParagraph"/>
        <w:numPr>
          <w:ilvl w:val="0"/>
          <w:numId w:val="22"/>
        </w:numPr>
        <w:spacing w:before="0"/>
        <w:textAlignment w:val="baseline"/>
      </w:pPr>
      <w:r w:rsidRPr="00A776E8">
        <w:t>Composite Health Care System (CHCS)</w:t>
      </w:r>
    </w:p>
    <w:p w14:paraId="74F0927C" w14:textId="77777777" w:rsidR="00A776E8" w:rsidRDefault="00A776E8" w:rsidP="00A776E8">
      <w:pPr>
        <w:pStyle w:val="ListParagraph"/>
        <w:numPr>
          <w:ilvl w:val="0"/>
          <w:numId w:val="22"/>
        </w:numPr>
        <w:spacing w:before="0"/>
        <w:textAlignment w:val="baseline"/>
      </w:pPr>
      <w:r w:rsidRPr="00A776E8">
        <w:t>TRICARE</w:t>
      </w:r>
    </w:p>
    <w:p w14:paraId="1BA2BAAC" w14:textId="4C308699" w:rsidR="007A5600" w:rsidRDefault="00A776E8" w:rsidP="00A776E8">
      <w:pPr>
        <w:pStyle w:val="ListParagraph"/>
        <w:numPr>
          <w:ilvl w:val="0"/>
          <w:numId w:val="22"/>
        </w:numPr>
        <w:spacing w:before="0"/>
        <w:textAlignment w:val="baseline"/>
      </w:pPr>
      <w:r w:rsidRPr="00A776E8">
        <w:t>Joint Legacy Viewer (JLV)</w:t>
      </w:r>
    </w:p>
    <w:p w14:paraId="1BA2BAAD" w14:textId="77777777" w:rsidR="007A5600" w:rsidRDefault="007A5600" w:rsidP="00A034C8">
      <w:pPr>
        <w:spacing w:before="0"/>
      </w:pPr>
    </w:p>
    <w:p w14:paraId="3120161B" w14:textId="711F5BBF" w:rsidR="00A776E8" w:rsidRDefault="00A776E8" w:rsidP="002D721E">
      <w:pPr>
        <w:spacing w:before="0"/>
      </w:pPr>
      <w:r w:rsidRPr="00FE421E">
        <w:rPr>
          <w:b/>
        </w:rPr>
        <w:t>Armed Forces Health Longitudinal Technology Application (AHLTA)</w:t>
      </w:r>
    </w:p>
    <w:p w14:paraId="102B6961" w14:textId="77777777" w:rsidR="00A776E8" w:rsidRPr="00A776E8" w:rsidRDefault="00A776E8" w:rsidP="002D721E">
      <w:pPr>
        <w:textAlignment w:val="baseline"/>
      </w:pPr>
      <w:r w:rsidRPr="00A776E8">
        <w:t>The military's electronic health record, AHLTA, is an enterprise-wide medical and dental information management system that provides secure online access to Military Health System (MHS) beneficiary’s records.</w:t>
      </w:r>
    </w:p>
    <w:p w14:paraId="3A5473AA" w14:textId="1AD0AEAC" w:rsidR="002D721E" w:rsidRDefault="002D721E" w:rsidP="002D721E">
      <w:pPr>
        <w:spacing w:before="0"/>
        <w:textAlignment w:val="baseline"/>
      </w:pPr>
    </w:p>
    <w:p w14:paraId="6C767950" w14:textId="54E61C18" w:rsidR="00A776E8" w:rsidRPr="00A776E8" w:rsidRDefault="00A776E8" w:rsidP="002D721E">
      <w:pPr>
        <w:spacing w:before="0"/>
        <w:textAlignment w:val="baseline"/>
      </w:pPr>
      <w:r w:rsidRPr="00A776E8">
        <w:t>AHLTA is used by medical clinicians in all fixed and deployed Military Treatment Facilities (MTFs) worldwide. AHLTA primarily contains MTF outpatient treatment records.</w:t>
      </w:r>
    </w:p>
    <w:p w14:paraId="3BEBD98B" w14:textId="77777777" w:rsidR="002D721E" w:rsidRDefault="002D721E" w:rsidP="002D721E">
      <w:pPr>
        <w:spacing w:before="0"/>
        <w:textAlignment w:val="baseline"/>
      </w:pPr>
    </w:p>
    <w:p w14:paraId="1818F26B" w14:textId="77777777" w:rsidR="00A776E8" w:rsidRPr="00A776E8" w:rsidRDefault="00A776E8" w:rsidP="002D721E">
      <w:pPr>
        <w:spacing w:before="0"/>
        <w:textAlignment w:val="baseline"/>
      </w:pPr>
      <w:r w:rsidRPr="00A776E8">
        <w:t>AHLTA began worldwide deployment in January 2004. The goal is to provide medical readiness and to support more than 9.4 million beneficiaries with continuity of care and administration of benefits.</w:t>
      </w:r>
    </w:p>
    <w:p w14:paraId="1BA2BAAE" w14:textId="77777777" w:rsidR="007A5600" w:rsidRDefault="007A5600" w:rsidP="002D721E">
      <w:pPr>
        <w:spacing w:before="0"/>
      </w:pPr>
    </w:p>
    <w:p w14:paraId="18EA3A50" w14:textId="77777777" w:rsidR="00A034C8" w:rsidRDefault="00A034C8">
      <w:pPr>
        <w:overflowPunct/>
        <w:autoSpaceDE/>
        <w:autoSpaceDN/>
        <w:adjustRightInd/>
        <w:spacing w:before="0"/>
        <w:rPr>
          <w:b/>
        </w:rPr>
      </w:pPr>
      <w:r>
        <w:rPr>
          <w:b/>
        </w:rPr>
        <w:br w:type="page"/>
      </w:r>
    </w:p>
    <w:p w14:paraId="705D219A" w14:textId="35AF15F5" w:rsidR="00A776E8" w:rsidRPr="00270EB5" w:rsidRDefault="00A776E8" w:rsidP="002D721E">
      <w:pPr>
        <w:pStyle w:val="VBALevel3Heading"/>
        <w:spacing w:before="0"/>
        <w:rPr>
          <w:b/>
          <w:color w:val="auto"/>
        </w:rPr>
      </w:pPr>
      <w:r w:rsidRPr="00270EB5">
        <w:rPr>
          <w:b/>
          <w:color w:val="auto"/>
        </w:rPr>
        <w:lastRenderedPageBreak/>
        <w:t>Composite Health Care System (CHCS)</w:t>
      </w:r>
    </w:p>
    <w:p w14:paraId="219B45D3" w14:textId="77777777" w:rsidR="00A776E8" w:rsidRPr="00A776E8" w:rsidRDefault="00A776E8" w:rsidP="002D721E">
      <w:pPr>
        <w:textAlignment w:val="baseline"/>
      </w:pPr>
      <w:r w:rsidRPr="00A776E8">
        <w:t>CHCS is a medical database for patients using the military health care system.</w:t>
      </w:r>
    </w:p>
    <w:p w14:paraId="64010199" w14:textId="77777777" w:rsidR="002D721E" w:rsidRDefault="002D721E" w:rsidP="002D721E">
      <w:pPr>
        <w:spacing w:before="0" w:after="120"/>
        <w:textAlignment w:val="baseline"/>
      </w:pPr>
    </w:p>
    <w:p w14:paraId="5CD2697F" w14:textId="77777777" w:rsidR="00A776E8" w:rsidRPr="00A776E8" w:rsidRDefault="00A776E8" w:rsidP="002D721E">
      <w:pPr>
        <w:spacing w:before="0" w:after="120"/>
        <w:textAlignment w:val="baseline"/>
      </w:pPr>
      <w:r w:rsidRPr="00A776E8">
        <w:t>CHCS is used to:</w:t>
      </w:r>
    </w:p>
    <w:p w14:paraId="0F260FAC" w14:textId="77777777" w:rsidR="00A776E8" w:rsidRPr="00A776E8" w:rsidRDefault="00A776E8" w:rsidP="00A776E8">
      <w:pPr>
        <w:pStyle w:val="ListParagraph"/>
        <w:numPr>
          <w:ilvl w:val="0"/>
          <w:numId w:val="23"/>
        </w:numPr>
        <w:spacing w:before="0"/>
        <w:textAlignment w:val="baseline"/>
      </w:pPr>
      <w:r w:rsidRPr="00A776E8">
        <w:t>Store MTF inpatient records</w:t>
      </w:r>
    </w:p>
    <w:p w14:paraId="4233E77E" w14:textId="77777777" w:rsidR="00A776E8" w:rsidRPr="00A776E8" w:rsidRDefault="00A776E8" w:rsidP="00A776E8">
      <w:pPr>
        <w:pStyle w:val="ListParagraph"/>
        <w:numPr>
          <w:ilvl w:val="0"/>
          <w:numId w:val="23"/>
        </w:numPr>
        <w:spacing w:before="0"/>
        <w:textAlignment w:val="baseline"/>
      </w:pPr>
      <w:r w:rsidRPr="00A776E8">
        <w:t>Make and track appointments, enter and track prescriptions, enter and track consults, enter and track tests and results</w:t>
      </w:r>
    </w:p>
    <w:p w14:paraId="5C44947A" w14:textId="77777777" w:rsidR="00A776E8" w:rsidRPr="00A776E8" w:rsidRDefault="00A776E8" w:rsidP="00A776E8">
      <w:pPr>
        <w:pStyle w:val="ListParagraph"/>
        <w:numPr>
          <w:ilvl w:val="0"/>
          <w:numId w:val="23"/>
        </w:numPr>
        <w:spacing w:before="0"/>
        <w:textAlignment w:val="baseline"/>
      </w:pPr>
      <w:r w:rsidRPr="00A776E8">
        <w:t>Keep a historical record of health care</w:t>
      </w:r>
    </w:p>
    <w:p w14:paraId="297DE894" w14:textId="77777777" w:rsidR="00A776E8" w:rsidRDefault="00A776E8" w:rsidP="00A776E8">
      <w:pPr>
        <w:pStyle w:val="ListParagraph"/>
        <w:numPr>
          <w:ilvl w:val="0"/>
          <w:numId w:val="23"/>
        </w:numPr>
        <w:spacing w:before="0"/>
        <w:textAlignment w:val="baseline"/>
      </w:pPr>
      <w:r w:rsidRPr="00A776E8">
        <w:t>Check a patient's eligibility for getting medical appointments</w:t>
      </w:r>
    </w:p>
    <w:p w14:paraId="577EB9EC" w14:textId="5E5040FE" w:rsidR="00A776E8" w:rsidRDefault="00A776E8" w:rsidP="00A776E8">
      <w:pPr>
        <w:pStyle w:val="ListParagraph"/>
        <w:numPr>
          <w:ilvl w:val="0"/>
          <w:numId w:val="23"/>
        </w:numPr>
        <w:spacing w:before="0"/>
        <w:textAlignment w:val="baseline"/>
      </w:pPr>
      <w:r w:rsidRPr="00A776E8">
        <w:t>Update information when patients arrive for appointments or emergency care and to confirm eligibility for care in Defense Eligibility Enrollment Reporting System (DEERS)</w:t>
      </w:r>
    </w:p>
    <w:p w14:paraId="2FEC0E33" w14:textId="77777777" w:rsidR="00A034C8" w:rsidRDefault="00A034C8" w:rsidP="00A034C8">
      <w:pPr>
        <w:pStyle w:val="ListParagraph"/>
        <w:spacing w:before="0"/>
        <w:textAlignment w:val="baseline"/>
      </w:pPr>
    </w:p>
    <w:p w14:paraId="1BA2BAB0" w14:textId="67CB526D" w:rsidR="007A5600" w:rsidRDefault="00A776E8" w:rsidP="00435649">
      <w:pPr>
        <w:spacing w:before="0" w:after="120"/>
        <w:rPr>
          <w:b/>
        </w:rPr>
      </w:pPr>
      <w:r w:rsidRPr="00270EB5">
        <w:rPr>
          <w:b/>
        </w:rPr>
        <w:t>TRICARE</w:t>
      </w:r>
    </w:p>
    <w:p w14:paraId="22474126" w14:textId="77777777" w:rsidR="00A776E8" w:rsidRPr="00A776E8" w:rsidRDefault="00A776E8" w:rsidP="002D721E">
      <w:pPr>
        <w:textAlignment w:val="baseline"/>
        <w:rPr>
          <w:rFonts w:ascii="Helvetica" w:hAnsi="Helvetica" w:cs="Helvetica"/>
          <w:sz w:val="20"/>
        </w:rPr>
      </w:pPr>
      <w:r w:rsidRPr="00A776E8">
        <w:rPr>
          <w:szCs w:val="24"/>
        </w:rPr>
        <w:t>TRICARE is the health care program serving active duty Service members, National Guard and Reserve members, retirees, their families, survivors, and certain former spouses worldwide</w:t>
      </w:r>
      <w:r w:rsidRPr="00A776E8">
        <w:rPr>
          <w:rFonts w:ascii="Helvetica" w:hAnsi="Helvetica" w:cs="Helvetica"/>
          <w:sz w:val="20"/>
        </w:rPr>
        <w:t>.</w:t>
      </w:r>
    </w:p>
    <w:p w14:paraId="30BFF0CD" w14:textId="77777777" w:rsidR="002D721E" w:rsidRDefault="002D721E" w:rsidP="002D721E">
      <w:pPr>
        <w:spacing w:before="0"/>
        <w:rPr>
          <w:szCs w:val="24"/>
        </w:rPr>
      </w:pPr>
    </w:p>
    <w:p w14:paraId="7E260918" w14:textId="229B1158" w:rsidR="00A776E8" w:rsidRDefault="00A776E8" w:rsidP="002D721E">
      <w:pPr>
        <w:spacing w:before="0"/>
        <w:rPr>
          <w:szCs w:val="24"/>
        </w:rPr>
      </w:pPr>
      <w:r w:rsidRPr="00A776E8">
        <w:rPr>
          <w:szCs w:val="24"/>
        </w:rPr>
        <w:t xml:space="preserve">As a major component of the </w:t>
      </w:r>
      <w:hyperlink r:id="rId19" w:tgtFrame="_blank" w:history="1">
        <w:r w:rsidRPr="00A776E8">
          <w:rPr>
            <w:szCs w:val="24"/>
          </w:rPr>
          <w:t>MHS</w:t>
        </w:r>
      </w:hyperlink>
      <w:r w:rsidRPr="00A776E8">
        <w:rPr>
          <w:szCs w:val="24"/>
        </w:rPr>
        <w:t>, TRICARE brings together the healthcare resources of the uniformed services and supplements them with networks of civilian healthcare professionals, institutions, pharmacies, and suppliers to provide access to high-quality healthcare services while maintaining the capability to support military operations.</w:t>
      </w:r>
    </w:p>
    <w:p w14:paraId="31F52756" w14:textId="77777777" w:rsidR="00A776E8" w:rsidRDefault="00A776E8" w:rsidP="00435649">
      <w:pPr>
        <w:spacing w:before="0"/>
        <w:rPr>
          <w:szCs w:val="24"/>
        </w:rPr>
      </w:pPr>
    </w:p>
    <w:p w14:paraId="63359CFF" w14:textId="77777777" w:rsidR="00A776E8" w:rsidRDefault="00A776E8" w:rsidP="00435649">
      <w:pPr>
        <w:pStyle w:val="VBALevel3Heading"/>
        <w:spacing w:before="0" w:after="120"/>
        <w:rPr>
          <w:b/>
          <w:color w:val="auto"/>
        </w:rPr>
      </w:pPr>
      <w:r>
        <w:rPr>
          <w:b/>
          <w:color w:val="auto"/>
        </w:rPr>
        <w:t>Joint Legacy Viewer (JLV)</w:t>
      </w:r>
    </w:p>
    <w:p w14:paraId="1875C5B7" w14:textId="77777777" w:rsidR="00A776E8" w:rsidRPr="00A776E8" w:rsidRDefault="00A776E8" w:rsidP="00435649">
      <w:pPr>
        <w:textAlignment w:val="baseline"/>
        <w:rPr>
          <w:szCs w:val="24"/>
        </w:rPr>
      </w:pPr>
      <w:r w:rsidRPr="00A776E8">
        <w:rPr>
          <w:szCs w:val="24"/>
        </w:rPr>
        <w:t xml:space="preserve">The Joint Legacy Viewer (JLV) provides an integrated read-only view of health data from VA, Department of Defense (DoD) and VA VLER partner sources in a common viewer.  JLV delivers health data including mental health from DoD legacy (CHCS), inpatient (Essentris) and outpatient (AHLTA) systems, Theater Medical Data Store, VA VLER partners and all VistA sites.  </w:t>
      </w:r>
    </w:p>
    <w:p w14:paraId="449C1E98" w14:textId="77777777" w:rsidR="00435649" w:rsidRDefault="00435649" w:rsidP="00435649">
      <w:pPr>
        <w:spacing w:before="0"/>
        <w:rPr>
          <w:szCs w:val="24"/>
        </w:rPr>
      </w:pPr>
    </w:p>
    <w:p w14:paraId="24F2DF94" w14:textId="081BE75C" w:rsidR="00A776E8" w:rsidRDefault="00A776E8" w:rsidP="00435649">
      <w:pPr>
        <w:spacing w:before="0"/>
        <w:rPr>
          <w:szCs w:val="24"/>
        </w:rPr>
      </w:pPr>
      <w:r w:rsidRPr="00A776E8">
        <w:rPr>
          <w:szCs w:val="24"/>
        </w:rPr>
        <w:t>Like data from all sources is displayed in a single table in chronological order (e.g. all La</w:t>
      </w:r>
      <w:r w:rsidR="00C379C0">
        <w:rPr>
          <w:szCs w:val="24"/>
        </w:rPr>
        <w:t xml:space="preserve">b results from all locations). </w:t>
      </w:r>
      <w:r w:rsidRPr="00A776E8">
        <w:rPr>
          <w:szCs w:val="24"/>
        </w:rPr>
        <w:t>Data can be downloaded and uploaded to the VBMS eFolder.  JLV login is provided with existing CPRS or CAPRI credentials.</w:t>
      </w:r>
    </w:p>
    <w:p w14:paraId="266D1893" w14:textId="77777777" w:rsidR="00A776E8" w:rsidRDefault="00A776E8" w:rsidP="00A776E8">
      <w:pPr>
        <w:rPr>
          <w:szCs w:val="24"/>
        </w:rPr>
      </w:pPr>
    </w:p>
    <w:p w14:paraId="42549412" w14:textId="77777777" w:rsidR="00A776E8" w:rsidRDefault="00A776E8" w:rsidP="00A776E8"/>
    <w:p w14:paraId="1BA2BAB1" w14:textId="77777777" w:rsidR="007A5600" w:rsidRDefault="007A5600"/>
    <w:p w14:paraId="1BA2BAB2" w14:textId="77777777" w:rsidR="007A5600" w:rsidRDefault="007A5600"/>
    <w:p w14:paraId="1BA2BAB3" w14:textId="77777777" w:rsidR="007A5600" w:rsidRDefault="007A5600"/>
    <w:p w14:paraId="1BA2BAB4" w14:textId="77777777" w:rsidR="007A5600" w:rsidRDefault="007A5600"/>
    <w:p w14:paraId="1BA2BAB5" w14:textId="77777777" w:rsidR="007A5600" w:rsidRDefault="007A5600"/>
    <w:p w14:paraId="1BA2BAB6" w14:textId="77777777" w:rsidR="007A5600" w:rsidRDefault="007A5600"/>
    <w:p w14:paraId="1BA2BAB7" w14:textId="77777777" w:rsidR="007A5600" w:rsidRDefault="007A5600"/>
    <w:p w14:paraId="6278D9AC" w14:textId="30427746" w:rsidR="00E33EDB" w:rsidRPr="00E33EDB" w:rsidRDefault="00E33EDB" w:rsidP="00E33EDB">
      <w:pPr>
        <w:pStyle w:val="VBATopicHeading1"/>
      </w:pPr>
      <w:bookmarkStart w:id="19" w:name="_Toc450826300"/>
      <w:bookmarkStart w:id="20" w:name="_Toc450892716"/>
      <w:r w:rsidRPr="00E33EDB">
        <w:lastRenderedPageBreak/>
        <w:t xml:space="preserve">Topic 2: MSC </w:t>
      </w:r>
      <w:r w:rsidR="002D721E">
        <w:t xml:space="preserve">or Other BDD Claim Processor </w:t>
      </w:r>
      <w:r w:rsidRPr="00E33EDB">
        <w:t>Responsibilities</w:t>
      </w:r>
      <w:bookmarkEnd w:id="19"/>
      <w:bookmarkEnd w:id="20"/>
    </w:p>
    <w:p w14:paraId="2472BAF0" w14:textId="21ED3AB8" w:rsidR="00E33EDB" w:rsidRDefault="00E33EDB" w:rsidP="00435649">
      <w:pPr>
        <w:spacing w:after="120"/>
      </w:pPr>
      <w:r w:rsidRPr="00C2266B">
        <w:rPr>
          <w:b/>
        </w:rPr>
        <w:t xml:space="preserve">STR Review for BDD </w:t>
      </w:r>
    </w:p>
    <w:p w14:paraId="66487BE5" w14:textId="2BEB0A1C" w:rsidR="00E33EDB" w:rsidRPr="00E33EDB" w:rsidRDefault="00E33EDB" w:rsidP="00E33EDB">
      <w:pPr>
        <w:spacing w:before="0" w:after="240"/>
        <w:textAlignment w:val="baseline"/>
      </w:pPr>
      <w:r w:rsidRPr="00E33EDB">
        <w:t>BDD</w:t>
      </w:r>
      <w:r w:rsidR="002D721E">
        <w:t xml:space="preserve"> </w:t>
      </w:r>
      <w:r w:rsidRPr="00E33EDB">
        <w:t xml:space="preserve">program </w:t>
      </w:r>
      <w:r w:rsidR="00AC504D">
        <w:t>r</w:t>
      </w:r>
      <w:r w:rsidRPr="00E33EDB">
        <w:t>equire</w:t>
      </w:r>
      <w:r w:rsidR="00AC504D">
        <w:t>s</w:t>
      </w:r>
      <w:r w:rsidRPr="00E33EDB">
        <w:t xml:space="preserve"> the Servicemember to submit STRs for the current period of service only.  The following are acceptable formats for the STRs:</w:t>
      </w:r>
    </w:p>
    <w:p w14:paraId="05C5FA1B" w14:textId="77777777" w:rsidR="00E33EDB" w:rsidRPr="00E33EDB" w:rsidRDefault="00E33EDB" w:rsidP="00E33EDB">
      <w:pPr>
        <w:numPr>
          <w:ilvl w:val="0"/>
          <w:numId w:val="24"/>
        </w:numPr>
        <w:spacing w:before="0"/>
        <w:textAlignment w:val="baseline"/>
      </w:pPr>
      <w:r w:rsidRPr="00E33EDB">
        <w:t>photocopies</w:t>
      </w:r>
    </w:p>
    <w:p w14:paraId="17187F3B" w14:textId="1DB26E8D" w:rsidR="00E33EDB" w:rsidRPr="00E33EDB" w:rsidRDefault="00E33EDB" w:rsidP="00E33EDB">
      <w:pPr>
        <w:numPr>
          <w:ilvl w:val="0"/>
          <w:numId w:val="24"/>
        </w:numPr>
        <w:spacing w:before="0"/>
        <w:textAlignment w:val="baseline"/>
      </w:pPr>
      <w:r w:rsidRPr="00E33EDB">
        <w:t>compact dis</w:t>
      </w:r>
      <w:r w:rsidR="008B43B9">
        <w:t>c</w:t>
      </w:r>
      <w:r w:rsidRPr="00E33EDB">
        <w:t xml:space="preserve"> – read only memory (CD-ROM), and</w:t>
      </w:r>
    </w:p>
    <w:p w14:paraId="21D5AE5C" w14:textId="77777777" w:rsidR="00E33EDB" w:rsidRPr="00E33EDB" w:rsidRDefault="00E33EDB" w:rsidP="00E33EDB">
      <w:pPr>
        <w:numPr>
          <w:ilvl w:val="0"/>
          <w:numId w:val="24"/>
        </w:numPr>
        <w:spacing w:before="0"/>
        <w:textAlignment w:val="baseline"/>
      </w:pPr>
      <w:r w:rsidRPr="00E33EDB">
        <w:t>digital media files transferred by a secure method.</w:t>
      </w:r>
    </w:p>
    <w:p w14:paraId="1D8ED48B" w14:textId="77777777" w:rsidR="00E33EDB" w:rsidRPr="00E33EDB" w:rsidRDefault="00E33EDB" w:rsidP="00435649">
      <w:pPr>
        <w:spacing w:before="0"/>
        <w:textAlignment w:val="baseline"/>
      </w:pPr>
    </w:p>
    <w:p w14:paraId="0B7C992A" w14:textId="77777777" w:rsidR="00E33EDB" w:rsidRPr="00E33EDB" w:rsidRDefault="00E33EDB" w:rsidP="00E33EDB">
      <w:pPr>
        <w:spacing w:after="120"/>
        <w:textAlignment w:val="baseline"/>
      </w:pPr>
      <w:r w:rsidRPr="00E33EDB">
        <w:t>The following guidelines provide the MSC with tools that will help with the efficient review STRs:</w:t>
      </w:r>
    </w:p>
    <w:p w14:paraId="460C8A5E" w14:textId="77777777" w:rsidR="00E33EDB" w:rsidRPr="00E33EDB" w:rsidRDefault="00E33EDB" w:rsidP="00E33EDB">
      <w:pPr>
        <w:pStyle w:val="ListParagraph"/>
        <w:numPr>
          <w:ilvl w:val="0"/>
          <w:numId w:val="25"/>
        </w:numPr>
        <w:spacing w:before="0"/>
        <w:ind w:left="720"/>
        <w:textAlignment w:val="baseline"/>
      </w:pPr>
      <w:r w:rsidRPr="00E33EDB">
        <w:t xml:space="preserve">Limit the review as much as possible. Look for key indicators of </w:t>
      </w:r>
      <w:r w:rsidRPr="00E33EDB">
        <w:rPr>
          <w:b/>
        </w:rPr>
        <w:t>chronic disabilities</w:t>
      </w:r>
      <w:r w:rsidRPr="00E33EDB">
        <w:t>. Do not waste time reading every page.</w:t>
      </w:r>
    </w:p>
    <w:p w14:paraId="6A251522" w14:textId="33676BB1" w:rsidR="00E33EDB" w:rsidRPr="00E33EDB" w:rsidRDefault="00E33EDB" w:rsidP="00E33EDB">
      <w:pPr>
        <w:pStyle w:val="ListParagraph"/>
        <w:numPr>
          <w:ilvl w:val="0"/>
          <w:numId w:val="25"/>
        </w:numPr>
        <w:spacing w:before="0"/>
        <w:ind w:left="720"/>
        <w:textAlignment w:val="baseline"/>
      </w:pPr>
      <w:r w:rsidRPr="00E33EDB">
        <w:t>Locate and tab or bookmark in VBMS the entrance and separat</w:t>
      </w:r>
      <w:r w:rsidR="002D721E">
        <w:t>ion physical exams in the STRs.</w:t>
      </w:r>
      <w:r w:rsidR="00C379C0">
        <w:t xml:space="preserve"> </w:t>
      </w:r>
      <w:r w:rsidRPr="00E33EDB">
        <w:t>Keep in mind that many of the BDD participants may not have a separation physical exam.</w:t>
      </w:r>
    </w:p>
    <w:p w14:paraId="2BA8A327" w14:textId="77777777" w:rsidR="00E33EDB" w:rsidRPr="00E33EDB" w:rsidRDefault="00E33EDB" w:rsidP="00E33EDB">
      <w:pPr>
        <w:pStyle w:val="ListParagraph"/>
        <w:numPr>
          <w:ilvl w:val="0"/>
          <w:numId w:val="25"/>
        </w:numPr>
        <w:spacing w:before="0"/>
        <w:ind w:left="720"/>
        <w:textAlignment w:val="baseline"/>
      </w:pPr>
      <w:r w:rsidRPr="00E33EDB">
        <w:t>Tab/bookmark where a claimed condition is located if it is not mentioned on the separation physical exam.</w:t>
      </w:r>
    </w:p>
    <w:p w14:paraId="7F87D4EC" w14:textId="77777777" w:rsidR="00E33EDB" w:rsidRPr="00E33EDB" w:rsidRDefault="00E33EDB" w:rsidP="00E33EDB">
      <w:pPr>
        <w:pStyle w:val="ListParagraph"/>
        <w:numPr>
          <w:ilvl w:val="0"/>
          <w:numId w:val="25"/>
        </w:numPr>
        <w:spacing w:before="0"/>
        <w:ind w:left="720"/>
        <w:textAlignment w:val="baseline"/>
      </w:pPr>
      <w:r w:rsidRPr="00E33EDB">
        <w:t xml:space="preserve">Write down a list of the potentially claimed conditions to use during the initial interview (if one is conducted) for a reference. </w:t>
      </w:r>
    </w:p>
    <w:p w14:paraId="74AAE7B5" w14:textId="77777777" w:rsidR="00E33EDB" w:rsidRDefault="00E33EDB" w:rsidP="00E33EDB">
      <w:pPr>
        <w:spacing w:before="0"/>
        <w:textAlignment w:val="baseline"/>
      </w:pPr>
    </w:p>
    <w:p w14:paraId="2D20ACB2" w14:textId="77777777" w:rsidR="00E33EDB" w:rsidRDefault="00E33EDB" w:rsidP="00435649">
      <w:pPr>
        <w:spacing w:before="0" w:after="60"/>
        <w:textAlignment w:val="baseline"/>
      </w:pPr>
      <w:r w:rsidRPr="00E33EDB">
        <w:t>Examples:</w:t>
      </w:r>
    </w:p>
    <w:p w14:paraId="13674CE6" w14:textId="77777777" w:rsidR="00E33EDB" w:rsidRDefault="00E33EDB" w:rsidP="00E33EDB">
      <w:pPr>
        <w:pStyle w:val="ListParagraph"/>
        <w:numPr>
          <w:ilvl w:val="0"/>
          <w:numId w:val="26"/>
        </w:numPr>
        <w:spacing w:before="0"/>
        <w:textAlignment w:val="baseline"/>
      </w:pPr>
      <w:r w:rsidRPr="00E33EDB">
        <w:t xml:space="preserve">Radiologist report dated </w:t>
      </w:r>
      <w:smartTag w:uri="urn:schemas-microsoft-com:office:smarttags" w:element="date">
        <w:smartTagPr>
          <w:attr w:name="Year" w:val="09"/>
          <w:attr w:name="Day" w:val="01"/>
          <w:attr w:name="Month" w:val="10"/>
          <w:attr w:name="ls" w:val="trans"/>
        </w:smartTagPr>
        <w:r w:rsidRPr="00E33EDB">
          <w:t>10/01/09</w:t>
        </w:r>
      </w:smartTag>
      <w:r w:rsidRPr="00E33EDB">
        <w:t xml:space="preserve"> right knee patella femoral syndrome.</w:t>
      </w:r>
    </w:p>
    <w:p w14:paraId="2D95BD6B" w14:textId="77777777" w:rsidR="00E33EDB" w:rsidRDefault="00E33EDB" w:rsidP="00E33EDB">
      <w:pPr>
        <w:pStyle w:val="ListParagraph"/>
        <w:numPr>
          <w:ilvl w:val="0"/>
          <w:numId w:val="26"/>
        </w:numPr>
        <w:spacing w:before="0"/>
        <w:textAlignment w:val="baseline"/>
      </w:pPr>
      <w:r w:rsidRPr="00E33EDB">
        <w:t xml:space="preserve">Surgical summary report dated </w:t>
      </w:r>
      <w:smartTag w:uri="urn:schemas-microsoft-com:office:smarttags" w:element="date">
        <w:smartTagPr>
          <w:attr w:name="Year" w:val="10"/>
          <w:attr w:name="Day" w:val="05"/>
          <w:attr w:name="Month" w:val="01"/>
          <w:attr w:name="ls" w:val="trans"/>
        </w:smartTagPr>
        <w:r w:rsidRPr="00E33EDB">
          <w:t>01/05/10</w:t>
        </w:r>
      </w:smartTag>
      <w:r w:rsidRPr="00E33EDB">
        <w:t xml:space="preserve"> shrapnel removed right shoulder. Possible scar and residuals of retained shrapnel.</w:t>
      </w:r>
    </w:p>
    <w:p w14:paraId="1555B8EF" w14:textId="77777777" w:rsidR="00E33EDB" w:rsidRDefault="00E33EDB" w:rsidP="00E33EDB">
      <w:pPr>
        <w:spacing w:before="0"/>
        <w:textAlignment w:val="baseline"/>
      </w:pPr>
    </w:p>
    <w:p w14:paraId="7C67E85E" w14:textId="28F92CE4" w:rsidR="00AE7101" w:rsidRDefault="00AE7101" w:rsidP="00E33EDB">
      <w:pPr>
        <w:spacing w:before="0"/>
        <w:textAlignment w:val="baseline"/>
      </w:pPr>
      <w:r w:rsidRPr="00620CC2">
        <w:rPr>
          <w:b/>
        </w:rPr>
        <w:t>Entrance and Separation Physical Exams Identification</w:t>
      </w:r>
    </w:p>
    <w:p w14:paraId="3FA17593" w14:textId="77777777" w:rsidR="00AE7101" w:rsidRDefault="00AE7101" w:rsidP="002D721E">
      <w:pPr>
        <w:textAlignment w:val="baseline"/>
      </w:pPr>
      <w:r w:rsidRPr="00AE7101">
        <w:t>In order to identify the entrance and separation physical exams in the STRs, it is necessary to know the dates the Service member entered and separated from service.</w:t>
      </w:r>
    </w:p>
    <w:p w14:paraId="7E52A880" w14:textId="77777777" w:rsidR="002D721E" w:rsidRPr="00AE7101" w:rsidRDefault="002D721E" w:rsidP="002D721E">
      <w:pPr>
        <w:spacing w:before="0"/>
        <w:textAlignment w:val="baseline"/>
      </w:pPr>
    </w:p>
    <w:p w14:paraId="30286B3C" w14:textId="77777777" w:rsidR="00AE7101" w:rsidRPr="00AE7101" w:rsidRDefault="00AE7101" w:rsidP="002D721E">
      <w:pPr>
        <w:spacing w:before="0"/>
        <w:textAlignment w:val="baseline"/>
      </w:pPr>
      <w:r w:rsidRPr="00AE7101">
        <w:t>When reviewing the STRs, the entrance and separation physical exams can be noted by the status of the Service member. Often the status of the Service member or type of exam is noted as “Civilian” on the entrance examination or “Separation Exam” for a separation physical exam.</w:t>
      </w:r>
    </w:p>
    <w:p w14:paraId="042C4D35" w14:textId="77777777" w:rsidR="00435649" w:rsidRDefault="00435649" w:rsidP="00435649">
      <w:pPr>
        <w:pStyle w:val="VBALevel3Heading"/>
        <w:spacing w:before="0"/>
        <w:rPr>
          <w:b/>
          <w:color w:val="auto"/>
        </w:rPr>
      </w:pPr>
    </w:p>
    <w:p w14:paraId="02F86999" w14:textId="77777777" w:rsidR="00AE7101" w:rsidRPr="00620CC2" w:rsidRDefault="00AE7101" w:rsidP="00435649">
      <w:pPr>
        <w:pStyle w:val="VBALevel3Heading"/>
        <w:spacing w:before="0"/>
        <w:rPr>
          <w:b/>
          <w:color w:val="auto"/>
        </w:rPr>
      </w:pPr>
      <w:r w:rsidRPr="00620CC2">
        <w:rPr>
          <w:b/>
          <w:color w:val="auto"/>
        </w:rPr>
        <w:t xml:space="preserve">Tabbing </w:t>
      </w:r>
      <w:r>
        <w:rPr>
          <w:b/>
          <w:color w:val="auto"/>
        </w:rPr>
        <w:t>STRs in Paper Claim Folders</w:t>
      </w:r>
    </w:p>
    <w:p w14:paraId="6DE016FE" w14:textId="77777777" w:rsidR="00AE7101" w:rsidRPr="00AE7101" w:rsidRDefault="00AE7101" w:rsidP="00AE7101">
      <w:pPr>
        <w:textAlignment w:val="baseline"/>
      </w:pPr>
      <w:r w:rsidRPr="00AE7101">
        <w:t xml:space="preserve">It is helpful to tab the  Entrance and Separation Physical Exams for future reference. </w:t>
      </w:r>
    </w:p>
    <w:p w14:paraId="4D58DEC1" w14:textId="77777777" w:rsidR="00AE7101" w:rsidRDefault="00AE7101" w:rsidP="00AE7101">
      <w:pPr>
        <w:spacing w:before="0"/>
        <w:textAlignment w:val="baseline"/>
      </w:pPr>
      <w:r w:rsidRPr="00AE7101">
        <w:rPr>
          <w:b/>
          <w:i/>
        </w:rPr>
        <w:t>Note</w:t>
      </w:r>
      <w:r w:rsidRPr="00AE7101">
        <w:t>: All tabs must be removed prior to sending the information to the scanning contractor.</w:t>
      </w:r>
    </w:p>
    <w:p w14:paraId="277BA7F7" w14:textId="77777777" w:rsidR="00AE7101" w:rsidRDefault="00AE7101" w:rsidP="00AE7101">
      <w:pPr>
        <w:spacing w:before="0"/>
        <w:textAlignment w:val="baseline"/>
      </w:pPr>
    </w:p>
    <w:p w14:paraId="530A1A84" w14:textId="77777777" w:rsidR="002D721E" w:rsidRDefault="002D721E">
      <w:pPr>
        <w:overflowPunct/>
        <w:autoSpaceDE/>
        <w:autoSpaceDN/>
        <w:adjustRightInd/>
        <w:spacing w:before="0"/>
        <w:rPr>
          <w:b/>
        </w:rPr>
      </w:pPr>
      <w:r>
        <w:rPr>
          <w:b/>
        </w:rPr>
        <w:br w:type="page"/>
      </w:r>
    </w:p>
    <w:p w14:paraId="4DE78605" w14:textId="049E96C1" w:rsidR="00AE7101" w:rsidRDefault="00AE7101" w:rsidP="00435649">
      <w:pPr>
        <w:pStyle w:val="VBALevel3Heading"/>
        <w:spacing w:before="0"/>
        <w:rPr>
          <w:b/>
          <w:color w:val="auto"/>
        </w:rPr>
      </w:pPr>
      <w:r>
        <w:rPr>
          <w:b/>
          <w:color w:val="auto"/>
        </w:rPr>
        <w:lastRenderedPageBreak/>
        <w:t>Bookmarking STRs in VBMS</w:t>
      </w:r>
    </w:p>
    <w:p w14:paraId="36984F8F" w14:textId="77777777" w:rsidR="00AE7101" w:rsidRPr="00AE7101" w:rsidRDefault="00AE7101" w:rsidP="00AE7101">
      <w:pPr>
        <w:textAlignment w:val="baseline"/>
      </w:pPr>
      <w:r w:rsidRPr="00AE7101">
        <w:t>ROs must follow the standardized steps in the table below to bookmark documents in the claims folder for the examiner’s review.</w:t>
      </w:r>
    </w:p>
    <w:p w14:paraId="0C30F15A" w14:textId="77777777" w:rsidR="00AE7101" w:rsidRPr="00AE7101" w:rsidRDefault="00AE7101" w:rsidP="00AE7101">
      <w:pPr>
        <w:textAlignment w:val="baseline"/>
      </w:pPr>
      <w:r w:rsidRPr="00AE7101">
        <w:rPr>
          <w:b/>
          <w:bCs/>
          <w:i/>
          <w:iCs/>
        </w:rPr>
        <w:t>Important</w:t>
      </w:r>
      <w:r w:rsidRPr="00AE7101">
        <w:t>: While there are multiple bookmark types available in VBMS, when bookmarking evidence for an examiner’s review, ROs must use the medical bookmark.</w:t>
      </w:r>
    </w:p>
    <w:p w14:paraId="4CA7B959" w14:textId="77777777" w:rsidR="00AE7101" w:rsidRDefault="00AE7101" w:rsidP="00AE7101">
      <w:pPr>
        <w:spacing w:before="0"/>
        <w:textAlignment w:val="baseline"/>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5"/>
        <w:gridCol w:w="8460"/>
      </w:tblGrid>
      <w:tr w:rsidR="00AE7101" w:rsidRPr="00AE7101" w14:paraId="4CA70BE1" w14:textId="77777777" w:rsidTr="00AE7101">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1D5690F9" w14:textId="77777777" w:rsidR="00AE7101" w:rsidRPr="00AE7101" w:rsidRDefault="00AE7101" w:rsidP="00AE7101">
            <w:pPr>
              <w:textAlignment w:val="baseline"/>
            </w:pPr>
            <w:r w:rsidRPr="00AE7101">
              <w:rPr>
                <w:b/>
                <w:bCs/>
              </w:rPr>
              <w:t xml:space="preserve">Step </w:t>
            </w:r>
          </w:p>
        </w:tc>
        <w:tc>
          <w:tcPr>
            <w:tcW w:w="8460" w:type="dxa"/>
            <w:tcBorders>
              <w:top w:val="outset" w:sz="6" w:space="0" w:color="auto"/>
              <w:left w:val="outset" w:sz="6" w:space="0" w:color="auto"/>
              <w:bottom w:val="outset" w:sz="6" w:space="0" w:color="auto"/>
              <w:right w:val="outset" w:sz="6" w:space="0" w:color="auto"/>
            </w:tcBorders>
            <w:hideMark/>
          </w:tcPr>
          <w:p w14:paraId="1D046518" w14:textId="77777777" w:rsidR="00AE7101" w:rsidRPr="00AE7101" w:rsidRDefault="00AE7101" w:rsidP="00AE7101">
            <w:pPr>
              <w:textAlignment w:val="baseline"/>
            </w:pPr>
            <w:r w:rsidRPr="00AE7101">
              <w:rPr>
                <w:b/>
                <w:bCs/>
              </w:rPr>
              <w:t>Action</w:t>
            </w:r>
          </w:p>
        </w:tc>
      </w:tr>
      <w:tr w:rsidR="00AE7101" w:rsidRPr="00AE7101" w14:paraId="59E2A551" w14:textId="77777777" w:rsidTr="00AE7101">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3F7F9F7D" w14:textId="77777777" w:rsidR="00AE7101" w:rsidRPr="00AE7101" w:rsidRDefault="00AE7101" w:rsidP="00AE7101">
            <w:pPr>
              <w:textAlignment w:val="baseline"/>
            </w:pPr>
            <w:r w:rsidRPr="00AE7101">
              <w:t>1</w:t>
            </w:r>
          </w:p>
        </w:tc>
        <w:tc>
          <w:tcPr>
            <w:tcW w:w="8460" w:type="dxa"/>
            <w:tcBorders>
              <w:top w:val="outset" w:sz="6" w:space="0" w:color="auto"/>
              <w:left w:val="outset" w:sz="6" w:space="0" w:color="auto"/>
              <w:bottom w:val="outset" w:sz="6" w:space="0" w:color="auto"/>
              <w:right w:val="outset" w:sz="6" w:space="0" w:color="auto"/>
            </w:tcBorders>
            <w:hideMark/>
          </w:tcPr>
          <w:p w14:paraId="1E1655B4" w14:textId="77777777" w:rsidR="00AE7101" w:rsidRPr="00AE7101" w:rsidRDefault="00AE7101" w:rsidP="00AE7101">
            <w:pPr>
              <w:textAlignment w:val="baseline"/>
            </w:pPr>
            <w:r w:rsidRPr="00AE7101">
              <w:t>Locate the document in which you want to add a bookmark.</w:t>
            </w:r>
          </w:p>
        </w:tc>
      </w:tr>
      <w:tr w:rsidR="00AE7101" w:rsidRPr="00AE7101" w14:paraId="3EC5C570" w14:textId="77777777" w:rsidTr="00AE7101">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66ED06D7" w14:textId="77777777" w:rsidR="00AE7101" w:rsidRPr="00AE7101" w:rsidRDefault="00AE7101" w:rsidP="00AE7101">
            <w:pPr>
              <w:textAlignment w:val="baseline"/>
            </w:pPr>
            <w:r w:rsidRPr="00AE7101">
              <w:t>2</w:t>
            </w:r>
          </w:p>
        </w:tc>
        <w:tc>
          <w:tcPr>
            <w:tcW w:w="8460" w:type="dxa"/>
            <w:tcBorders>
              <w:top w:val="outset" w:sz="6" w:space="0" w:color="auto"/>
              <w:left w:val="outset" w:sz="6" w:space="0" w:color="auto"/>
              <w:bottom w:val="outset" w:sz="6" w:space="0" w:color="auto"/>
              <w:right w:val="outset" w:sz="6" w:space="0" w:color="auto"/>
            </w:tcBorders>
            <w:hideMark/>
          </w:tcPr>
          <w:p w14:paraId="2E2C4DF5" w14:textId="77777777" w:rsidR="00AE7101" w:rsidRPr="00AE7101" w:rsidRDefault="00AE7101" w:rsidP="00AE7101">
            <w:pPr>
              <w:textAlignment w:val="baseline"/>
            </w:pPr>
            <w:r w:rsidRPr="00AE7101">
              <w:t>Click on the bookmark icon in the TOOLS column. The BOOKMARKS prompt box appears.</w:t>
            </w:r>
          </w:p>
          <w:p w14:paraId="74B78066" w14:textId="34A90277" w:rsidR="00AE7101" w:rsidRPr="00AE7101" w:rsidRDefault="00AE7101" w:rsidP="00AE7101">
            <w:pPr>
              <w:textAlignment w:val="baseline"/>
            </w:pPr>
            <w:r>
              <w:rPr>
                <w:b/>
                <w:bCs/>
                <w:noProof/>
              </w:rPr>
              <w:drawing>
                <wp:inline distT="0" distB="0" distL="0" distR="0" wp14:anchorId="4FFE40B2" wp14:editId="3EBB5B44">
                  <wp:extent cx="4181475" cy="1162050"/>
                  <wp:effectExtent l="0" t="0" r="9525" b="0"/>
                  <wp:docPr id="3" name="Picture 3" descr="screenshot of bookmark icon in the TOOLS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bookmark icon in the TOOLS colum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1475" cy="1162050"/>
                          </a:xfrm>
                          <a:prstGeom prst="rect">
                            <a:avLst/>
                          </a:prstGeom>
                          <a:noFill/>
                          <a:ln>
                            <a:noFill/>
                          </a:ln>
                        </pic:spPr>
                      </pic:pic>
                    </a:graphicData>
                  </a:graphic>
                </wp:inline>
              </w:drawing>
            </w:r>
          </w:p>
        </w:tc>
      </w:tr>
      <w:tr w:rsidR="00AE7101" w:rsidRPr="00AE7101" w14:paraId="1AFC43C4" w14:textId="77777777" w:rsidTr="00AE7101">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4434213E" w14:textId="77777777" w:rsidR="00AE7101" w:rsidRPr="00AE7101" w:rsidRDefault="00AE7101" w:rsidP="00AE7101">
            <w:pPr>
              <w:textAlignment w:val="baseline"/>
            </w:pPr>
            <w:r w:rsidRPr="00AE7101">
              <w:t>3</w:t>
            </w:r>
          </w:p>
        </w:tc>
        <w:tc>
          <w:tcPr>
            <w:tcW w:w="8460" w:type="dxa"/>
            <w:tcBorders>
              <w:top w:val="outset" w:sz="6" w:space="0" w:color="auto"/>
              <w:left w:val="outset" w:sz="6" w:space="0" w:color="auto"/>
              <w:bottom w:val="outset" w:sz="6" w:space="0" w:color="auto"/>
              <w:right w:val="outset" w:sz="6" w:space="0" w:color="auto"/>
            </w:tcBorders>
            <w:hideMark/>
          </w:tcPr>
          <w:p w14:paraId="1EEC3346" w14:textId="77777777" w:rsidR="00AE7101" w:rsidRPr="00AE7101" w:rsidRDefault="00AE7101" w:rsidP="00AE7101">
            <w:pPr>
              <w:textAlignment w:val="baseline"/>
            </w:pPr>
            <w:r w:rsidRPr="00AE7101">
              <w:t>For each document in the eFolder that contains information to be reviewed by a VA examiner, select the medical bookmark (heart shape icon).</w:t>
            </w:r>
          </w:p>
          <w:p w14:paraId="6677BF8C" w14:textId="77777777" w:rsidR="00AE7101" w:rsidRPr="00AE7101" w:rsidRDefault="00AE7101" w:rsidP="00AE7101">
            <w:pPr>
              <w:textAlignment w:val="baseline"/>
            </w:pPr>
            <w:r w:rsidRPr="00AE7101">
              <w:rPr>
                <w:b/>
                <w:bCs/>
                <w:i/>
                <w:iCs/>
              </w:rPr>
              <w:t>Example</w:t>
            </w:r>
            <w:r w:rsidRPr="00AE7101">
              <w:t>: The Veteran has claimed a right knee and left shoulder condition. A review of the STRs shows treatment for chondromalacia patella of the right knee and a rotator cuff tear of the left shoulder. An examiner will need to review the records.</w:t>
            </w:r>
          </w:p>
        </w:tc>
      </w:tr>
      <w:tr w:rsidR="00AE7101" w:rsidRPr="00AE7101" w14:paraId="37C1C198" w14:textId="77777777" w:rsidTr="00AE7101">
        <w:trPr>
          <w:trHeight w:val="3450"/>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5AC06AE0" w14:textId="77777777" w:rsidR="00AE7101" w:rsidRPr="00AE7101" w:rsidRDefault="00AE7101" w:rsidP="00AE7101">
            <w:pPr>
              <w:textAlignment w:val="baseline"/>
            </w:pPr>
            <w:r w:rsidRPr="00AE7101">
              <w:t>4</w:t>
            </w:r>
          </w:p>
        </w:tc>
        <w:tc>
          <w:tcPr>
            <w:tcW w:w="8460" w:type="dxa"/>
            <w:tcBorders>
              <w:top w:val="outset" w:sz="6" w:space="0" w:color="auto"/>
              <w:left w:val="outset" w:sz="6" w:space="0" w:color="auto"/>
              <w:bottom w:val="outset" w:sz="6" w:space="0" w:color="auto"/>
              <w:right w:val="outset" w:sz="6" w:space="0" w:color="auto"/>
            </w:tcBorders>
            <w:hideMark/>
          </w:tcPr>
          <w:p w14:paraId="22D107D1" w14:textId="77777777" w:rsidR="00AE7101" w:rsidRPr="00AE7101" w:rsidRDefault="00AE7101" w:rsidP="00AE7101">
            <w:pPr>
              <w:textAlignment w:val="baseline"/>
            </w:pPr>
            <w:r w:rsidRPr="00AE7101">
              <w:t>In the expanded prompt box that appears, type the</w:t>
            </w:r>
          </w:p>
          <w:p w14:paraId="48259ABE" w14:textId="77777777" w:rsidR="00AE7101" w:rsidRPr="00AE7101" w:rsidRDefault="00AE7101" w:rsidP="00AE7101">
            <w:pPr>
              <w:numPr>
                <w:ilvl w:val="0"/>
                <w:numId w:val="27"/>
              </w:numPr>
              <w:textAlignment w:val="baseline"/>
            </w:pPr>
            <w:r w:rsidRPr="00AE7101">
              <w:t>tab name, and</w:t>
            </w:r>
          </w:p>
          <w:p w14:paraId="65AE3F3E" w14:textId="77777777" w:rsidR="00AE7101" w:rsidRPr="00AE7101" w:rsidRDefault="00AE7101" w:rsidP="00AE7101">
            <w:pPr>
              <w:numPr>
                <w:ilvl w:val="0"/>
                <w:numId w:val="27"/>
              </w:numPr>
              <w:textAlignment w:val="baseline"/>
            </w:pPr>
            <w:r w:rsidRPr="00AE7101">
              <w:t>contention(s) name.</w:t>
            </w:r>
          </w:p>
          <w:p w14:paraId="68BD0DA7" w14:textId="71FD8A27" w:rsidR="00AE7101" w:rsidRPr="00AE7101" w:rsidRDefault="00AE7101" w:rsidP="00AE7101">
            <w:pPr>
              <w:textAlignment w:val="baseline"/>
            </w:pPr>
            <w:r>
              <w:rPr>
                <w:b/>
                <w:bCs/>
                <w:noProof/>
              </w:rPr>
              <w:drawing>
                <wp:inline distT="0" distB="0" distL="0" distR="0" wp14:anchorId="6804DB1B" wp14:editId="6D871355">
                  <wp:extent cx="1819275" cy="1219200"/>
                  <wp:effectExtent l="0" t="0" r="9525" b="0"/>
                  <wp:docPr id="2" name="Picture 2" descr="In the contention box, type tab name and contentio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the contention box, type tab name and contention 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9275" cy="1219200"/>
                          </a:xfrm>
                          <a:prstGeom prst="rect">
                            <a:avLst/>
                          </a:prstGeom>
                          <a:noFill/>
                          <a:ln>
                            <a:noFill/>
                          </a:ln>
                        </pic:spPr>
                      </pic:pic>
                    </a:graphicData>
                  </a:graphic>
                </wp:inline>
              </w:drawing>
            </w:r>
          </w:p>
        </w:tc>
      </w:tr>
      <w:tr w:rsidR="00AE7101" w:rsidRPr="006666F3" w14:paraId="41F9F722" w14:textId="77777777" w:rsidTr="00AE7101">
        <w:trPr>
          <w:trHeight w:val="3450"/>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0DC046D0" w14:textId="77777777" w:rsidR="00AE7101" w:rsidRPr="00AE7101" w:rsidRDefault="00AE7101" w:rsidP="00AE7101">
            <w:pPr>
              <w:textAlignment w:val="baseline"/>
            </w:pPr>
            <w:r w:rsidRPr="00AE7101">
              <w:lastRenderedPageBreak/>
              <w:t>5</w:t>
            </w:r>
          </w:p>
        </w:tc>
        <w:tc>
          <w:tcPr>
            <w:tcW w:w="8460" w:type="dxa"/>
            <w:tcBorders>
              <w:top w:val="outset" w:sz="6" w:space="0" w:color="auto"/>
              <w:left w:val="outset" w:sz="6" w:space="0" w:color="auto"/>
              <w:bottom w:val="outset" w:sz="6" w:space="0" w:color="auto"/>
              <w:right w:val="outset" w:sz="6" w:space="0" w:color="auto"/>
            </w:tcBorders>
            <w:hideMark/>
          </w:tcPr>
          <w:p w14:paraId="24695D13" w14:textId="77777777" w:rsidR="00AE7101" w:rsidRPr="00AE7101" w:rsidRDefault="00AE7101" w:rsidP="00AE7101">
            <w:pPr>
              <w:numPr>
                <w:ilvl w:val="0"/>
                <w:numId w:val="28"/>
              </w:numPr>
              <w:overflowPunct/>
              <w:autoSpaceDE/>
              <w:autoSpaceDN/>
              <w:adjustRightInd/>
              <w:spacing w:before="100" w:beforeAutospacing="1" w:after="100" w:afterAutospacing="1"/>
            </w:pPr>
            <w:r w:rsidRPr="00AE7101">
              <w:t>Click the working notes bookmark (note paper icon).</w:t>
            </w:r>
          </w:p>
          <w:p w14:paraId="79246EA0" w14:textId="77777777" w:rsidR="00AE7101" w:rsidRPr="00AE7101" w:rsidRDefault="00AE7101" w:rsidP="00AE7101">
            <w:pPr>
              <w:numPr>
                <w:ilvl w:val="0"/>
                <w:numId w:val="28"/>
              </w:numPr>
              <w:overflowPunct/>
              <w:autoSpaceDE/>
              <w:autoSpaceDN/>
              <w:adjustRightInd/>
              <w:spacing w:before="100" w:beforeAutospacing="1" w:after="100" w:afterAutospacing="1"/>
            </w:pPr>
            <w:r w:rsidRPr="00AE7101">
              <w:t>In the expanded prompt box list</w:t>
            </w:r>
          </w:p>
          <w:p w14:paraId="05B4F055" w14:textId="77777777" w:rsidR="00AE7101" w:rsidRPr="00AE7101" w:rsidRDefault="00AE7101" w:rsidP="00AE7101">
            <w:pPr>
              <w:numPr>
                <w:ilvl w:val="1"/>
                <w:numId w:val="28"/>
              </w:numPr>
              <w:overflowPunct/>
              <w:autoSpaceDE/>
              <w:autoSpaceDN/>
              <w:adjustRightInd/>
              <w:spacing w:before="100" w:beforeAutospacing="1" w:after="100" w:afterAutospacing="1"/>
            </w:pPr>
            <w:r w:rsidRPr="00AE7101">
              <w:t>the condition treated, and</w:t>
            </w:r>
          </w:p>
          <w:p w14:paraId="09749844" w14:textId="77777777" w:rsidR="00AE7101" w:rsidRPr="00AE7101" w:rsidRDefault="00AE7101" w:rsidP="00AE7101">
            <w:pPr>
              <w:numPr>
                <w:ilvl w:val="1"/>
                <w:numId w:val="28"/>
              </w:numPr>
              <w:overflowPunct/>
              <w:autoSpaceDE/>
              <w:autoSpaceDN/>
              <w:adjustRightInd/>
              <w:spacing w:before="100" w:beforeAutospacing="1" w:after="100" w:afterAutospacing="1"/>
            </w:pPr>
            <w:r w:rsidRPr="00AE7101">
              <w:t>the pages where treatment can be found for the relevant conditions.</w:t>
            </w:r>
          </w:p>
          <w:p w14:paraId="590222B2" w14:textId="33E0762D" w:rsidR="00AE7101" w:rsidRPr="00AE7101" w:rsidRDefault="00AE7101" w:rsidP="00AE7101">
            <w:pPr>
              <w:textAlignment w:val="baseline"/>
            </w:pPr>
            <w:r w:rsidRPr="00AE7101">
              <w:rPr>
                <w:noProof/>
              </w:rPr>
              <w:drawing>
                <wp:inline distT="0" distB="0" distL="0" distR="0" wp14:anchorId="36AC5EDE" wp14:editId="41069074">
                  <wp:extent cx="2190750" cy="2028825"/>
                  <wp:effectExtent l="0" t="0" r="0" b="9525"/>
                  <wp:docPr id="4" name="Picture 4" descr="in the expanded prompt box, condition treated and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 the expanded prompt box, condition treated and pag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2028825"/>
                          </a:xfrm>
                          <a:prstGeom prst="rect">
                            <a:avLst/>
                          </a:prstGeom>
                          <a:noFill/>
                          <a:ln>
                            <a:noFill/>
                          </a:ln>
                        </pic:spPr>
                      </pic:pic>
                    </a:graphicData>
                  </a:graphic>
                </wp:inline>
              </w:drawing>
            </w:r>
          </w:p>
        </w:tc>
      </w:tr>
    </w:tbl>
    <w:p w14:paraId="55B565C4" w14:textId="77777777" w:rsidR="00AE7101" w:rsidRDefault="00AE7101" w:rsidP="00AE7101">
      <w:pPr>
        <w:spacing w:before="0"/>
        <w:textAlignment w:val="baseline"/>
      </w:pPr>
    </w:p>
    <w:p w14:paraId="2B0DE480" w14:textId="77777777" w:rsidR="00AE7101" w:rsidRDefault="00AE7101" w:rsidP="00AE7101">
      <w:pPr>
        <w:pStyle w:val="VBALevel2Heading"/>
        <w:rPr>
          <w:color w:val="auto"/>
        </w:rPr>
      </w:pPr>
      <w:bookmarkStart w:id="21" w:name="_Toc450826301"/>
      <w:r>
        <w:rPr>
          <w:color w:val="auto"/>
        </w:rPr>
        <w:t>Handling Receipt of Original STRs</w:t>
      </w:r>
      <w:bookmarkEnd w:id="21"/>
    </w:p>
    <w:p w14:paraId="6FAECE6D" w14:textId="178DBB45" w:rsidR="00AE7101" w:rsidRDefault="00AE7101" w:rsidP="00AE7101">
      <w:pPr>
        <w:pStyle w:val="VBALevel2Heading"/>
        <w:rPr>
          <w:b w:val="0"/>
          <w:color w:val="auto"/>
        </w:rPr>
      </w:pPr>
      <w:bookmarkStart w:id="22" w:name="_Toc450826303"/>
      <w:r>
        <w:rPr>
          <w:b w:val="0"/>
          <w:color w:val="auto"/>
        </w:rPr>
        <w:t xml:space="preserve">If the Servicemember </w:t>
      </w:r>
      <w:r w:rsidR="006E75C1">
        <w:rPr>
          <w:b w:val="0"/>
          <w:color w:val="auto"/>
        </w:rPr>
        <w:t xml:space="preserve">(SM) </w:t>
      </w:r>
      <w:r>
        <w:rPr>
          <w:b w:val="0"/>
          <w:color w:val="auto"/>
        </w:rPr>
        <w:t>provides original STRs, make a copy of the records and return the originals to the S</w:t>
      </w:r>
      <w:r w:rsidR="006E75C1">
        <w:rPr>
          <w:b w:val="0"/>
          <w:color w:val="auto"/>
        </w:rPr>
        <w:t xml:space="preserve">M </w:t>
      </w:r>
      <w:r>
        <w:rPr>
          <w:color w:val="auto"/>
        </w:rPr>
        <w:t>the same day</w:t>
      </w:r>
      <w:r>
        <w:rPr>
          <w:b w:val="0"/>
          <w:color w:val="auto"/>
        </w:rPr>
        <w:t>.</w:t>
      </w:r>
      <w:bookmarkEnd w:id="22"/>
    </w:p>
    <w:p w14:paraId="20321493" w14:textId="77777777" w:rsidR="00AE7101" w:rsidRDefault="00AE7101" w:rsidP="00AE7101">
      <w:pPr>
        <w:pStyle w:val="VBALevel2Heading"/>
        <w:spacing w:before="0"/>
        <w:rPr>
          <w:b w:val="0"/>
          <w:color w:val="auto"/>
        </w:rPr>
      </w:pPr>
    </w:p>
    <w:p w14:paraId="3C4C1150" w14:textId="04F1340F" w:rsidR="00AE7101" w:rsidRDefault="00AE7101" w:rsidP="00AE7101">
      <w:pPr>
        <w:pStyle w:val="VBALevel2Heading"/>
        <w:spacing w:before="0"/>
        <w:rPr>
          <w:b w:val="0"/>
          <w:color w:val="auto"/>
        </w:rPr>
      </w:pPr>
      <w:bookmarkStart w:id="23" w:name="_Toc450826304"/>
      <w:r>
        <w:rPr>
          <w:b w:val="0"/>
          <w:color w:val="auto"/>
        </w:rPr>
        <w:t>If the original records cannot be returned to the S</w:t>
      </w:r>
      <w:r w:rsidR="006E75C1">
        <w:rPr>
          <w:b w:val="0"/>
          <w:color w:val="auto"/>
        </w:rPr>
        <w:t>M</w:t>
      </w:r>
      <w:r>
        <w:rPr>
          <w:b w:val="0"/>
          <w:color w:val="auto"/>
        </w:rPr>
        <w:t>, then return them to the Department of Defense (DoD) at one of the addresses below.</w:t>
      </w:r>
      <w:bookmarkEnd w:id="23"/>
    </w:p>
    <w:p w14:paraId="342C1069" w14:textId="77777777" w:rsidR="00435649" w:rsidRDefault="00435649" w:rsidP="00AE7101">
      <w:pPr>
        <w:pStyle w:val="VBALevel2Heading"/>
        <w:spacing w:before="0"/>
        <w:rPr>
          <w:b w:val="0"/>
          <w:color w:val="auto"/>
        </w:rPr>
      </w:pPr>
    </w:p>
    <w:tbl>
      <w:tblPr>
        <w:tblW w:w="9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8"/>
        <w:gridCol w:w="6660"/>
      </w:tblGrid>
      <w:tr w:rsidR="00AE7101" w:rsidRPr="00AE7101" w14:paraId="39DA184B" w14:textId="77777777" w:rsidTr="00AE7101">
        <w:tc>
          <w:tcPr>
            <w:tcW w:w="2528" w:type="dxa"/>
            <w:tcBorders>
              <w:top w:val="outset" w:sz="6" w:space="0" w:color="auto"/>
              <w:left w:val="outset" w:sz="6" w:space="0" w:color="auto"/>
              <w:bottom w:val="outset" w:sz="6" w:space="0" w:color="auto"/>
              <w:right w:val="outset" w:sz="6" w:space="0" w:color="auto"/>
            </w:tcBorders>
            <w:hideMark/>
          </w:tcPr>
          <w:p w14:paraId="37D94EAE" w14:textId="77777777" w:rsidR="00AE7101" w:rsidRPr="00AE7101" w:rsidRDefault="00AE7101" w:rsidP="00AE7101">
            <w:pPr>
              <w:overflowPunct/>
              <w:autoSpaceDE/>
              <w:adjustRightInd/>
              <w:spacing w:before="0"/>
              <w:jc w:val="center"/>
              <w:textAlignment w:val="baseline"/>
              <w:rPr>
                <w:szCs w:val="24"/>
              </w:rPr>
            </w:pPr>
            <w:r w:rsidRPr="00AE7101">
              <w:rPr>
                <w:b/>
                <w:bCs/>
                <w:szCs w:val="24"/>
              </w:rPr>
              <w:t>Branch of Service</w:t>
            </w:r>
          </w:p>
        </w:tc>
        <w:tc>
          <w:tcPr>
            <w:tcW w:w="6660" w:type="dxa"/>
            <w:tcBorders>
              <w:top w:val="outset" w:sz="6" w:space="0" w:color="auto"/>
              <w:left w:val="outset" w:sz="6" w:space="0" w:color="auto"/>
              <w:bottom w:val="outset" w:sz="6" w:space="0" w:color="auto"/>
              <w:right w:val="outset" w:sz="6" w:space="0" w:color="auto"/>
            </w:tcBorders>
            <w:hideMark/>
          </w:tcPr>
          <w:p w14:paraId="26AC44DA" w14:textId="77777777" w:rsidR="00AE7101" w:rsidRPr="00AE7101" w:rsidRDefault="00AE7101" w:rsidP="00AE7101">
            <w:pPr>
              <w:overflowPunct/>
              <w:autoSpaceDE/>
              <w:adjustRightInd/>
              <w:spacing w:before="0"/>
              <w:jc w:val="center"/>
              <w:textAlignment w:val="baseline"/>
              <w:rPr>
                <w:szCs w:val="24"/>
              </w:rPr>
            </w:pPr>
            <w:r w:rsidRPr="00AE7101">
              <w:rPr>
                <w:b/>
                <w:bCs/>
                <w:szCs w:val="24"/>
              </w:rPr>
              <w:t>Address to Return STRs</w:t>
            </w:r>
          </w:p>
        </w:tc>
      </w:tr>
      <w:tr w:rsidR="00AE7101" w:rsidRPr="00AE7101" w14:paraId="24D32839" w14:textId="77777777" w:rsidTr="00AE7101">
        <w:tc>
          <w:tcPr>
            <w:tcW w:w="2528" w:type="dxa"/>
            <w:tcBorders>
              <w:top w:val="outset" w:sz="6" w:space="0" w:color="auto"/>
              <w:left w:val="outset" w:sz="6" w:space="0" w:color="auto"/>
              <w:bottom w:val="outset" w:sz="6" w:space="0" w:color="auto"/>
              <w:right w:val="outset" w:sz="6" w:space="0" w:color="auto"/>
            </w:tcBorders>
            <w:hideMark/>
          </w:tcPr>
          <w:p w14:paraId="7EE2B874" w14:textId="77777777" w:rsidR="00AE7101" w:rsidRPr="00AE7101" w:rsidRDefault="00AE7101" w:rsidP="00AE7101">
            <w:pPr>
              <w:overflowPunct/>
              <w:autoSpaceDE/>
              <w:adjustRightInd/>
              <w:spacing w:before="0"/>
              <w:textAlignment w:val="baseline"/>
              <w:rPr>
                <w:szCs w:val="24"/>
              </w:rPr>
            </w:pPr>
            <w:r w:rsidRPr="00AE7101">
              <w:rPr>
                <w:szCs w:val="24"/>
              </w:rPr>
              <w:t>Navy</w:t>
            </w:r>
          </w:p>
        </w:tc>
        <w:tc>
          <w:tcPr>
            <w:tcW w:w="6660" w:type="dxa"/>
            <w:tcBorders>
              <w:top w:val="outset" w:sz="6" w:space="0" w:color="auto"/>
              <w:left w:val="outset" w:sz="6" w:space="0" w:color="auto"/>
              <w:bottom w:val="outset" w:sz="6" w:space="0" w:color="auto"/>
              <w:right w:val="outset" w:sz="6" w:space="0" w:color="auto"/>
            </w:tcBorders>
            <w:hideMark/>
          </w:tcPr>
          <w:p w14:paraId="5ACB37B8" w14:textId="77777777" w:rsidR="00AE7101" w:rsidRPr="00AE7101" w:rsidRDefault="00AE7101" w:rsidP="00AE7101">
            <w:pPr>
              <w:overflowPunct/>
              <w:autoSpaceDE/>
              <w:adjustRightInd/>
              <w:spacing w:before="0"/>
              <w:textAlignment w:val="baseline"/>
              <w:rPr>
                <w:szCs w:val="24"/>
              </w:rPr>
            </w:pPr>
            <w:r w:rsidRPr="00AE7101">
              <w:rPr>
                <w:szCs w:val="24"/>
              </w:rPr>
              <w:t>Bureau of Medicine and Surgery</w:t>
            </w:r>
          </w:p>
          <w:p w14:paraId="4125782B" w14:textId="77777777" w:rsidR="00AE7101" w:rsidRPr="00AE7101" w:rsidRDefault="00AE7101" w:rsidP="00AE7101">
            <w:pPr>
              <w:overflowPunct/>
              <w:autoSpaceDE/>
              <w:adjustRightInd/>
              <w:spacing w:before="0"/>
              <w:textAlignment w:val="baseline"/>
              <w:rPr>
                <w:szCs w:val="24"/>
              </w:rPr>
            </w:pPr>
            <w:r w:rsidRPr="00AE7101">
              <w:rPr>
                <w:szCs w:val="24"/>
              </w:rPr>
              <w:t>7700 Arlington Blvd, Suite 5126</w:t>
            </w:r>
          </w:p>
          <w:p w14:paraId="557FD9CB" w14:textId="77777777" w:rsidR="00AE7101" w:rsidRPr="00AE7101" w:rsidRDefault="00AE7101" w:rsidP="00AE7101">
            <w:pPr>
              <w:overflowPunct/>
              <w:autoSpaceDE/>
              <w:adjustRightInd/>
              <w:spacing w:before="0"/>
              <w:textAlignment w:val="baseline"/>
              <w:rPr>
                <w:szCs w:val="24"/>
              </w:rPr>
            </w:pPr>
            <w:r w:rsidRPr="00AE7101">
              <w:rPr>
                <w:szCs w:val="24"/>
              </w:rPr>
              <w:t>Falls Church, VA 22042-5126</w:t>
            </w:r>
          </w:p>
        </w:tc>
      </w:tr>
      <w:tr w:rsidR="00AE7101" w:rsidRPr="00AE7101" w14:paraId="1CF94AD9" w14:textId="77777777" w:rsidTr="00AE7101">
        <w:tc>
          <w:tcPr>
            <w:tcW w:w="2528" w:type="dxa"/>
            <w:tcBorders>
              <w:top w:val="outset" w:sz="6" w:space="0" w:color="auto"/>
              <w:left w:val="outset" w:sz="6" w:space="0" w:color="auto"/>
              <w:bottom w:val="outset" w:sz="6" w:space="0" w:color="auto"/>
              <w:right w:val="outset" w:sz="6" w:space="0" w:color="auto"/>
            </w:tcBorders>
            <w:hideMark/>
          </w:tcPr>
          <w:p w14:paraId="53BAE6A0" w14:textId="77777777" w:rsidR="00AE7101" w:rsidRPr="00AE7101" w:rsidRDefault="00AE7101" w:rsidP="00AE7101">
            <w:pPr>
              <w:overflowPunct/>
              <w:autoSpaceDE/>
              <w:adjustRightInd/>
              <w:spacing w:before="0"/>
              <w:textAlignment w:val="baseline"/>
              <w:rPr>
                <w:szCs w:val="24"/>
              </w:rPr>
            </w:pPr>
            <w:r w:rsidRPr="00AE7101">
              <w:rPr>
                <w:szCs w:val="24"/>
              </w:rPr>
              <w:t>Army</w:t>
            </w:r>
          </w:p>
        </w:tc>
        <w:tc>
          <w:tcPr>
            <w:tcW w:w="6660" w:type="dxa"/>
            <w:tcBorders>
              <w:top w:val="outset" w:sz="6" w:space="0" w:color="auto"/>
              <w:left w:val="outset" w:sz="6" w:space="0" w:color="auto"/>
              <w:bottom w:val="outset" w:sz="6" w:space="0" w:color="auto"/>
              <w:right w:val="outset" w:sz="6" w:space="0" w:color="auto"/>
            </w:tcBorders>
            <w:hideMark/>
          </w:tcPr>
          <w:p w14:paraId="442E72BF" w14:textId="77777777" w:rsidR="00AE7101" w:rsidRPr="00AE7101" w:rsidRDefault="00AE7101" w:rsidP="00AE7101">
            <w:pPr>
              <w:overflowPunct/>
              <w:autoSpaceDE/>
              <w:adjustRightInd/>
              <w:spacing w:before="0"/>
              <w:textAlignment w:val="baseline"/>
              <w:rPr>
                <w:szCs w:val="24"/>
              </w:rPr>
            </w:pPr>
            <w:r w:rsidRPr="00AE7101">
              <w:rPr>
                <w:szCs w:val="24"/>
              </w:rPr>
              <w:t>AMEDD Record Processing Center</w:t>
            </w:r>
          </w:p>
          <w:p w14:paraId="44F4F56F" w14:textId="77777777" w:rsidR="00AE7101" w:rsidRPr="00AE7101" w:rsidRDefault="00AE7101" w:rsidP="00AE7101">
            <w:pPr>
              <w:overflowPunct/>
              <w:autoSpaceDE/>
              <w:adjustRightInd/>
              <w:spacing w:before="0"/>
              <w:textAlignment w:val="baseline"/>
              <w:rPr>
                <w:szCs w:val="24"/>
              </w:rPr>
            </w:pPr>
            <w:r w:rsidRPr="00AE7101">
              <w:rPr>
                <w:szCs w:val="24"/>
              </w:rPr>
              <w:t>3370 Nacogdoches Road, Suite 116</w:t>
            </w:r>
          </w:p>
          <w:p w14:paraId="04787A52" w14:textId="77777777" w:rsidR="00AE7101" w:rsidRPr="00AE7101" w:rsidRDefault="00AE7101" w:rsidP="00AE7101">
            <w:pPr>
              <w:overflowPunct/>
              <w:autoSpaceDE/>
              <w:adjustRightInd/>
              <w:spacing w:before="0"/>
              <w:textAlignment w:val="baseline"/>
              <w:rPr>
                <w:szCs w:val="24"/>
              </w:rPr>
            </w:pPr>
            <w:r w:rsidRPr="00AE7101">
              <w:rPr>
                <w:szCs w:val="24"/>
              </w:rPr>
              <w:t>San Antonio, TX 78217</w:t>
            </w:r>
          </w:p>
        </w:tc>
      </w:tr>
      <w:tr w:rsidR="00AE7101" w:rsidRPr="00AE7101" w14:paraId="3B06DB7A" w14:textId="77777777" w:rsidTr="00AE7101">
        <w:tc>
          <w:tcPr>
            <w:tcW w:w="2528" w:type="dxa"/>
            <w:tcBorders>
              <w:top w:val="outset" w:sz="6" w:space="0" w:color="auto"/>
              <w:left w:val="outset" w:sz="6" w:space="0" w:color="auto"/>
              <w:bottom w:val="outset" w:sz="6" w:space="0" w:color="auto"/>
              <w:right w:val="outset" w:sz="6" w:space="0" w:color="auto"/>
            </w:tcBorders>
            <w:hideMark/>
          </w:tcPr>
          <w:p w14:paraId="22B91D02" w14:textId="77777777" w:rsidR="00AE7101" w:rsidRPr="00AE7101" w:rsidRDefault="00AE7101" w:rsidP="00AE7101">
            <w:pPr>
              <w:overflowPunct/>
              <w:autoSpaceDE/>
              <w:adjustRightInd/>
              <w:spacing w:before="0"/>
              <w:textAlignment w:val="baseline"/>
              <w:rPr>
                <w:szCs w:val="24"/>
              </w:rPr>
            </w:pPr>
            <w:r w:rsidRPr="00AE7101">
              <w:rPr>
                <w:szCs w:val="24"/>
              </w:rPr>
              <w:t>Air Force</w:t>
            </w:r>
          </w:p>
        </w:tc>
        <w:tc>
          <w:tcPr>
            <w:tcW w:w="6660" w:type="dxa"/>
            <w:tcBorders>
              <w:top w:val="outset" w:sz="6" w:space="0" w:color="auto"/>
              <w:left w:val="outset" w:sz="6" w:space="0" w:color="auto"/>
              <w:bottom w:val="outset" w:sz="6" w:space="0" w:color="auto"/>
              <w:right w:val="outset" w:sz="6" w:space="0" w:color="auto"/>
            </w:tcBorders>
            <w:hideMark/>
          </w:tcPr>
          <w:p w14:paraId="329A95B7" w14:textId="77777777" w:rsidR="00AE7101" w:rsidRPr="00AE7101" w:rsidRDefault="00AE7101" w:rsidP="00AE7101">
            <w:pPr>
              <w:overflowPunct/>
              <w:autoSpaceDE/>
              <w:adjustRightInd/>
              <w:spacing w:before="0"/>
              <w:textAlignment w:val="baseline"/>
              <w:rPr>
                <w:szCs w:val="24"/>
              </w:rPr>
            </w:pPr>
            <w:r w:rsidRPr="00AE7101">
              <w:rPr>
                <w:szCs w:val="24"/>
              </w:rPr>
              <w:t>Air Force Record Processing Center</w:t>
            </w:r>
          </w:p>
          <w:p w14:paraId="6F6E6BF6" w14:textId="77777777" w:rsidR="00AE7101" w:rsidRPr="00AE7101" w:rsidRDefault="00AE7101" w:rsidP="00AE7101">
            <w:pPr>
              <w:overflowPunct/>
              <w:autoSpaceDE/>
              <w:adjustRightInd/>
              <w:spacing w:before="0"/>
              <w:textAlignment w:val="baseline"/>
              <w:rPr>
                <w:szCs w:val="24"/>
              </w:rPr>
            </w:pPr>
            <w:r w:rsidRPr="00AE7101">
              <w:rPr>
                <w:szCs w:val="24"/>
              </w:rPr>
              <w:t>3370 Nacogdoches Road, Suite 116</w:t>
            </w:r>
          </w:p>
          <w:p w14:paraId="7A30BE71" w14:textId="77777777" w:rsidR="00AE7101" w:rsidRPr="00AE7101" w:rsidRDefault="00AE7101" w:rsidP="00AE7101">
            <w:pPr>
              <w:overflowPunct/>
              <w:autoSpaceDE/>
              <w:adjustRightInd/>
              <w:spacing w:before="0"/>
              <w:textAlignment w:val="baseline"/>
              <w:rPr>
                <w:szCs w:val="24"/>
              </w:rPr>
            </w:pPr>
            <w:r w:rsidRPr="00AE7101">
              <w:rPr>
                <w:szCs w:val="24"/>
              </w:rPr>
              <w:t>San Antonio, TX 78217</w:t>
            </w:r>
          </w:p>
        </w:tc>
      </w:tr>
      <w:tr w:rsidR="00AE7101" w:rsidRPr="00AE7101" w14:paraId="7EB5BD57" w14:textId="77777777" w:rsidTr="00AE7101">
        <w:tc>
          <w:tcPr>
            <w:tcW w:w="2528" w:type="dxa"/>
            <w:tcBorders>
              <w:top w:val="outset" w:sz="6" w:space="0" w:color="auto"/>
              <w:left w:val="outset" w:sz="6" w:space="0" w:color="auto"/>
              <w:bottom w:val="outset" w:sz="6" w:space="0" w:color="auto"/>
              <w:right w:val="outset" w:sz="6" w:space="0" w:color="auto"/>
            </w:tcBorders>
            <w:hideMark/>
          </w:tcPr>
          <w:p w14:paraId="111EBCDA" w14:textId="77777777" w:rsidR="00AE7101" w:rsidRPr="00AE7101" w:rsidRDefault="00AE7101" w:rsidP="00AE7101">
            <w:pPr>
              <w:overflowPunct/>
              <w:autoSpaceDE/>
              <w:adjustRightInd/>
              <w:spacing w:before="0"/>
              <w:textAlignment w:val="baseline"/>
              <w:rPr>
                <w:szCs w:val="24"/>
              </w:rPr>
            </w:pPr>
            <w:r w:rsidRPr="00AE7101">
              <w:rPr>
                <w:szCs w:val="24"/>
              </w:rPr>
              <w:t>Coast Guard</w:t>
            </w:r>
          </w:p>
        </w:tc>
        <w:tc>
          <w:tcPr>
            <w:tcW w:w="6660" w:type="dxa"/>
            <w:tcBorders>
              <w:top w:val="outset" w:sz="6" w:space="0" w:color="auto"/>
              <w:left w:val="outset" w:sz="6" w:space="0" w:color="auto"/>
              <w:bottom w:val="outset" w:sz="6" w:space="0" w:color="auto"/>
              <w:right w:val="outset" w:sz="6" w:space="0" w:color="auto"/>
            </w:tcBorders>
            <w:hideMark/>
          </w:tcPr>
          <w:p w14:paraId="633FAF64" w14:textId="77777777" w:rsidR="00AE7101" w:rsidRPr="00AE7101" w:rsidRDefault="00AE7101" w:rsidP="00AE7101">
            <w:pPr>
              <w:overflowPunct/>
              <w:autoSpaceDE/>
              <w:adjustRightInd/>
              <w:spacing w:before="0"/>
              <w:textAlignment w:val="baseline"/>
              <w:rPr>
                <w:szCs w:val="24"/>
              </w:rPr>
            </w:pPr>
            <w:r w:rsidRPr="00AE7101">
              <w:rPr>
                <w:szCs w:val="24"/>
              </w:rPr>
              <w:t>Commanding Officer</w:t>
            </w:r>
          </w:p>
          <w:p w14:paraId="1D387203" w14:textId="77777777" w:rsidR="00AE7101" w:rsidRPr="00AE7101" w:rsidRDefault="00AE7101" w:rsidP="00AE7101">
            <w:pPr>
              <w:overflowPunct/>
              <w:autoSpaceDE/>
              <w:adjustRightInd/>
              <w:spacing w:before="0"/>
              <w:textAlignment w:val="baseline"/>
              <w:rPr>
                <w:szCs w:val="24"/>
              </w:rPr>
            </w:pPr>
            <w:r w:rsidRPr="00AE7101">
              <w:rPr>
                <w:szCs w:val="24"/>
              </w:rPr>
              <w:t>HSWL Service Center</w:t>
            </w:r>
          </w:p>
          <w:p w14:paraId="197A9909" w14:textId="77777777" w:rsidR="00AE7101" w:rsidRPr="00AE7101" w:rsidRDefault="00AE7101" w:rsidP="00AE7101">
            <w:pPr>
              <w:overflowPunct/>
              <w:autoSpaceDE/>
              <w:adjustRightInd/>
              <w:spacing w:before="0"/>
              <w:textAlignment w:val="baseline"/>
              <w:rPr>
                <w:szCs w:val="24"/>
              </w:rPr>
            </w:pPr>
            <w:r w:rsidRPr="00AE7101">
              <w:rPr>
                <w:szCs w:val="24"/>
              </w:rPr>
              <w:t>ATTN: Central Cell</w:t>
            </w:r>
          </w:p>
          <w:p w14:paraId="0F4DADBD" w14:textId="77777777" w:rsidR="00AE7101" w:rsidRPr="00AE7101" w:rsidRDefault="00AE7101" w:rsidP="00AE7101">
            <w:pPr>
              <w:overflowPunct/>
              <w:autoSpaceDE/>
              <w:adjustRightInd/>
              <w:spacing w:before="0"/>
              <w:textAlignment w:val="baseline"/>
              <w:rPr>
                <w:szCs w:val="24"/>
              </w:rPr>
            </w:pPr>
            <w:r w:rsidRPr="00AE7101">
              <w:rPr>
                <w:szCs w:val="24"/>
              </w:rPr>
              <w:t>300 E Main St, Suite 1000</w:t>
            </w:r>
          </w:p>
          <w:p w14:paraId="320ED95E" w14:textId="77777777" w:rsidR="00AE7101" w:rsidRPr="00AE7101" w:rsidRDefault="00AE7101" w:rsidP="00AE7101">
            <w:pPr>
              <w:overflowPunct/>
              <w:autoSpaceDE/>
              <w:adjustRightInd/>
              <w:spacing w:before="0"/>
              <w:textAlignment w:val="baseline"/>
              <w:rPr>
                <w:szCs w:val="24"/>
              </w:rPr>
            </w:pPr>
            <w:r w:rsidRPr="00AE7101">
              <w:rPr>
                <w:szCs w:val="24"/>
              </w:rPr>
              <w:t>Norfolk, VA 23510-9109</w:t>
            </w:r>
          </w:p>
        </w:tc>
      </w:tr>
    </w:tbl>
    <w:p w14:paraId="29D020CE" w14:textId="77777777" w:rsidR="00AE7101" w:rsidRDefault="00AE7101" w:rsidP="00435649">
      <w:pPr>
        <w:pStyle w:val="VBALevel2Heading"/>
        <w:spacing w:before="0"/>
        <w:rPr>
          <w:color w:val="auto"/>
        </w:rPr>
      </w:pPr>
      <w:bookmarkStart w:id="24" w:name="_Toc439851282"/>
      <w:bookmarkStart w:id="25" w:name="_Toc440020058"/>
      <w:bookmarkStart w:id="26" w:name="_Toc440020235"/>
      <w:bookmarkStart w:id="27" w:name="_Toc444677115"/>
      <w:bookmarkStart w:id="28" w:name="_Toc450826305"/>
    </w:p>
    <w:p w14:paraId="73C71EC4" w14:textId="77777777" w:rsidR="00AE7101" w:rsidRPr="00387B0A" w:rsidRDefault="00AE7101" w:rsidP="00435649">
      <w:pPr>
        <w:pStyle w:val="VBALevel2Heading"/>
        <w:spacing w:before="0" w:after="120"/>
        <w:rPr>
          <w:color w:val="auto"/>
        </w:rPr>
      </w:pPr>
      <w:r w:rsidRPr="00387B0A">
        <w:rPr>
          <w:color w:val="auto"/>
        </w:rPr>
        <w:t xml:space="preserve">Routine Handling of </w:t>
      </w:r>
      <w:r>
        <w:rPr>
          <w:color w:val="auto"/>
        </w:rPr>
        <w:t>STRs</w:t>
      </w:r>
      <w:bookmarkEnd w:id="24"/>
      <w:bookmarkEnd w:id="25"/>
      <w:bookmarkEnd w:id="26"/>
      <w:bookmarkEnd w:id="27"/>
      <w:bookmarkEnd w:id="28"/>
    </w:p>
    <w:p w14:paraId="30874F16" w14:textId="77777777" w:rsidR="00AE7101" w:rsidRDefault="00AE7101" w:rsidP="00AE7101">
      <w:pPr>
        <w:spacing w:before="0"/>
        <w:textAlignment w:val="baseline"/>
      </w:pPr>
      <w:r w:rsidRPr="00387B0A">
        <w:t xml:space="preserve">Care should be taken in handling </w:t>
      </w:r>
      <w:r>
        <w:t>STRs</w:t>
      </w:r>
      <w:r w:rsidRPr="00387B0A">
        <w:t xml:space="preserve"> on loan to VA. Make all reasonable effort to protect the integrity, appearance, and readability of the service records.</w:t>
      </w:r>
    </w:p>
    <w:p w14:paraId="436EF3B3" w14:textId="77777777" w:rsidR="00AE7101" w:rsidRDefault="00AE7101" w:rsidP="00AE7101">
      <w:pPr>
        <w:spacing w:before="0"/>
        <w:textAlignment w:val="baseline"/>
      </w:pPr>
    </w:p>
    <w:p w14:paraId="3EAD9B1A" w14:textId="77777777" w:rsidR="00AE7101" w:rsidRDefault="00AE7101" w:rsidP="00AE7101">
      <w:pPr>
        <w:spacing w:before="0"/>
        <w:textAlignment w:val="baseline"/>
      </w:pPr>
      <w:r w:rsidRPr="00620CC2">
        <w:rPr>
          <w:b/>
        </w:rPr>
        <w:lastRenderedPageBreak/>
        <w:t>Avoid</w:t>
      </w:r>
      <w:r w:rsidRPr="00E33EDB">
        <w:t xml:space="preserve"> </w:t>
      </w:r>
    </w:p>
    <w:p w14:paraId="30413104" w14:textId="77777777" w:rsidR="00AE7101" w:rsidRPr="00AE7101" w:rsidRDefault="00AE7101" w:rsidP="00AE7101">
      <w:pPr>
        <w:overflowPunct/>
        <w:autoSpaceDE/>
        <w:autoSpaceDN/>
        <w:adjustRightInd/>
        <w:spacing w:after="120"/>
        <w:rPr>
          <w:szCs w:val="24"/>
        </w:rPr>
      </w:pPr>
      <w:r w:rsidRPr="00AE7101">
        <w:rPr>
          <w:szCs w:val="24"/>
        </w:rPr>
        <w:t>When handling STRs be sure to avoid:</w:t>
      </w:r>
    </w:p>
    <w:p w14:paraId="50023487" w14:textId="77777777" w:rsidR="00AE7101" w:rsidRPr="00AE7101" w:rsidRDefault="00AE7101" w:rsidP="00AE7101">
      <w:pPr>
        <w:pStyle w:val="ListParagraph"/>
        <w:numPr>
          <w:ilvl w:val="0"/>
          <w:numId w:val="30"/>
        </w:numPr>
        <w:spacing w:before="0"/>
        <w:textAlignment w:val="baseline"/>
      </w:pPr>
      <w:r w:rsidRPr="00AE7101">
        <w:t>Marking on, date stamping, or punching holes in any records received from the service department</w:t>
      </w:r>
    </w:p>
    <w:p w14:paraId="785BE6A3" w14:textId="5BAEB201" w:rsidR="00AE7101" w:rsidRDefault="00AE7101" w:rsidP="00AE7101">
      <w:pPr>
        <w:pStyle w:val="ListParagraph"/>
        <w:numPr>
          <w:ilvl w:val="0"/>
          <w:numId w:val="30"/>
        </w:numPr>
        <w:spacing w:before="0"/>
        <w:textAlignment w:val="baseline"/>
      </w:pPr>
      <w:r w:rsidRPr="00AE7101">
        <w:t>Removing STRs from the STR folder unless necessary for photocopying, if hardcopy STRs are received</w:t>
      </w:r>
      <w:r>
        <w:t>.</w:t>
      </w:r>
    </w:p>
    <w:p w14:paraId="16A1E3D9" w14:textId="77777777" w:rsidR="00AE7101" w:rsidRDefault="00AE7101" w:rsidP="00AE7101">
      <w:pPr>
        <w:spacing w:before="0"/>
        <w:textAlignment w:val="baseline"/>
      </w:pPr>
    </w:p>
    <w:p w14:paraId="65485C85" w14:textId="3E550142" w:rsidR="00AE7101" w:rsidRDefault="00AE7101" w:rsidP="00AE7101">
      <w:pPr>
        <w:spacing w:before="0"/>
        <w:textAlignment w:val="baseline"/>
        <w:rPr>
          <w:b/>
        </w:rPr>
      </w:pPr>
      <w:r w:rsidRPr="00620CC2">
        <w:rPr>
          <w:b/>
        </w:rPr>
        <w:t>Exceptions</w:t>
      </w:r>
    </w:p>
    <w:p w14:paraId="6F5892F9" w14:textId="77777777" w:rsidR="00AE7101" w:rsidRPr="00AE7101" w:rsidRDefault="00AE7101" w:rsidP="00AE7101">
      <w:pPr>
        <w:spacing w:after="120"/>
        <w:textAlignment w:val="baseline"/>
      </w:pPr>
      <w:r w:rsidRPr="00AE7101">
        <w:t>The following exceptions can be made:</w:t>
      </w:r>
    </w:p>
    <w:p w14:paraId="340B53EB" w14:textId="77777777" w:rsidR="00AE7101" w:rsidRPr="00AE7101" w:rsidRDefault="00AE7101" w:rsidP="00AE7101">
      <w:pPr>
        <w:pStyle w:val="ListParagraph"/>
        <w:numPr>
          <w:ilvl w:val="0"/>
          <w:numId w:val="31"/>
        </w:numPr>
        <w:spacing w:before="0"/>
        <w:textAlignment w:val="baseline"/>
      </w:pPr>
      <w:r w:rsidRPr="00AE7101">
        <w:t xml:space="preserve">DD Forms 214 which may accompany STRs may be stamped or annotated to reflect verification of service </w:t>
      </w:r>
    </w:p>
    <w:p w14:paraId="5E1E03BC" w14:textId="319F22C8" w:rsidR="00AE7101" w:rsidRDefault="00AE7101" w:rsidP="00AE7101">
      <w:pPr>
        <w:pStyle w:val="ListParagraph"/>
        <w:numPr>
          <w:ilvl w:val="0"/>
          <w:numId w:val="31"/>
        </w:numPr>
        <w:spacing w:before="0"/>
        <w:textAlignment w:val="baseline"/>
      </w:pPr>
      <w:r w:rsidRPr="00AE7101">
        <w:t>Protective envelopes may be punched or date stamped as long as the contents are not affected, if hardcopy STRs are received</w:t>
      </w:r>
    </w:p>
    <w:p w14:paraId="7804532F" w14:textId="77777777" w:rsidR="00AE7101" w:rsidRDefault="00AE7101" w:rsidP="00AE7101">
      <w:pPr>
        <w:spacing w:before="0"/>
        <w:textAlignment w:val="baseline"/>
      </w:pPr>
    </w:p>
    <w:p w14:paraId="7681D137" w14:textId="54D5E8D1" w:rsidR="00AE7101" w:rsidRDefault="00AE7101" w:rsidP="00435649">
      <w:pPr>
        <w:spacing w:before="0" w:after="120"/>
        <w:textAlignment w:val="baseline"/>
        <w:rPr>
          <w:b/>
        </w:rPr>
      </w:pPr>
      <w:r w:rsidRPr="00620CC2">
        <w:rPr>
          <w:b/>
        </w:rPr>
        <w:t>Maintain STRs</w:t>
      </w:r>
    </w:p>
    <w:p w14:paraId="2D517CAF" w14:textId="7E3AE68E" w:rsidR="00AE7101" w:rsidRDefault="00AE7101" w:rsidP="00AE7101">
      <w:pPr>
        <w:spacing w:before="0"/>
        <w:textAlignment w:val="baseline"/>
      </w:pPr>
      <w:r w:rsidRPr="00387B0A">
        <w:t>STRs are critical for deciding most claims for service-connected benefits. Exercise care to preserve and protect these documents against damage or loss.</w:t>
      </w:r>
    </w:p>
    <w:p w14:paraId="34ABCAA1" w14:textId="77777777" w:rsidR="00AE7101" w:rsidRDefault="00AE7101" w:rsidP="00AE7101">
      <w:pPr>
        <w:spacing w:before="0"/>
        <w:textAlignment w:val="baseline"/>
      </w:pPr>
    </w:p>
    <w:p w14:paraId="3D894267" w14:textId="6A09BDC9" w:rsidR="00AE7101" w:rsidRDefault="00AE7101" w:rsidP="00AE7101">
      <w:pPr>
        <w:spacing w:before="0"/>
        <w:textAlignment w:val="baseline"/>
      </w:pPr>
      <w:r w:rsidRPr="00AE7101">
        <w:rPr>
          <w:b/>
          <w:i/>
        </w:rPr>
        <w:t>Note</w:t>
      </w:r>
      <w:r>
        <w:t>:</w:t>
      </w:r>
      <w:r w:rsidRPr="00AE7101">
        <w:rPr>
          <w:szCs w:val="24"/>
        </w:rPr>
        <w:t xml:space="preserve"> </w:t>
      </w:r>
      <w:r w:rsidRPr="00387B0A">
        <w:rPr>
          <w:szCs w:val="24"/>
        </w:rPr>
        <w:t xml:space="preserve">STRs belong to the respective service departments and are on loan to VA. The STRs are subject to recall by </w:t>
      </w:r>
      <w:r>
        <w:rPr>
          <w:szCs w:val="24"/>
        </w:rPr>
        <w:t>the</w:t>
      </w:r>
      <w:r w:rsidRPr="00387B0A">
        <w:rPr>
          <w:szCs w:val="24"/>
        </w:rPr>
        <w:t xml:space="preserve"> service department. Various issues may prompt a recall of STRs, including a Veteran returning to active service.</w:t>
      </w:r>
    </w:p>
    <w:p w14:paraId="1BA2BAC5" w14:textId="77777777" w:rsidR="005175F0" w:rsidRDefault="005175F0" w:rsidP="005175F0"/>
    <w:p w14:paraId="1BA2BAC6" w14:textId="77777777" w:rsidR="007A5600" w:rsidRDefault="007A5600">
      <w:pPr>
        <w:jc w:val="center"/>
      </w:pPr>
    </w:p>
    <w:sectPr w:rsidR="007A560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4983F" w14:textId="77777777" w:rsidR="00EE3197" w:rsidRDefault="00EE3197">
      <w:pPr>
        <w:spacing w:before="0"/>
      </w:pPr>
      <w:r>
        <w:separator/>
      </w:r>
    </w:p>
  </w:endnote>
  <w:endnote w:type="continuationSeparator" w:id="0">
    <w:p w14:paraId="627586B7" w14:textId="77777777" w:rsidR="00EE3197" w:rsidRDefault="00EE31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BACB" w14:textId="458C34F7" w:rsidR="00AA1A39" w:rsidRDefault="002D721E">
    <w:pPr>
      <w:pStyle w:val="VBAFooter"/>
    </w:pPr>
    <w:r>
      <w:t>October 2017</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5C1D18">
      <w:rPr>
        <w:noProof/>
      </w:rPr>
      <w:t>1</w:t>
    </w:r>
    <w:r w:rsidR="00AA1A39">
      <w:fldChar w:fldCharType="end"/>
    </w:r>
  </w:p>
  <w:p w14:paraId="1BA2BACC"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6CCAF" w14:textId="77777777" w:rsidR="00EE3197" w:rsidRDefault="00EE3197">
      <w:pPr>
        <w:spacing w:before="0"/>
      </w:pPr>
      <w:r>
        <w:separator/>
      </w:r>
    </w:p>
  </w:footnote>
  <w:footnote w:type="continuationSeparator" w:id="0">
    <w:p w14:paraId="56B9F1A7" w14:textId="77777777" w:rsidR="00EE3197" w:rsidRDefault="00EE319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5074"/>
    <w:multiLevelType w:val="hybridMultilevel"/>
    <w:tmpl w:val="54F82FA4"/>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14A40275"/>
    <w:multiLevelType w:val="hybridMultilevel"/>
    <w:tmpl w:val="DCDA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D39A8"/>
    <w:multiLevelType w:val="hybridMultilevel"/>
    <w:tmpl w:val="686C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723D6"/>
    <w:multiLevelType w:val="hybridMultilevel"/>
    <w:tmpl w:val="26C8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BA0136"/>
    <w:multiLevelType w:val="multilevel"/>
    <w:tmpl w:val="4C4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62476"/>
    <w:multiLevelType w:val="hybridMultilevel"/>
    <w:tmpl w:val="0088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45A32"/>
    <w:multiLevelType w:val="hybridMultilevel"/>
    <w:tmpl w:val="CDF8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DB624FE"/>
    <w:multiLevelType w:val="hybridMultilevel"/>
    <w:tmpl w:val="C3CE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9">
    <w:nsid w:val="410523F6"/>
    <w:multiLevelType w:val="hybridMultilevel"/>
    <w:tmpl w:val="BEE6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919AA"/>
    <w:multiLevelType w:val="hybridMultilevel"/>
    <w:tmpl w:val="931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F363B"/>
    <w:multiLevelType w:val="hybridMultilevel"/>
    <w:tmpl w:val="80C6B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F7455F"/>
    <w:multiLevelType w:val="hybridMultilevel"/>
    <w:tmpl w:val="11B6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44796"/>
    <w:multiLevelType w:val="hybridMultilevel"/>
    <w:tmpl w:val="FA76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05E8E"/>
    <w:multiLevelType w:val="hybridMultilevel"/>
    <w:tmpl w:val="4A8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7576E"/>
    <w:multiLevelType w:val="multilevel"/>
    <w:tmpl w:val="ABA0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A7678F"/>
    <w:multiLevelType w:val="hybridMultilevel"/>
    <w:tmpl w:val="5524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18"/>
  </w:num>
  <w:num w:numId="4">
    <w:abstractNumId w:val="15"/>
  </w:num>
  <w:num w:numId="5">
    <w:abstractNumId w:val="25"/>
  </w:num>
  <w:num w:numId="6">
    <w:abstractNumId w:val="3"/>
  </w:num>
  <w:num w:numId="7">
    <w:abstractNumId w:val="10"/>
  </w:num>
  <w:num w:numId="8">
    <w:abstractNumId w:val="27"/>
  </w:num>
  <w:num w:numId="9">
    <w:abstractNumId w:val="16"/>
  </w:num>
  <w:num w:numId="10">
    <w:abstractNumId w:val="2"/>
  </w:num>
  <w:num w:numId="11">
    <w:abstractNumId w:val="13"/>
  </w:num>
  <w:num w:numId="12">
    <w:abstractNumId w:val="31"/>
  </w:num>
  <w:num w:numId="13">
    <w:abstractNumId w:val="0"/>
  </w:num>
  <w:num w:numId="14">
    <w:abstractNumId w:val="24"/>
  </w:num>
  <w:num w:numId="15">
    <w:abstractNumId w:val="14"/>
  </w:num>
  <w:num w:numId="16">
    <w:abstractNumId w:val="6"/>
  </w:num>
  <w:num w:numId="17">
    <w:abstractNumId w:val="26"/>
  </w:num>
  <w:num w:numId="18">
    <w:abstractNumId w:val="21"/>
  </w:num>
  <w:num w:numId="19">
    <w:abstractNumId w:val="5"/>
  </w:num>
  <w:num w:numId="20">
    <w:abstractNumId w:val="1"/>
  </w:num>
  <w:num w:numId="21">
    <w:abstractNumId w:val="23"/>
  </w:num>
  <w:num w:numId="22">
    <w:abstractNumId w:val="30"/>
  </w:num>
  <w:num w:numId="23">
    <w:abstractNumId w:val="20"/>
  </w:num>
  <w:num w:numId="24">
    <w:abstractNumId w:val="7"/>
  </w:num>
  <w:num w:numId="25">
    <w:abstractNumId w:val="11"/>
  </w:num>
  <w:num w:numId="26">
    <w:abstractNumId w:val="4"/>
  </w:num>
  <w:num w:numId="27">
    <w:abstractNumId w:val="8"/>
  </w:num>
  <w:num w:numId="28">
    <w:abstractNumId w:val="28"/>
  </w:num>
  <w:num w:numId="29">
    <w:abstractNumId w:val="9"/>
  </w:num>
  <w:num w:numId="30">
    <w:abstractNumId w:val="22"/>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A3A4D"/>
    <w:rsid w:val="000B44D3"/>
    <w:rsid w:val="000C51EF"/>
    <w:rsid w:val="000E3279"/>
    <w:rsid w:val="000E3D13"/>
    <w:rsid w:val="000E7BBA"/>
    <w:rsid w:val="001026F8"/>
    <w:rsid w:val="001948B1"/>
    <w:rsid w:val="001C38D3"/>
    <w:rsid w:val="00244857"/>
    <w:rsid w:val="002D721E"/>
    <w:rsid w:val="00335191"/>
    <w:rsid w:val="00375E4E"/>
    <w:rsid w:val="00381CB5"/>
    <w:rsid w:val="003B11BD"/>
    <w:rsid w:val="003C3F7E"/>
    <w:rsid w:val="003F7729"/>
    <w:rsid w:val="00435649"/>
    <w:rsid w:val="004E5625"/>
    <w:rsid w:val="00515FCF"/>
    <w:rsid w:val="005175F0"/>
    <w:rsid w:val="0052286D"/>
    <w:rsid w:val="005361DF"/>
    <w:rsid w:val="0059633D"/>
    <w:rsid w:val="005C1D18"/>
    <w:rsid w:val="005E6CC5"/>
    <w:rsid w:val="0063407B"/>
    <w:rsid w:val="00672981"/>
    <w:rsid w:val="006B0C0F"/>
    <w:rsid w:val="006E75C1"/>
    <w:rsid w:val="00732D23"/>
    <w:rsid w:val="007A5600"/>
    <w:rsid w:val="00827A78"/>
    <w:rsid w:val="008B43B9"/>
    <w:rsid w:val="008C0B7A"/>
    <w:rsid w:val="00905A84"/>
    <w:rsid w:val="00975461"/>
    <w:rsid w:val="009A671D"/>
    <w:rsid w:val="00A020E4"/>
    <w:rsid w:val="00A034C8"/>
    <w:rsid w:val="00A26F18"/>
    <w:rsid w:val="00A440DD"/>
    <w:rsid w:val="00A776E8"/>
    <w:rsid w:val="00AA1A39"/>
    <w:rsid w:val="00AC504D"/>
    <w:rsid w:val="00AE7101"/>
    <w:rsid w:val="00AF44C7"/>
    <w:rsid w:val="00B11B27"/>
    <w:rsid w:val="00B96DD6"/>
    <w:rsid w:val="00BD181F"/>
    <w:rsid w:val="00C00DFE"/>
    <w:rsid w:val="00C379C0"/>
    <w:rsid w:val="00C7114B"/>
    <w:rsid w:val="00D0155F"/>
    <w:rsid w:val="00D05745"/>
    <w:rsid w:val="00D90DC8"/>
    <w:rsid w:val="00DA38DE"/>
    <w:rsid w:val="00E33EDB"/>
    <w:rsid w:val="00E35C8B"/>
    <w:rsid w:val="00E45692"/>
    <w:rsid w:val="00E64398"/>
    <w:rsid w:val="00EC4154"/>
    <w:rsid w:val="00EE3197"/>
    <w:rsid w:val="00EE3CDF"/>
    <w:rsid w:val="00F04839"/>
    <w:rsid w:val="00F47561"/>
    <w:rsid w:val="00F63007"/>
    <w:rsid w:val="00F86C93"/>
    <w:rsid w:val="00FD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BA2BA6E"/>
  <w15:docId w15:val="{EA641770-6F19-436E-9847-DB18531B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rsid w:val="00381CB5"/>
    <w:pPr>
      <w:widowControl w:val="0"/>
      <w:spacing w:after="120"/>
      <w:textAlignment w:val="baseline"/>
    </w:pPr>
  </w:style>
  <w:style w:type="character" w:customStyle="1" w:styleId="BodyTextChar">
    <w:name w:val="Body Text Char"/>
    <w:basedOn w:val="DefaultParagraphFont"/>
    <w:link w:val="BodyText"/>
    <w:rsid w:val="00381CB5"/>
    <w:rPr>
      <w:rFonts w:eastAsia="Times New Roman"/>
      <w:sz w:val="24"/>
    </w:rPr>
  </w:style>
  <w:style w:type="character" w:customStyle="1" w:styleId="VBAFirstLevelBulletChar">
    <w:name w:val="VBA First Level Bullet Char"/>
    <w:link w:val="VBAFirstLevelBullet"/>
    <w:rsid w:val="00381CB5"/>
    <w:rPr>
      <w:rFonts w:eastAsia="Times New Roman"/>
      <w:sz w:val="24"/>
    </w:rPr>
  </w:style>
  <w:style w:type="paragraph" w:styleId="ListParagraph">
    <w:name w:val="List Paragraph"/>
    <w:basedOn w:val="Normal"/>
    <w:uiPriority w:val="34"/>
    <w:qFormat/>
    <w:rsid w:val="00381CB5"/>
    <w:pPr>
      <w:ind w:left="720"/>
      <w:contextualSpacing/>
    </w:pPr>
  </w:style>
  <w:style w:type="paragraph" w:customStyle="1" w:styleId="VBALevel2Heading">
    <w:name w:val="VBA Level 2 Heading"/>
    <w:basedOn w:val="Normal"/>
    <w:uiPriority w:val="99"/>
    <w:qFormat/>
    <w:rsid w:val="00381CB5"/>
    <w:pPr>
      <w:textAlignment w:val="baseline"/>
    </w:pPr>
    <w:rPr>
      <w:b/>
      <w:color w:val="0070C0"/>
    </w:rPr>
  </w:style>
  <w:style w:type="paragraph" w:customStyle="1" w:styleId="VBALevel3Heading">
    <w:name w:val="VBA Level 3 Heading"/>
    <w:basedOn w:val="Normal"/>
    <w:qFormat/>
    <w:rsid w:val="00A776E8"/>
    <w:pPr>
      <w:textAlignment w:val="baseline"/>
    </w:pPr>
    <w:rPr>
      <w:color w:val="0070C0"/>
    </w:rPr>
  </w:style>
  <w:style w:type="paragraph" w:styleId="CommentSubject">
    <w:name w:val="annotation subject"/>
    <w:basedOn w:val="CommentText"/>
    <w:next w:val="CommentText"/>
    <w:link w:val="CommentSubjectChar"/>
    <w:uiPriority w:val="99"/>
    <w:semiHidden/>
    <w:unhideWhenUsed/>
    <w:rsid w:val="000E7BBA"/>
    <w:rPr>
      <w:b/>
      <w:bCs/>
      <w:sz w:val="20"/>
    </w:rPr>
  </w:style>
  <w:style w:type="character" w:customStyle="1" w:styleId="CommentTextChar1">
    <w:name w:val="Comment Text Char1"/>
    <w:basedOn w:val="DefaultParagraphFont"/>
    <w:link w:val="CommentText"/>
    <w:semiHidden/>
    <w:rsid w:val="000E7BBA"/>
    <w:rPr>
      <w:rFonts w:eastAsia="Times New Roman"/>
      <w:sz w:val="24"/>
    </w:rPr>
  </w:style>
  <w:style w:type="character" w:customStyle="1" w:styleId="CommentSubjectChar">
    <w:name w:val="Comment Subject Char"/>
    <w:basedOn w:val="CommentTextChar1"/>
    <w:link w:val="CommentSubject"/>
    <w:uiPriority w:val="99"/>
    <w:semiHidden/>
    <w:rsid w:val="000E7BBA"/>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ssologon.iam.va.gov/CentralLogin/Default.aspx?appname=core&amp;URL=https://ssologon.iam.va.gov/CentralLogin/core/redirect.aspx&amp;TYPE=33619969&amp;REALMOID=06-d403f59d-c057-477f-9c49-c0d2a2d13e2b&amp;GUID=&amp;SMAUTHREASON=0&amp;METHOD=GET&amp;SMAGENTNAME=$SM$Dc1iJnfj0EDnZgoGbQhY8pxQ5cSvKdwMq%2fM4NhznJAhElAp4fDXcFkTew7jYCcYk&amp;TARGET=$SM$HTTPS%3a%2f%2fvaww%2ecompensation%2epension%2ekm%2eva%2egov%2fsystem%2ftemplates%2fselfservice%2fva_ka%2fportal%2ehtml%3fportalid%3d554400000001034" TargetMode="External"/><Relationship Id="rId17" Type="http://schemas.openxmlformats.org/officeDocument/2006/relationships/hyperlink" Target="http://epss.vba.va.gov/mep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156/"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health.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132/M21-1-Part-III-Subpart-ii-Chapter-4-Section-G-Folder-Maintenance?articleViewContext=article_view_browse_tree&amp;isFeatured=undefined&amp;topic=undefined"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RO317-1898204668-506</_dlc_DocId>
    <_dlc_DocIdUrl xmlns="b62c6c12-24c5-4d47-ac4d-c5cc93bcdf7b">
      <Url>https://vaww.vashare.vba.va.gov/sites/SPTNCIO/focusedveterans/training/VSR2/_layouts/DocIdRedir.aspx?ID=RO317-1898204668-506</Url>
      <Description>RO317-1898204668-506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4C2710D9C3904198C80D8B076BDC9C" ma:contentTypeVersion="2" ma:contentTypeDescription="Create a new document." ma:contentTypeScope="" ma:versionID="55af0da30dc7f7c4739af113fd4907d6">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CFD22-E723-484A-A814-7851E5852BD9}">
  <ds:schemaRefs>
    <ds:schemaRef ds:uri="http://schemas.microsoft.com/sharepoint/events"/>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0FB0AED9-7A5F-46EC-B3C6-7BE2F6AFC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CA9D6D-F227-46F3-A292-0E428DAC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15</TotalTime>
  <Pages>1</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Review of Service Treatment Records (STRs) for Benefits Delivery at Discharge (BDD) Handout</vt:lpstr>
    </vt:vector>
  </TitlesOfParts>
  <Company>Veterans Benefits Administration</Company>
  <LinksUpToDate>false</LinksUpToDate>
  <CharactersWithSpaces>11910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Service Treatment Records (STRs) for Benefits Delivery at Discharge (BDD) Handout</dc:title>
  <dc:subject>VSR, IDES MSC</dc:subject>
  <dc:creator>Department of Veterans Affairs, Veterans Benefits Administration, Compensation Service, STAFF</dc:creator>
  <cp:keywords>BDD, Pre-Discharge, Service Treatment Records, STR,</cp:keywords>
  <dc:description>This lesson teaches the MSC employee how to efficiently review STRs in order to find the information required to develop a claim.</dc:description>
  <cp:lastModifiedBy>Poole, Kathleen</cp:lastModifiedBy>
  <cp:revision>11</cp:revision>
  <cp:lastPrinted>2017-10-24T13:16:00Z</cp:lastPrinted>
  <dcterms:created xsi:type="dcterms:W3CDTF">2017-10-10T20:57:00Z</dcterms:created>
  <dcterms:modified xsi:type="dcterms:W3CDTF">2017-10-24T13:16:00Z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0x010100CB4C2710D9C3904198C80D8B076BDC9C</vt:lpwstr>
  </property>
  <property fmtid="{D5CDD505-2E9C-101B-9397-08002B2CF9AE}" pid="3" name="Language">
    <vt:lpwstr>en</vt:lpwstr>
  </property>
  <property fmtid="{D5CDD505-2E9C-101B-9397-08002B2CF9AE}" pid="4" name="Type">
    <vt:lpwstr>Guide</vt:lpwstr>
  </property>
  <property fmtid="{D5CDD505-2E9C-101B-9397-08002B2CF9AE}" pid="5" name="_dlc_DocIdItemGuid">
    <vt:lpwstr>64c2d38f-4c98-4996-b6ae-9d01db94fece</vt:lpwstr>
  </property>
</Properties>
</file>