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80724" w14:textId="77777777" w:rsidR="007A5600" w:rsidRPr="00FF73F1" w:rsidRDefault="002D5962">
      <w:pPr>
        <w:pStyle w:val="VBALessonPlanName"/>
        <w:rPr>
          <w:color w:val="auto"/>
        </w:rPr>
      </w:pPr>
      <w:bookmarkStart w:id="0" w:name="_GoBack"/>
      <w:bookmarkEnd w:id="0"/>
      <w:r w:rsidRPr="00FF73F1">
        <w:rPr>
          <w:color w:val="auto"/>
        </w:rPr>
        <w:t>Rating Digestive Conditions (Post Challenge)</w:t>
      </w:r>
    </w:p>
    <w:p w14:paraId="6A080725" w14:textId="77777777" w:rsidR="007A5600" w:rsidRPr="00FF73F1" w:rsidRDefault="007A5600">
      <w:pPr>
        <w:pStyle w:val="VBALessonPlanTitle"/>
        <w:rPr>
          <w:color w:val="auto"/>
        </w:rPr>
      </w:pPr>
      <w:bookmarkStart w:id="1" w:name="_Toc276556863"/>
      <w:r w:rsidRPr="00FF73F1">
        <w:rPr>
          <w:color w:val="auto"/>
        </w:rPr>
        <w:t>Trainee Handout</w:t>
      </w:r>
      <w:bookmarkEnd w:id="1"/>
    </w:p>
    <w:p w14:paraId="6A080726" w14:textId="77777777" w:rsidR="007A5600" w:rsidRPr="00FF73F1" w:rsidRDefault="007A5600">
      <w:pPr>
        <w:pStyle w:val="VBATopicHeading1"/>
      </w:pPr>
      <w:bookmarkStart w:id="2" w:name="_Toc276556864"/>
    </w:p>
    <w:p w14:paraId="6A080727" w14:textId="77777777" w:rsidR="007A5600" w:rsidRPr="00FF73F1" w:rsidRDefault="007A5600">
      <w:pPr>
        <w:jc w:val="center"/>
        <w:textAlignment w:val="baseline"/>
        <w:rPr>
          <w:rFonts w:ascii="Times New Roman Bold" w:hAnsi="Times New Roman Bold"/>
          <w:b/>
          <w:sz w:val="28"/>
          <w:szCs w:val="28"/>
        </w:rPr>
      </w:pPr>
      <w:r w:rsidRPr="00FF73F1">
        <w:rPr>
          <w:rFonts w:ascii="Times New Roman Bold" w:hAnsi="Times New Roman Bold"/>
          <w:b/>
          <w:sz w:val="28"/>
          <w:szCs w:val="28"/>
        </w:rPr>
        <w:t>Table of Contents</w:t>
      </w:r>
      <w:bookmarkEnd w:id="2"/>
    </w:p>
    <w:p w14:paraId="6A080728" w14:textId="77777777" w:rsidR="007A5600" w:rsidRPr="00FF73F1" w:rsidRDefault="007A5600"/>
    <w:p w14:paraId="7494F399" w14:textId="7B995C45" w:rsidR="00FF73F1" w:rsidRPr="00FF73F1" w:rsidRDefault="007A5600">
      <w:pPr>
        <w:pStyle w:val="TOC1"/>
        <w:rPr>
          <w:rFonts w:asciiTheme="minorHAnsi" w:eastAsiaTheme="minorEastAsia" w:hAnsiTheme="minorHAnsi" w:cstheme="minorBidi"/>
          <w:sz w:val="22"/>
        </w:rPr>
      </w:pPr>
      <w:r w:rsidRPr="00FF73F1">
        <w:rPr>
          <w:rStyle w:val="Hyperlink"/>
          <w:color w:val="auto"/>
          <w:szCs w:val="24"/>
        </w:rPr>
        <w:fldChar w:fldCharType="begin"/>
      </w:r>
      <w:r w:rsidRPr="00FF73F1">
        <w:rPr>
          <w:rStyle w:val="Hyperlink"/>
          <w:color w:val="auto"/>
          <w:szCs w:val="24"/>
        </w:rPr>
        <w:instrText xml:space="preserve"> TOC \o "1-1" \h \z \u </w:instrText>
      </w:r>
      <w:r w:rsidRPr="00FF73F1">
        <w:rPr>
          <w:rStyle w:val="Hyperlink"/>
          <w:color w:val="auto"/>
          <w:szCs w:val="24"/>
        </w:rPr>
        <w:fldChar w:fldCharType="separate"/>
      </w:r>
      <w:hyperlink w:anchor="_Toc445454402" w:history="1">
        <w:r w:rsidR="00FF73F1" w:rsidRPr="00FF73F1">
          <w:rPr>
            <w:rStyle w:val="Hyperlink"/>
            <w:color w:val="auto"/>
          </w:rPr>
          <w:t>Objectives</w:t>
        </w:r>
        <w:r w:rsidR="00FF73F1" w:rsidRPr="00FF73F1">
          <w:rPr>
            <w:webHidden/>
          </w:rPr>
          <w:tab/>
          <w:t>2</w:t>
        </w:r>
      </w:hyperlink>
    </w:p>
    <w:p w14:paraId="11521FBC" w14:textId="47C460D1" w:rsidR="00FF73F1" w:rsidRPr="00FF73F1" w:rsidRDefault="008205F5">
      <w:pPr>
        <w:pStyle w:val="TOC1"/>
        <w:rPr>
          <w:rFonts w:asciiTheme="minorHAnsi" w:eastAsiaTheme="minorEastAsia" w:hAnsiTheme="minorHAnsi" w:cstheme="minorBidi"/>
          <w:sz w:val="22"/>
        </w:rPr>
      </w:pPr>
      <w:hyperlink w:anchor="_Toc445454403" w:history="1">
        <w:r w:rsidR="00FF73F1" w:rsidRPr="00FF73F1">
          <w:rPr>
            <w:rStyle w:val="Hyperlink"/>
            <w:color w:val="auto"/>
          </w:rPr>
          <w:t>References</w:t>
        </w:r>
        <w:r w:rsidR="00FF73F1" w:rsidRPr="00FF73F1">
          <w:rPr>
            <w:webHidden/>
          </w:rPr>
          <w:tab/>
          <w:t>3</w:t>
        </w:r>
      </w:hyperlink>
    </w:p>
    <w:p w14:paraId="4CC979DF" w14:textId="32DA76CC" w:rsidR="00FF73F1" w:rsidRPr="00FF73F1" w:rsidRDefault="008205F5">
      <w:pPr>
        <w:pStyle w:val="TOC1"/>
        <w:rPr>
          <w:rFonts w:asciiTheme="minorHAnsi" w:eastAsiaTheme="minorEastAsia" w:hAnsiTheme="minorHAnsi" w:cstheme="minorBidi"/>
          <w:sz w:val="22"/>
        </w:rPr>
      </w:pPr>
      <w:hyperlink w:anchor="_Toc445454413" w:history="1">
        <w:r w:rsidR="00FF73F1" w:rsidRPr="00FF73F1">
          <w:rPr>
            <w:rStyle w:val="Hyperlink"/>
            <w:color w:val="auto"/>
          </w:rPr>
          <w:t>Topic 1: Regulations</w:t>
        </w:r>
        <w:r w:rsidR="00FF73F1" w:rsidRPr="00FF73F1">
          <w:rPr>
            <w:webHidden/>
          </w:rPr>
          <w:tab/>
          <w:t>4</w:t>
        </w:r>
      </w:hyperlink>
    </w:p>
    <w:p w14:paraId="6855422A" w14:textId="5185D0AC" w:rsidR="00FF73F1" w:rsidRPr="00FF73F1" w:rsidRDefault="008205F5">
      <w:pPr>
        <w:pStyle w:val="TOC1"/>
        <w:rPr>
          <w:rFonts w:asciiTheme="minorHAnsi" w:eastAsiaTheme="minorEastAsia" w:hAnsiTheme="minorHAnsi" w:cstheme="minorBidi"/>
          <w:sz w:val="22"/>
        </w:rPr>
      </w:pPr>
      <w:hyperlink w:anchor="_Toc445454414" w:history="1">
        <w:r w:rsidR="00FF73F1" w:rsidRPr="00FF73F1">
          <w:rPr>
            <w:rStyle w:val="Hyperlink"/>
            <w:color w:val="auto"/>
          </w:rPr>
          <w:t>Topic 2: Digestive Conditions and SW Asia Veterans</w:t>
        </w:r>
        <w:r w:rsidR="00FF73F1" w:rsidRPr="00FF73F1">
          <w:rPr>
            <w:webHidden/>
          </w:rPr>
          <w:tab/>
          <w:t>6</w:t>
        </w:r>
      </w:hyperlink>
    </w:p>
    <w:p w14:paraId="29D84383" w14:textId="058E3F8B" w:rsidR="00FF73F1" w:rsidRPr="00FF73F1" w:rsidRDefault="008205F5">
      <w:pPr>
        <w:pStyle w:val="TOC1"/>
        <w:rPr>
          <w:rFonts w:asciiTheme="minorHAnsi" w:eastAsiaTheme="minorEastAsia" w:hAnsiTheme="minorHAnsi" w:cstheme="minorBidi"/>
          <w:sz w:val="22"/>
        </w:rPr>
      </w:pPr>
      <w:hyperlink w:anchor="_Toc445454415" w:history="1">
        <w:r w:rsidR="00FF73F1" w:rsidRPr="00FF73F1">
          <w:rPr>
            <w:rStyle w:val="Hyperlink"/>
            <w:color w:val="auto"/>
          </w:rPr>
          <w:t>Topic 3: Hepatitis</w:t>
        </w:r>
        <w:r w:rsidR="00FF73F1" w:rsidRPr="00FF73F1">
          <w:rPr>
            <w:webHidden/>
          </w:rPr>
          <w:tab/>
          <w:t>8</w:t>
        </w:r>
      </w:hyperlink>
    </w:p>
    <w:p w14:paraId="68A2D4E6" w14:textId="29D47F9A" w:rsidR="00FF73F1" w:rsidRPr="00FF73F1" w:rsidRDefault="008205F5">
      <w:pPr>
        <w:pStyle w:val="TOC1"/>
        <w:rPr>
          <w:rFonts w:asciiTheme="minorHAnsi" w:eastAsiaTheme="minorEastAsia" w:hAnsiTheme="minorHAnsi" w:cstheme="minorBidi"/>
          <w:sz w:val="22"/>
        </w:rPr>
      </w:pPr>
      <w:hyperlink w:anchor="_Toc445454416" w:history="1">
        <w:r w:rsidR="00FF73F1" w:rsidRPr="00FF73F1">
          <w:rPr>
            <w:rStyle w:val="Hyperlink"/>
            <w:color w:val="auto"/>
          </w:rPr>
          <w:t>Practical Exercise</w:t>
        </w:r>
        <w:r w:rsidR="00FF73F1" w:rsidRPr="00FF73F1">
          <w:rPr>
            <w:webHidden/>
          </w:rPr>
          <w:tab/>
          <w:t>9</w:t>
        </w:r>
      </w:hyperlink>
    </w:p>
    <w:p w14:paraId="6A080731" w14:textId="77777777" w:rsidR="007A5600" w:rsidRPr="00FF73F1" w:rsidRDefault="007A5600">
      <w:pPr>
        <w:pStyle w:val="VBATopicHeading1"/>
        <w:rPr>
          <w:sz w:val="24"/>
        </w:rPr>
      </w:pPr>
      <w:r w:rsidRPr="00FF73F1">
        <w:rPr>
          <w:rStyle w:val="Hyperlink"/>
          <w:bCs/>
          <w:color w:val="auto"/>
          <w:szCs w:val="24"/>
        </w:rPr>
        <w:fldChar w:fldCharType="end"/>
      </w:r>
    </w:p>
    <w:p w14:paraId="6A080732" w14:textId="77777777" w:rsidR="007A5600" w:rsidRPr="00FF73F1" w:rsidRDefault="007A5600"/>
    <w:p w14:paraId="6A080733" w14:textId="77777777" w:rsidR="007A5600" w:rsidRPr="00FF73F1" w:rsidRDefault="007A5600"/>
    <w:p w14:paraId="6A080734" w14:textId="77777777" w:rsidR="007A5600" w:rsidRPr="00FF73F1" w:rsidRDefault="007A5600"/>
    <w:p w14:paraId="6A080735" w14:textId="77777777" w:rsidR="007A5600" w:rsidRPr="00FF73F1" w:rsidRDefault="007A5600"/>
    <w:p w14:paraId="6A080736" w14:textId="77777777" w:rsidR="007A5600" w:rsidRPr="00FF73F1" w:rsidRDefault="007A5600"/>
    <w:p w14:paraId="6A080737" w14:textId="77777777" w:rsidR="007A5600" w:rsidRPr="00FF73F1" w:rsidRDefault="007A5600"/>
    <w:p w14:paraId="6A080738" w14:textId="77777777" w:rsidR="007A5600" w:rsidRPr="00FF73F1" w:rsidRDefault="007A5600"/>
    <w:p w14:paraId="6A080739" w14:textId="77777777" w:rsidR="007A5600" w:rsidRPr="00FF73F1" w:rsidRDefault="007A5600"/>
    <w:p w14:paraId="6A08073A" w14:textId="77777777" w:rsidR="007A5600" w:rsidRPr="00FF73F1" w:rsidRDefault="007A5600">
      <w:pPr>
        <w:overflowPunct/>
        <w:autoSpaceDE/>
        <w:autoSpaceDN/>
        <w:adjustRightInd/>
        <w:spacing w:before="0"/>
      </w:pPr>
      <w:r w:rsidRPr="00FF73F1">
        <w:br w:type="page"/>
      </w:r>
    </w:p>
    <w:p w14:paraId="6A08073B" w14:textId="77777777" w:rsidR="007A5600" w:rsidRPr="00FF73F1" w:rsidRDefault="007A5600">
      <w:pPr>
        <w:pStyle w:val="VBATopicHeading1"/>
      </w:pPr>
      <w:bookmarkStart w:id="3" w:name="_Toc445454402"/>
      <w:bookmarkStart w:id="4" w:name="_Toc269888405"/>
      <w:bookmarkStart w:id="5" w:name="_Toc269888748"/>
      <w:bookmarkStart w:id="6" w:name="_Toc278291133"/>
      <w:r w:rsidRPr="00FF73F1">
        <w:lastRenderedPageBreak/>
        <w:t>Objectives</w:t>
      </w:r>
      <w:bookmarkEnd w:id="3"/>
    </w:p>
    <w:p w14:paraId="6A08073C" w14:textId="77777777" w:rsidR="000E3279" w:rsidRPr="00FF73F1" w:rsidRDefault="000E3279" w:rsidP="000E3279">
      <w:pPr>
        <w:pStyle w:val="VBATopicHeading1"/>
        <w:jc w:val="left"/>
        <w:rPr>
          <w:rFonts w:ascii="Times New Roman" w:hAnsi="Times New Roman"/>
          <w:b w:val="0"/>
          <w:smallCaps w:val="0"/>
          <w:sz w:val="24"/>
          <w:szCs w:val="20"/>
        </w:rPr>
      </w:pPr>
    </w:p>
    <w:p w14:paraId="6A08073D" w14:textId="77777777" w:rsidR="002D5962" w:rsidRPr="00FF73F1" w:rsidRDefault="002D5962" w:rsidP="002D5962">
      <w:pPr>
        <w:spacing w:after="240"/>
        <w:textAlignment w:val="baseline"/>
      </w:pPr>
      <w:r w:rsidRPr="00FF73F1">
        <w:t>In order to accomplish the purpose of this lesson, the RVSR will be required to accomplish the following lesson objectives.</w:t>
      </w:r>
    </w:p>
    <w:p w14:paraId="6A08073E" w14:textId="77777777" w:rsidR="002D5962" w:rsidRPr="00FF73F1" w:rsidRDefault="002D5962" w:rsidP="002D5962">
      <w:pPr>
        <w:spacing w:after="240"/>
        <w:textAlignment w:val="baseline"/>
      </w:pPr>
      <w:r w:rsidRPr="00FF73F1">
        <w:t>The</w:t>
      </w:r>
      <w:r w:rsidRPr="00FF73F1">
        <w:rPr>
          <w:b/>
        </w:rPr>
        <w:t xml:space="preserve"> </w:t>
      </w:r>
      <w:r w:rsidRPr="00FF73F1">
        <w:t>RVSR</w:t>
      </w:r>
      <w:r w:rsidRPr="00FF73F1">
        <w:rPr>
          <w:b/>
        </w:rPr>
        <w:t xml:space="preserve">  </w:t>
      </w:r>
      <w:r w:rsidRPr="00FF73F1">
        <w:t xml:space="preserve">will be able to:  </w:t>
      </w:r>
    </w:p>
    <w:p w14:paraId="6A08073F" w14:textId="77777777" w:rsidR="002D5962" w:rsidRPr="00FF73F1" w:rsidRDefault="002D5962" w:rsidP="002D5962">
      <w:pPr>
        <w:spacing w:before="0"/>
        <w:ind w:left="720" w:hanging="360"/>
        <w:textAlignment w:val="baseline"/>
      </w:pPr>
      <w:r w:rsidRPr="00FF73F1">
        <w:t>Recognize and utilize regulations pertaining to addressing claims for digestive system conditions</w:t>
      </w:r>
    </w:p>
    <w:p w14:paraId="6A080740" w14:textId="77777777" w:rsidR="002D5962" w:rsidRPr="00FF73F1" w:rsidRDefault="002D5962" w:rsidP="002D5962">
      <w:pPr>
        <w:spacing w:before="0"/>
        <w:ind w:left="720" w:hanging="360"/>
        <w:textAlignment w:val="baseline"/>
      </w:pPr>
      <w:r w:rsidRPr="00FF73F1">
        <w:t>Determine appropriate actions when considering claims involving Veterans with Gulf War service and exposure to environmental hazards</w:t>
      </w:r>
    </w:p>
    <w:p w14:paraId="6A080741" w14:textId="77777777" w:rsidR="002D5962" w:rsidRPr="00FF73F1" w:rsidRDefault="002D5962" w:rsidP="002D5962">
      <w:pPr>
        <w:spacing w:before="0"/>
        <w:ind w:left="720" w:hanging="360"/>
        <w:textAlignment w:val="baseline"/>
      </w:pPr>
      <w:r w:rsidRPr="00FF73F1">
        <w:t>Distinguish between the types of hepatitis and properly address how regulations apply to each type</w:t>
      </w:r>
    </w:p>
    <w:p w14:paraId="6A080742" w14:textId="77777777" w:rsidR="007A5600" w:rsidRPr="00FF73F1" w:rsidRDefault="007A5600" w:rsidP="000E3279">
      <w:pPr>
        <w:pStyle w:val="VBATopicHeading1"/>
      </w:pPr>
      <w:r w:rsidRPr="00FF73F1">
        <w:br w:type="page"/>
      </w:r>
      <w:bookmarkStart w:id="7" w:name="_Toc445454403"/>
      <w:r w:rsidRPr="00FF73F1">
        <w:lastRenderedPageBreak/>
        <w:t>References</w:t>
      </w:r>
      <w:bookmarkEnd w:id="7"/>
    </w:p>
    <w:p w14:paraId="6A080743" w14:textId="77777777" w:rsidR="002D5962" w:rsidRPr="00FF73F1" w:rsidRDefault="002D5962" w:rsidP="002D5962">
      <w:pPr>
        <w:pStyle w:val="VBATopicHeading1"/>
        <w:ind w:left="720"/>
        <w:jc w:val="left"/>
        <w:rPr>
          <w:b w:val="0"/>
          <w:sz w:val="24"/>
          <w:szCs w:val="24"/>
        </w:rPr>
      </w:pPr>
      <w:bookmarkStart w:id="8" w:name="_Toc445454404"/>
      <w:r w:rsidRPr="00FF73F1">
        <w:rPr>
          <w:b w:val="0"/>
          <w:sz w:val="24"/>
          <w:szCs w:val="24"/>
        </w:rPr>
        <w:t>•</w:t>
      </w:r>
      <w:r w:rsidRPr="00FF73F1">
        <w:rPr>
          <w:b w:val="0"/>
          <w:sz w:val="24"/>
          <w:szCs w:val="24"/>
        </w:rPr>
        <w:tab/>
        <w:t>38 CFR 4.110  Ulcers</w:t>
      </w:r>
      <w:bookmarkEnd w:id="8"/>
    </w:p>
    <w:p w14:paraId="6A080744" w14:textId="77777777" w:rsidR="002D5962" w:rsidRPr="00FF73F1" w:rsidRDefault="002D5962" w:rsidP="002D5962">
      <w:pPr>
        <w:pStyle w:val="VBATopicHeading1"/>
        <w:ind w:left="720"/>
        <w:jc w:val="left"/>
        <w:rPr>
          <w:b w:val="0"/>
          <w:sz w:val="24"/>
          <w:szCs w:val="24"/>
        </w:rPr>
      </w:pPr>
      <w:bookmarkStart w:id="9" w:name="_Toc445454405"/>
      <w:r w:rsidRPr="00FF73F1">
        <w:rPr>
          <w:b w:val="0"/>
          <w:sz w:val="24"/>
          <w:szCs w:val="24"/>
        </w:rPr>
        <w:t>•</w:t>
      </w:r>
      <w:r w:rsidRPr="00FF73F1">
        <w:rPr>
          <w:b w:val="0"/>
          <w:sz w:val="24"/>
          <w:szCs w:val="24"/>
        </w:rPr>
        <w:tab/>
        <w:t>38 CFR 4.111   Postgastrectomy syndromes</w:t>
      </w:r>
      <w:bookmarkEnd w:id="9"/>
    </w:p>
    <w:p w14:paraId="6A080745" w14:textId="77777777" w:rsidR="002D5962" w:rsidRPr="00FF73F1" w:rsidRDefault="002D5962" w:rsidP="002D5962">
      <w:pPr>
        <w:pStyle w:val="VBATopicHeading1"/>
        <w:ind w:left="720"/>
        <w:jc w:val="left"/>
        <w:rPr>
          <w:b w:val="0"/>
          <w:sz w:val="24"/>
          <w:szCs w:val="24"/>
        </w:rPr>
      </w:pPr>
      <w:bookmarkStart w:id="10" w:name="_Toc445454406"/>
      <w:r w:rsidRPr="00FF73F1">
        <w:rPr>
          <w:b w:val="0"/>
          <w:sz w:val="24"/>
          <w:szCs w:val="24"/>
        </w:rPr>
        <w:t>•</w:t>
      </w:r>
      <w:r w:rsidRPr="00FF73F1">
        <w:rPr>
          <w:b w:val="0"/>
          <w:sz w:val="24"/>
          <w:szCs w:val="24"/>
        </w:rPr>
        <w:tab/>
        <w:t>38 CFR 4.112   Weight loss</w:t>
      </w:r>
      <w:bookmarkEnd w:id="10"/>
    </w:p>
    <w:p w14:paraId="6A080746" w14:textId="77777777" w:rsidR="002D5962" w:rsidRPr="00FF73F1" w:rsidRDefault="002D5962" w:rsidP="002D5962">
      <w:pPr>
        <w:pStyle w:val="VBATopicHeading1"/>
        <w:ind w:left="720"/>
        <w:jc w:val="left"/>
        <w:rPr>
          <w:b w:val="0"/>
          <w:sz w:val="24"/>
          <w:szCs w:val="24"/>
        </w:rPr>
      </w:pPr>
      <w:bookmarkStart w:id="11" w:name="_Toc445454407"/>
      <w:r w:rsidRPr="00FF73F1">
        <w:rPr>
          <w:b w:val="0"/>
          <w:sz w:val="24"/>
          <w:szCs w:val="24"/>
        </w:rPr>
        <w:t>•</w:t>
      </w:r>
      <w:r w:rsidRPr="00FF73F1">
        <w:rPr>
          <w:b w:val="0"/>
          <w:sz w:val="24"/>
          <w:szCs w:val="24"/>
        </w:rPr>
        <w:tab/>
        <w:t>38 CFR 4.113   Coexisting abdominal conditions</w:t>
      </w:r>
      <w:bookmarkEnd w:id="11"/>
    </w:p>
    <w:p w14:paraId="6A080747" w14:textId="77777777" w:rsidR="002D5962" w:rsidRPr="00FF73F1" w:rsidRDefault="002D5962" w:rsidP="002D5962">
      <w:pPr>
        <w:pStyle w:val="VBATopicHeading1"/>
        <w:ind w:left="720"/>
        <w:jc w:val="left"/>
        <w:rPr>
          <w:b w:val="0"/>
          <w:sz w:val="24"/>
          <w:szCs w:val="24"/>
        </w:rPr>
      </w:pPr>
      <w:bookmarkStart w:id="12" w:name="_Toc445454408"/>
      <w:r w:rsidRPr="00FF73F1">
        <w:rPr>
          <w:b w:val="0"/>
          <w:sz w:val="24"/>
          <w:szCs w:val="24"/>
        </w:rPr>
        <w:t>•</w:t>
      </w:r>
      <w:r w:rsidRPr="00FF73F1">
        <w:rPr>
          <w:b w:val="0"/>
          <w:sz w:val="24"/>
          <w:szCs w:val="24"/>
        </w:rPr>
        <w:tab/>
        <w:t>38 CFR 4.114   Schedule of ratings—digestive system</w:t>
      </w:r>
      <w:bookmarkEnd w:id="12"/>
    </w:p>
    <w:p w14:paraId="6A080748" w14:textId="77777777" w:rsidR="002D5962" w:rsidRPr="00FF73F1" w:rsidRDefault="002D5962" w:rsidP="002D5962">
      <w:pPr>
        <w:pStyle w:val="VBATopicHeading1"/>
        <w:ind w:left="1440" w:hanging="720"/>
        <w:jc w:val="left"/>
        <w:rPr>
          <w:b w:val="0"/>
          <w:sz w:val="24"/>
          <w:szCs w:val="24"/>
        </w:rPr>
      </w:pPr>
      <w:bookmarkStart w:id="13" w:name="_Toc445454409"/>
      <w:r w:rsidRPr="00FF73F1">
        <w:rPr>
          <w:b w:val="0"/>
          <w:sz w:val="24"/>
          <w:szCs w:val="24"/>
        </w:rPr>
        <w:t>•</w:t>
      </w:r>
      <w:r w:rsidRPr="00FF73F1">
        <w:rPr>
          <w:b w:val="0"/>
          <w:sz w:val="24"/>
          <w:szCs w:val="24"/>
        </w:rPr>
        <w:tab/>
        <w:t>38 CFR 3.317   Compensation for certain disabilities occurring in Persian Gulf Veterans</w:t>
      </w:r>
      <w:bookmarkEnd w:id="13"/>
    </w:p>
    <w:p w14:paraId="6A080749" w14:textId="77777777" w:rsidR="002D5962" w:rsidRPr="00FF73F1" w:rsidRDefault="002D5962" w:rsidP="002D5962">
      <w:pPr>
        <w:pStyle w:val="VBATopicHeading1"/>
        <w:ind w:left="720"/>
        <w:jc w:val="left"/>
        <w:rPr>
          <w:b w:val="0"/>
          <w:sz w:val="24"/>
          <w:szCs w:val="24"/>
        </w:rPr>
      </w:pPr>
      <w:bookmarkStart w:id="14" w:name="_Toc445454410"/>
      <w:r w:rsidRPr="00FF73F1">
        <w:rPr>
          <w:b w:val="0"/>
          <w:sz w:val="24"/>
          <w:szCs w:val="24"/>
        </w:rPr>
        <w:t>•</w:t>
      </w:r>
      <w:r w:rsidRPr="00FF73F1">
        <w:rPr>
          <w:b w:val="0"/>
          <w:sz w:val="24"/>
          <w:szCs w:val="24"/>
        </w:rPr>
        <w:tab/>
        <w:t>M21-1, Part III, Subpart iv.4.I - Conditions of Other Body Systems</w:t>
      </w:r>
      <w:bookmarkEnd w:id="14"/>
      <w:r w:rsidRPr="00FF73F1">
        <w:rPr>
          <w:b w:val="0"/>
          <w:sz w:val="24"/>
          <w:szCs w:val="24"/>
        </w:rPr>
        <w:t xml:space="preserve"> </w:t>
      </w:r>
    </w:p>
    <w:p w14:paraId="6A08074A" w14:textId="77777777" w:rsidR="002D5962" w:rsidRPr="00FF73F1" w:rsidRDefault="002D5962" w:rsidP="002D5962">
      <w:pPr>
        <w:pStyle w:val="VBATopicHeading1"/>
        <w:ind w:left="1440" w:hanging="720"/>
        <w:jc w:val="left"/>
        <w:rPr>
          <w:b w:val="0"/>
          <w:sz w:val="24"/>
          <w:szCs w:val="24"/>
        </w:rPr>
      </w:pPr>
      <w:bookmarkStart w:id="15" w:name="_Toc445454411"/>
      <w:r w:rsidRPr="00FF73F1">
        <w:rPr>
          <w:b w:val="0"/>
          <w:sz w:val="24"/>
          <w:szCs w:val="24"/>
        </w:rPr>
        <w:t>•</w:t>
      </w:r>
      <w:r w:rsidRPr="00FF73F1">
        <w:rPr>
          <w:b w:val="0"/>
          <w:sz w:val="24"/>
          <w:szCs w:val="24"/>
        </w:rPr>
        <w:tab/>
        <w:t>M21-1, Part IV, Subpart ii.2.D - Service Connection (SC) for Qualifying Disabilities Associated with Service in Southwest Asia</w:t>
      </w:r>
      <w:bookmarkEnd w:id="15"/>
      <w:r w:rsidRPr="00FF73F1">
        <w:rPr>
          <w:b w:val="0"/>
          <w:sz w:val="24"/>
          <w:szCs w:val="24"/>
        </w:rPr>
        <w:t xml:space="preserve"> </w:t>
      </w:r>
    </w:p>
    <w:p w14:paraId="6A08074B" w14:textId="77777777" w:rsidR="00F86C93" w:rsidRPr="00FF73F1" w:rsidRDefault="002D5962" w:rsidP="002D5962">
      <w:pPr>
        <w:pStyle w:val="VBATopicHeading1"/>
        <w:ind w:left="1440" w:hanging="720"/>
        <w:jc w:val="left"/>
        <w:rPr>
          <w:b w:val="0"/>
          <w:sz w:val="24"/>
          <w:szCs w:val="24"/>
        </w:rPr>
      </w:pPr>
      <w:bookmarkStart w:id="16" w:name="_Toc445454412"/>
      <w:r w:rsidRPr="00FF73F1">
        <w:rPr>
          <w:b w:val="0"/>
          <w:sz w:val="24"/>
          <w:szCs w:val="24"/>
        </w:rPr>
        <w:t>•</w:t>
      </w:r>
      <w:r w:rsidRPr="00FF73F1">
        <w:rPr>
          <w:b w:val="0"/>
          <w:sz w:val="24"/>
          <w:szCs w:val="24"/>
        </w:rPr>
        <w:tab/>
        <w:t>M21-1, Part IV, Subpart ii.2.C - Service Connection (SC) for Disabilities Resulting From Exposure to Environmental Hazards or Service in the Republic of Vietnam (RVN)</w:t>
      </w:r>
      <w:bookmarkEnd w:id="16"/>
    </w:p>
    <w:p w14:paraId="6A08074C" w14:textId="77777777" w:rsidR="00F86C93" w:rsidRPr="00FF73F1" w:rsidRDefault="00F86C93" w:rsidP="00F86C93">
      <w:pPr>
        <w:ind w:left="360"/>
      </w:pPr>
    </w:p>
    <w:p w14:paraId="6A08074D" w14:textId="77777777" w:rsidR="007A5600" w:rsidRPr="00FF73F1"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6A08074E" w14:textId="77777777" w:rsidR="007A5600" w:rsidRPr="00FF73F1" w:rsidRDefault="007A5600"/>
    <w:p w14:paraId="6A08074F" w14:textId="77777777" w:rsidR="007A5600" w:rsidRPr="00FF73F1" w:rsidRDefault="007A5600"/>
    <w:p w14:paraId="6A080750" w14:textId="77777777" w:rsidR="007A5600" w:rsidRPr="00FF73F1" w:rsidRDefault="007A5600"/>
    <w:p w14:paraId="6A080751" w14:textId="77777777" w:rsidR="007A5600" w:rsidRPr="00FF73F1" w:rsidRDefault="007A5600"/>
    <w:p w14:paraId="6A080752" w14:textId="77777777" w:rsidR="007A5600" w:rsidRPr="00FF73F1" w:rsidRDefault="007A5600"/>
    <w:p w14:paraId="6A080753" w14:textId="77777777" w:rsidR="007A5600" w:rsidRPr="00FF73F1" w:rsidRDefault="007A5600"/>
    <w:p w14:paraId="6A080754" w14:textId="77777777" w:rsidR="007A5600" w:rsidRPr="00FF73F1" w:rsidRDefault="007A5600"/>
    <w:p w14:paraId="6A080755" w14:textId="77777777" w:rsidR="007A5600" w:rsidRPr="00FF73F1" w:rsidRDefault="007A5600"/>
    <w:p w14:paraId="6A080756" w14:textId="77777777" w:rsidR="007A5600" w:rsidRPr="00FF73F1" w:rsidRDefault="007A5600"/>
    <w:p w14:paraId="6A080757" w14:textId="77777777" w:rsidR="007A5600" w:rsidRPr="00FF73F1" w:rsidRDefault="007A5600"/>
    <w:p w14:paraId="6A080758" w14:textId="77777777" w:rsidR="007A5600" w:rsidRPr="00FF73F1" w:rsidRDefault="007A5600">
      <w:pPr>
        <w:overflowPunct/>
        <w:autoSpaceDE/>
        <w:autoSpaceDN/>
        <w:adjustRightInd/>
        <w:spacing w:before="0"/>
        <w:rPr>
          <w:rFonts w:ascii="Times New Roman Bold" w:hAnsi="Times New Roman Bold"/>
          <w:b/>
          <w:smallCaps/>
          <w:sz w:val="32"/>
          <w:szCs w:val="32"/>
        </w:rPr>
      </w:pPr>
      <w:r w:rsidRPr="00FF73F1">
        <w:br w:type="page"/>
      </w:r>
    </w:p>
    <w:p w14:paraId="6A080759" w14:textId="77777777" w:rsidR="00AA1A39" w:rsidRPr="00FF73F1" w:rsidRDefault="007A5600" w:rsidP="00D90DC8">
      <w:pPr>
        <w:pStyle w:val="VBATopicHeading1"/>
        <w:rPr>
          <w:bCs/>
          <w:i/>
        </w:rPr>
      </w:pPr>
      <w:bookmarkStart w:id="17" w:name="_Toc445454413"/>
      <w:r w:rsidRPr="00FF73F1">
        <w:lastRenderedPageBreak/>
        <w:t xml:space="preserve">Topic 1: </w:t>
      </w:r>
      <w:r w:rsidR="002D5962" w:rsidRPr="00FF73F1">
        <w:t>Regulations</w:t>
      </w:r>
      <w:bookmarkEnd w:id="17"/>
    </w:p>
    <w:p w14:paraId="6A08075A" w14:textId="77777777" w:rsidR="00975461" w:rsidRPr="00FF73F1" w:rsidRDefault="00975461">
      <w:pPr>
        <w:pStyle w:val="VBASubHeading1"/>
        <w:spacing w:before="0"/>
        <w:rPr>
          <w:bCs/>
          <w:i w:val="0"/>
        </w:rPr>
      </w:pPr>
    </w:p>
    <w:p w14:paraId="6A08075B" w14:textId="77777777" w:rsidR="00975461" w:rsidRPr="00FF73F1" w:rsidRDefault="00975461">
      <w:pPr>
        <w:pStyle w:val="VBASubHeading1"/>
        <w:spacing w:before="0"/>
        <w:rPr>
          <w:bCs/>
          <w:i w:val="0"/>
        </w:rPr>
      </w:pPr>
    </w:p>
    <w:p w14:paraId="6A08075C" w14:textId="77777777" w:rsidR="00AA1A39" w:rsidRPr="00FF73F1" w:rsidRDefault="002D5962">
      <w:pPr>
        <w:pStyle w:val="VBASubHeading1"/>
        <w:spacing w:before="0"/>
        <w:rPr>
          <w:b/>
          <w:bCs/>
          <w:i w:val="0"/>
        </w:rPr>
      </w:pPr>
      <w:r w:rsidRPr="00FF73F1">
        <w:rPr>
          <w:b/>
          <w:bCs/>
          <w:i w:val="0"/>
        </w:rPr>
        <w:t>38 CFR 4.110</w:t>
      </w:r>
    </w:p>
    <w:p w14:paraId="6A08075D" w14:textId="77777777" w:rsidR="002D5962" w:rsidRPr="00FF73F1" w:rsidRDefault="002D5962">
      <w:pPr>
        <w:pStyle w:val="VBASubHeading1"/>
        <w:spacing w:before="0"/>
        <w:rPr>
          <w:bCs/>
          <w:i w:val="0"/>
        </w:rPr>
      </w:pPr>
    </w:p>
    <w:p w14:paraId="6A08075E" w14:textId="77777777" w:rsidR="002D5962" w:rsidRPr="00FF73F1" w:rsidRDefault="002D5962" w:rsidP="002D5962">
      <w:pPr>
        <w:spacing w:after="240"/>
        <w:textAlignment w:val="baseline"/>
      </w:pPr>
      <w:r w:rsidRPr="00FF73F1">
        <w:t>Ulcers</w:t>
      </w:r>
    </w:p>
    <w:p w14:paraId="6A08075F" w14:textId="77777777" w:rsidR="002D5962" w:rsidRPr="00FF73F1" w:rsidRDefault="002D5962" w:rsidP="00FF73F1">
      <w:pPr>
        <w:numPr>
          <w:ilvl w:val="0"/>
          <w:numId w:val="17"/>
        </w:numPr>
        <w:spacing w:after="120"/>
        <w:textAlignment w:val="baseline"/>
      </w:pPr>
      <w:r w:rsidRPr="00FF73F1">
        <w:t>The term "peptic ulcer" is not sufficiently specific for rating purposes</w:t>
      </w:r>
    </w:p>
    <w:p w14:paraId="6A080760" w14:textId="77777777" w:rsidR="002D5962" w:rsidRPr="00FF73F1" w:rsidRDefault="002D5962" w:rsidP="00FF73F1">
      <w:pPr>
        <w:numPr>
          <w:ilvl w:val="0"/>
          <w:numId w:val="17"/>
        </w:numPr>
        <w:spacing w:after="120"/>
        <w:textAlignment w:val="baseline"/>
      </w:pPr>
      <w:r w:rsidRPr="00FF73F1">
        <w:t>In evaluating the ulcer, care should be taken that the findings adequately identify the particular location</w:t>
      </w:r>
    </w:p>
    <w:p w14:paraId="6A080761" w14:textId="77777777" w:rsidR="002D5962" w:rsidRPr="00FF73F1" w:rsidRDefault="002D5962" w:rsidP="002D5962">
      <w:pPr>
        <w:pStyle w:val="VBASubHeading1"/>
        <w:spacing w:before="0"/>
        <w:rPr>
          <w:bCs/>
          <w:i w:val="0"/>
        </w:rPr>
      </w:pPr>
      <w:r w:rsidRPr="00FF73F1">
        <w:rPr>
          <w:i w:val="0"/>
        </w:rPr>
        <w:t>The word “peptic” means the cause of the problem is due to acid.  It is used as a more generic term to describe many possible types of ulcrs that may occur.  Ensure medical evidence provides a more specific area in which the ulcer occurs to make sure the proper evaluation criteria are used.</w:t>
      </w:r>
    </w:p>
    <w:p w14:paraId="6A080762" w14:textId="77777777" w:rsidR="007A5600" w:rsidRPr="00FF73F1" w:rsidRDefault="007A5600">
      <w:pPr>
        <w:jc w:val="center"/>
      </w:pPr>
    </w:p>
    <w:p w14:paraId="6A080763" w14:textId="77777777" w:rsidR="007A5600" w:rsidRPr="00FF73F1" w:rsidRDefault="002D5962">
      <w:pPr>
        <w:pStyle w:val="VBABodyText0"/>
        <w:rPr>
          <w:b/>
        </w:rPr>
      </w:pPr>
      <w:r w:rsidRPr="00FF73F1">
        <w:rPr>
          <w:b/>
        </w:rPr>
        <w:t>38 CFR 4.111</w:t>
      </w:r>
    </w:p>
    <w:p w14:paraId="6A080764" w14:textId="77777777" w:rsidR="002D5962" w:rsidRPr="00FF73F1" w:rsidRDefault="002D5962" w:rsidP="002D5962">
      <w:pPr>
        <w:pStyle w:val="VBALevel1Heading"/>
        <w:spacing w:before="240" w:after="240"/>
        <w:rPr>
          <w:b w:val="0"/>
          <w:caps w:val="0"/>
        </w:rPr>
      </w:pPr>
      <w:r w:rsidRPr="00FF73F1">
        <w:rPr>
          <w:b w:val="0"/>
          <w:caps w:val="0"/>
        </w:rPr>
        <w:t>Postgastrectomy syndromes</w:t>
      </w:r>
    </w:p>
    <w:p w14:paraId="6A080765" w14:textId="77777777" w:rsidR="002D5962" w:rsidRPr="00FF73F1" w:rsidRDefault="002D5962" w:rsidP="00FF73F1">
      <w:pPr>
        <w:pStyle w:val="VBALevel1Heading"/>
        <w:numPr>
          <w:ilvl w:val="0"/>
          <w:numId w:val="17"/>
        </w:numPr>
        <w:spacing w:after="120"/>
        <w:rPr>
          <w:b w:val="0"/>
          <w:caps w:val="0"/>
        </w:rPr>
      </w:pPr>
      <w:r w:rsidRPr="00FF73F1">
        <w:rPr>
          <w:b w:val="0"/>
          <w:caps w:val="0"/>
        </w:rPr>
        <w:t>Those occurring during or immediately after eating and known as the “dumping syndrome”</w:t>
      </w:r>
    </w:p>
    <w:p w14:paraId="6A080766" w14:textId="77777777" w:rsidR="002D5962" w:rsidRPr="00FF73F1" w:rsidRDefault="002D5962" w:rsidP="00FF73F1">
      <w:pPr>
        <w:pStyle w:val="VBALevel1Heading"/>
        <w:numPr>
          <w:ilvl w:val="0"/>
          <w:numId w:val="17"/>
        </w:numPr>
        <w:spacing w:after="120"/>
        <w:rPr>
          <w:b w:val="0"/>
          <w:caps w:val="0"/>
        </w:rPr>
      </w:pPr>
      <w:r w:rsidRPr="00FF73F1">
        <w:rPr>
          <w:b w:val="0"/>
          <w:caps w:val="0"/>
        </w:rPr>
        <w:t>Those occurring from 1 to 3 hours after eating usually present definite manifestations of hypoglycemia</w:t>
      </w:r>
    </w:p>
    <w:p w14:paraId="6A080767" w14:textId="77777777" w:rsidR="002D5962" w:rsidRPr="00FF73F1" w:rsidRDefault="002D5962" w:rsidP="002D5962">
      <w:pPr>
        <w:pStyle w:val="VBABodyText0"/>
      </w:pPr>
      <w:r w:rsidRPr="00FF73F1">
        <w:t>This regulation helps define the symptoms that may occur after anastomotic operations of the stomach.  This syndrome is evaluated using DC 7308.</w:t>
      </w:r>
    </w:p>
    <w:p w14:paraId="6A080768" w14:textId="77777777" w:rsidR="007A5600" w:rsidRPr="00FF73F1" w:rsidRDefault="007A5600"/>
    <w:p w14:paraId="6A080769" w14:textId="77777777" w:rsidR="007A5600" w:rsidRPr="00FF73F1" w:rsidRDefault="002D5962">
      <w:pPr>
        <w:rPr>
          <w:b/>
        </w:rPr>
      </w:pPr>
      <w:r w:rsidRPr="00FF73F1">
        <w:rPr>
          <w:b/>
        </w:rPr>
        <w:t>38 CFR 4.112</w:t>
      </w:r>
    </w:p>
    <w:p w14:paraId="6A08076A" w14:textId="77777777" w:rsidR="002D5962" w:rsidRPr="00FF73F1" w:rsidRDefault="002D5962" w:rsidP="00FF73F1">
      <w:pPr>
        <w:spacing w:before="240" w:after="240"/>
        <w:textAlignment w:val="baseline"/>
      </w:pPr>
      <w:r w:rsidRPr="00FF73F1">
        <w:t>Weight loss</w:t>
      </w:r>
    </w:p>
    <w:p w14:paraId="6A08076B" w14:textId="77777777" w:rsidR="002D5962" w:rsidRPr="00FF73F1" w:rsidRDefault="002D5962" w:rsidP="00FF73F1">
      <w:pPr>
        <w:numPr>
          <w:ilvl w:val="0"/>
          <w:numId w:val="17"/>
        </w:numPr>
        <w:spacing w:after="120"/>
        <w:textAlignment w:val="baseline"/>
      </w:pPr>
      <w:r w:rsidRPr="00FF73F1">
        <w:t>Substantial weight loss - a loss of greater than 20 percent of the individual's baseline weight, sustained for three months or longer</w:t>
      </w:r>
    </w:p>
    <w:p w14:paraId="6A08076C" w14:textId="77777777" w:rsidR="002D5962" w:rsidRPr="00FF73F1" w:rsidRDefault="002D5962" w:rsidP="00FF73F1">
      <w:pPr>
        <w:numPr>
          <w:ilvl w:val="0"/>
          <w:numId w:val="17"/>
        </w:numPr>
        <w:spacing w:after="120"/>
        <w:textAlignment w:val="baseline"/>
      </w:pPr>
      <w:r w:rsidRPr="00FF73F1">
        <w:t xml:space="preserve">Minor weight loss - a weight loss of 10 to 20 percent of the individual's baseline weight, sustained for three months or longer. </w:t>
      </w:r>
    </w:p>
    <w:p w14:paraId="6A08076D" w14:textId="77777777" w:rsidR="002D5962" w:rsidRPr="00FF73F1" w:rsidRDefault="002D5962" w:rsidP="00FF73F1">
      <w:pPr>
        <w:numPr>
          <w:ilvl w:val="0"/>
          <w:numId w:val="17"/>
        </w:numPr>
        <w:spacing w:after="120"/>
        <w:textAlignment w:val="baseline"/>
      </w:pPr>
      <w:r w:rsidRPr="00FF73F1">
        <w:t xml:space="preserve">Inability to gain weight - there has been substantial weight loss with inability to regain it despite appropriate therapy. </w:t>
      </w:r>
    </w:p>
    <w:p w14:paraId="6A08076E" w14:textId="77777777" w:rsidR="002D5962" w:rsidRPr="00FF73F1" w:rsidRDefault="002D5962" w:rsidP="00FF73F1">
      <w:pPr>
        <w:numPr>
          <w:ilvl w:val="0"/>
          <w:numId w:val="17"/>
        </w:numPr>
        <w:spacing w:after="120"/>
        <w:textAlignment w:val="baseline"/>
      </w:pPr>
      <w:r w:rsidRPr="00FF73F1">
        <w:t>Baseline weight - the average weight for the two-year-period preceding onset of the disease.</w:t>
      </w:r>
    </w:p>
    <w:p w14:paraId="6A08076F" w14:textId="77777777" w:rsidR="002D5962" w:rsidRPr="00FF73F1" w:rsidRDefault="002D5962" w:rsidP="002D5962">
      <w:r w:rsidRPr="00FF73F1">
        <w:t>Several diagnostic codes in the Rating Schedule consider weight loss for evaluation purposes.  This regulation is used to determine the severity of weight loss when assigning such evaluations.</w:t>
      </w:r>
    </w:p>
    <w:p w14:paraId="6A080770" w14:textId="77777777" w:rsidR="002D5962" w:rsidRPr="00FF73F1" w:rsidRDefault="002D5962">
      <w:pPr>
        <w:rPr>
          <w:b/>
        </w:rPr>
      </w:pPr>
      <w:r w:rsidRPr="00FF73F1">
        <w:rPr>
          <w:b/>
        </w:rPr>
        <w:lastRenderedPageBreak/>
        <w:t>38 CFR 4.113</w:t>
      </w:r>
    </w:p>
    <w:p w14:paraId="6A080771" w14:textId="77777777" w:rsidR="002D5962" w:rsidRPr="00FF73F1" w:rsidRDefault="002D5962" w:rsidP="002D5962">
      <w:pPr>
        <w:spacing w:before="240" w:after="240"/>
        <w:textAlignment w:val="baseline"/>
      </w:pPr>
      <w:r w:rsidRPr="00FF73F1">
        <w:t>Coexisting abdominal conditions</w:t>
      </w:r>
    </w:p>
    <w:p w14:paraId="6A080772" w14:textId="77777777" w:rsidR="002D5962" w:rsidRPr="00FF73F1" w:rsidRDefault="002D5962" w:rsidP="00FF73F1">
      <w:pPr>
        <w:numPr>
          <w:ilvl w:val="0"/>
          <w:numId w:val="17"/>
        </w:numPr>
        <w:spacing w:after="120"/>
        <w:textAlignment w:val="baseline"/>
      </w:pPr>
      <w:r w:rsidRPr="00FF73F1">
        <w:t>There are diseases of the digestive system, particularly within the abdomen, which, while differing in the site of pathology, produce a common disability picture</w:t>
      </w:r>
    </w:p>
    <w:p w14:paraId="6A080773" w14:textId="77777777" w:rsidR="002D5962" w:rsidRPr="00FF73F1" w:rsidRDefault="002D5962" w:rsidP="00FF73F1">
      <w:pPr>
        <w:numPr>
          <w:ilvl w:val="0"/>
          <w:numId w:val="17"/>
        </w:numPr>
        <w:spacing w:after="120"/>
        <w:textAlignment w:val="baseline"/>
      </w:pPr>
      <w:r w:rsidRPr="00FF73F1">
        <w:t>Certain coexisting diseases in this area, do not lend themselves to distinct and separate disability evaluations without violating the fundamental principle relating to pyramiding (38 CFR 4.14)</w:t>
      </w:r>
    </w:p>
    <w:p w14:paraId="6A080774" w14:textId="77777777" w:rsidR="007A5600" w:rsidRPr="00FF73F1" w:rsidRDefault="002D5962" w:rsidP="002D5962">
      <w:r w:rsidRPr="00FF73F1">
        <w:t>This regulation, along with the instructions given under 38 CFR 4.114, explains how and why to address certain coexisting conditions of the digestive system.  Please refer to 38 CFR 4.114 for additional information on this process.</w:t>
      </w:r>
    </w:p>
    <w:p w14:paraId="6A080775" w14:textId="77777777" w:rsidR="007A5600" w:rsidRPr="00FF73F1" w:rsidRDefault="007A5600"/>
    <w:p w14:paraId="6A080776" w14:textId="77777777" w:rsidR="007A5600" w:rsidRPr="00FF73F1" w:rsidRDefault="002D5962">
      <w:pPr>
        <w:rPr>
          <w:b/>
        </w:rPr>
      </w:pPr>
      <w:r w:rsidRPr="00FF73F1">
        <w:rPr>
          <w:b/>
        </w:rPr>
        <w:t>38 CFR 4.114</w:t>
      </w:r>
    </w:p>
    <w:p w14:paraId="6A080777" w14:textId="77777777" w:rsidR="002D5962" w:rsidRPr="00FF73F1" w:rsidRDefault="002D5962" w:rsidP="002D5962">
      <w:pPr>
        <w:spacing w:before="240" w:after="240"/>
        <w:textAlignment w:val="baseline"/>
      </w:pPr>
      <w:r w:rsidRPr="00FF73F1">
        <w:t>Schedule of ratings—digestive system</w:t>
      </w:r>
    </w:p>
    <w:p w14:paraId="6A080778" w14:textId="77777777" w:rsidR="002D5962" w:rsidRPr="00FF73F1" w:rsidRDefault="002D5962" w:rsidP="002D5962">
      <w:pPr>
        <w:spacing w:before="240" w:after="240"/>
        <w:textAlignment w:val="baseline"/>
      </w:pPr>
      <w:r w:rsidRPr="00FF73F1">
        <w:t>The regulation begins with a note which specifies that evaluations of digestive conditions under certain diagnostic codes (DCs) will not be combined with each other or assigned separate evaluations. Instead, a single evaluation should be assigned under the DC which reflects the predominant disability, with elevation to the next higher evaluation when the severity of the overall disability warrants such elevation.</w:t>
      </w:r>
    </w:p>
    <w:p w14:paraId="6A080779" w14:textId="77777777" w:rsidR="002D5962" w:rsidRPr="00FF73F1" w:rsidRDefault="002D5962" w:rsidP="002D5962">
      <w:pPr>
        <w:spacing w:before="240" w:after="240"/>
        <w:textAlignment w:val="baseline"/>
      </w:pPr>
      <w:r w:rsidRPr="00FF73F1">
        <w:t>Do not combine separate evaluations of digestive conditions with each other under the following DCs:</w:t>
      </w:r>
    </w:p>
    <w:p w14:paraId="6A08077A" w14:textId="77777777" w:rsidR="002D5962" w:rsidRPr="00FF73F1" w:rsidRDefault="002D5962" w:rsidP="00FF73F1">
      <w:pPr>
        <w:numPr>
          <w:ilvl w:val="0"/>
          <w:numId w:val="18"/>
        </w:numPr>
        <w:spacing w:before="240" w:after="240"/>
        <w:textAlignment w:val="baseline"/>
      </w:pPr>
      <w:r w:rsidRPr="00FF73F1">
        <w:t>7301 to 7329, inclusive (meaning all the DCs from 7301 to 7329)</w:t>
      </w:r>
    </w:p>
    <w:p w14:paraId="6A08077B" w14:textId="77777777" w:rsidR="002D5962" w:rsidRPr="00FF73F1" w:rsidRDefault="002D5962" w:rsidP="00FF73F1">
      <w:pPr>
        <w:numPr>
          <w:ilvl w:val="0"/>
          <w:numId w:val="18"/>
        </w:numPr>
        <w:spacing w:before="240" w:after="240"/>
        <w:textAlignment w:val="baseline"/>
      </w:pPr>
      <w:r w:rsidRPr="00FF73F1">
        <w:t>7331</w:t>
      </w:r>
    </w:p>
    <w:p w14:paraId="6A08077C" w14:textId="77777777" w:rsidR="002D5962" w:rsidRPr="00FF73F1" w:rsidRDefault="002D5962" w:rsidP="00FF73F1">
      <w:pPr>
        <w:numPr>
          <w:ilvl w:val="0"/>
          <w:numId w:val="18"/>
        </w:numPr>
        <w:spacing w:before="240" w:after="240"/>
        <w:textAlignment w:val="baseline"/>
      </w:pPr>
      <w:r w:rsidRPr="00FF73F1">
        <w:t>7342, and</w:t>
      </w:r>
    </w:p>
    <w:p w14:paraId="6A08077D" w14:textId="77777777" w:rsidR="007A5600" w:rsidRPr="00FF73F1" w:rsidRDefault="002D5962" w:rsidP="00FF73F1">
      <w:pPr>
        <w:numPr>
          <w:ilvl w:val="0"/>
          <w:numId w:val="18"/>
        </w:numPr>
        <w:spacing w:before="240" w:after="240"/>
        <w:textAlignment w:val="baseline"/>
      </w:pPr>
      <w:r w:rsidRPr="00FF73F1">
        <w:t>7345 to 7348, inclusive (meaning all the DCs from 7345 to 7348)</w:t>
      </w:r>
    </w:p>
    <w:p w14:paraId="6A080780" w14:textId="718112D3" w:rsidR="007A5600" w:rsidRPr="00FF73F1" w:rsidRDefault="002D5962" w:rsidP="00FF73F1">
      <w:pPr>
        <w:spacing w:before="240" w:after="240"/>
        <w:textAlignment w:val="baseline"/>
      </w:pPr>
      <w:r w:rsidRPr="00FF73F1">
        <w:t>Example: A Veteran with a duodenal ulcer (DC 7305), evaluated as 20-percent disabling, and ulcerative colitis (DC 7323), evaluated as 30-percent disabling, would be assigned a single 30-percent evaluation as ulcerative colitis represents the predominant disability picture. Separate evaluations for the duodenal ulcer and ulcerative colitis are not permitted.</w:t>
      </w:r>
    </w:p>
    <w:p w14:paraId="6A080781" w14:textId="77777777" w:rsidR="007A5600" w:rsidRPr="00FF73F1" w:rsidRDefault="007A5600"/>
    <w:p w14:paraId="6A080782" w14:textId="77777777" w:rsidR="007A5600" w:rsidRPr="00FF73F1" w:rsidRDefault="007A5600"/>
    <w:p w14:paraId="6A080783" w14:textId="4E77DE58" w:rsidR="007A5600" w:rsidRPr="00FF73F1" w:rsidRDefault="007A5600">
      <w:pPr>
        <w:overflowPunct/>
        <w:autoSpaceDE/>
        <w:autoSpaceDN/>
        <w:adjustRightInd/>
        <w:spacing w:before="0"/>
        <w:rPr>
          <w:rFonts w:ascii="Times New Roman Bold" w:hAnsi="Times New Roman Bold"/>
          <w:b/>
          <w:smallCaps/>
          <w:sz w:val="32"/>
          <w:szCs w:val="32"/>
        </w:rPr>
      </w:pPr>
      <w:r w:rsidRPr="00FF73F1">
        <w:br w:type="page"/>
      </w:r>
    </w:p>
    <w:p w14:paraId="6A080784" w14:textId="77777777" w:rsidR="007A5600" w:rsidRPr="00FF73F1" w:rsidRDefault="007A5600">
      <w:pPr>
        <w:pStyle w:val="VBATopicHeading1"/>
      </w:pPr>
      <w:bookmarkStart w:id="18" w:name="_Toc445454414"/>
      <w:r w:rsidRPr="00FF73F1">
        <w:lastRenderedPageBreak/>
        <w:t xml:space="preserve">Topic 2: </w:t>
      </w:r>
      <w:r w:rsidR="002D5962" w:rsidRPr="00FF73F1">
        <w:t>Digestive Conditions and SW Asia Veterans</w:t>
      </w:r>
      <w:bookmarkEnd w:id="18"/>
    </w:p>
    <w:p w14:paraId="6A080785" w14:textId="77777777" w:rsidR="007B2666" w:rsidRPr="00FF73F1" w:rsidRDefault="007B2666" w:rsidP="00E35C8B">
      <w:pPr>
        <w:pStyle w:val="VBABodyText0"/>
      </w:pPr>
    </w:p>
    <w:p w14:paraId="6A080786" w14:textId="77777777" w:rsidR="007B2666" w:rsidRPr="00FF73F1" w:rsidRDefault="007B2666" w:rsidP="00E35C8B">
      <w:pPr>
        <w:pStyle w:val="VBABodyText0"/>
        <w:rPr>
          <w:b/>
        </w:rPr>
      </w:pPr>
      <w:r w:rsidRPr="00FF73F1">
        <w:rPr>
          <w:b/>
        </w:rPr>
        <w:t>38 CFR 3.317</w:t>
      </w:r>
    </w:p>
    <w:p w14:paraId="6A080787" w14:textId="77777777" w:rsidR="007B2666" w:rsidRPr="00FF73F1" w:rsidRDefault="007B2666" w:rsidP="007B2666">
      <w:pPr>
        <w:spacing w:after="240"/>
        <w:textAlignment w:val="baseline"/>
      </w:pPr>
      <w:r w:rsidRPr="00FF73F1">
        <w:t>Compensation for certain disabilities occurring in Persian Gulf Veterans</w:t>
      </w:r>
    </w:p>
    <w:p w14:paraId="6A080788" w14:textId="77777777" w:rsidR="007B2666" w:rsidRPr="00FF73F1" w:rsidRDefault="007B2666" w:rsidP="007B2666">
      <w:pPr>
        <w:pStyle w:val="VBABodyText0"/>
      </w:pPr>
      <w:r w:rsidRPr="00FF73F1">
        <w:t>The VA will pay compensation to Persian Gulf Veterans who exhibit objective indications of a qualifying chronic disability, defined as either an undiagnosed illness or a medically unexplained chronic multisymptom illness (MUCMI) that is defined by a cluster of signs or symptoms.  Functional gastrointestinal disorders (FGIDs) are among the MUCMIs defined.</w:t>
      </w:r>
    </w:p>
    <w:p w14:paraId="6A080789" w14:textId="77777777" w:rsidR="007B2666" w:rsidRPr="00FF73F1" w:rsidRDefault="007B2666" w:rsidP="007B2666">
      <w:pPr>
        <w:pStyle w:val="VBABodyText0"/>
      </w:pPr>
    </w:p>
    <w:p w14:paraId="6A08078A" w14:textId="77777777" w:rsidR="007B2666" w:rsidRPr="00FF73F1" w:rsidRDefault="007B2666" w:rsidP="007B2666">
      <w:pPr>
        <w:pStyle w:val="VBABodyText0"/>
        <w:rPr>
          <w:b/>
        </w:rPr>
      </w:pPr>
      <w:r w:rsidRPr="00FF73F1">
        <w:rPr>
          <w:b/>
        </w:rPr>
        <w:t>Undiagnosed Illness</w:t>
      </w:r>
    </w:p>
    <w:p w14:paraId="6A08078B" w14:textId="77777777" w:rsidR="007B2666" w:rsidRPr="00FF73F1" w:rsidRDefault="007B2666" w:rsidP="007B2666">
      <w:pPr>
        <w:pStyle w:val="VBALevel1Heading"/>
        <w:spacing w:before="240" w:after="240"/>
        <w:rPr>
          <w:b w:val="0"/>
          <w:caps w:val="0"/>
        </w:rPr>
      </w:pPr>
      <w:r w:rsidRPr="00FF73F1">
        <w:rPr>
          <w:b w:val="0"/>
          <w:caps w:val="0"/>
        </w:rPr>
        <w:t>An undiagnosed illness is a type of chronic qualifying disability where qualifying signs and/or symptoms cannot be attributed to any known clinical diagnosis by history, physical examination and laboratory tests.</w:t>
      </w:r>
    </w:p>
    <w:p w14:paraId="6A08078C" w14:textId="77777777" w:rsidR="007B2666" w:rsidRPr="00FF73F1" w:rsidRDefault="007B2666" w:rsidP="007B2666">
      <w:pPr>
        <w:pStyle w:val="VBABodyText0"/>
      </w:pPr>
      <w:r w:rsidRPr="00FF73F1">
        <w:t>When a Veteran with qualifying service claims gastrointestinal signs or symptoms, (for example diahhrea, vomiting, dyspepsia, dysphagia, constipation, or abdominal distress) a medical exam and opinion are in order.  If the examiner confirms the symptoms, but is unable to identify a diagnosable condition, service connection is in order as an undiagnosed illness.  Please refer to M21-1, IV.ii.2.D for further instruction.</w:t>
      </w:r>
    </w:p>
    <w:p w14:paraId="6A08078D" w14:textId="77777777" w:rsidR="007B2666" w:rsidRPr="00FF73F1" w:rsidRDefault="007B2666" w:rsidP="007B2666">
      <w:pPr>
        <w:pStyle w:val="VBABodyText0"/>
      </w:pPr>
    </w:p>
    <w:p w14:paraId="6A08078E" w14:textId="77777777" w:rsidR="007B2666" w:rsidRPr="00FF73F1" w:rsidRDefault="007B2666" w:rsidP="007B2666">
      <w:pPr>
        <w:pStyle w:val="VBABodyText0"/>
        <w:rPr>
          <w:b/>
        </w:rPr>
      </w:pPr>
      <w:r w:rsidRPr="00FF73F1">
        <w:rPr>
          <w:b/>
        </w:rPr>
        <w:t>MUCMI</w:t>
      </w:r>
    </w:p>
    <w:p w14:paraId="6A08078F" w14:textId="77777777" w:rsidR="007B2666" w:rsidRPr="00FF73F1" w:rsidRDefault="007B2666" w:rsidP="007B2666">
      <w:pPr>
        <w:overflowPunct/>
        <w:autoSpaceDE/>
        <w:autoSpaceDN/>
        <w:adjustRightInd/>
        <w:spacing w:after="120" w:line="276" w:lineRule="auto"/>
        <w:rPr>
          <w:rFonts w:eastAsiaTheme="minorHAnsi"/>
          <w:szCs w:val="24"/>
        </w:rPr>
      </w:pPr>
      <w:r w:rsidRPr="00FF73F1">
        <w:rPr>
          <w:rFonts w:eastAsiaTheme="minorHAnsi"/>
          <w:szCs w:val="24"/>
        </w:rPr>
        <w:t>Medically unexplained chronic multi-symptom illness (MUCMI)</w:t>
      </w:r>
    </w:p>
    <w:p w14:paraId="6A080790" w14:textId="77777777" w:rsidR="007B2666" w:rsidRPr="00FF73F1" w:rsidRDefault="007B2666" w:rsidP="00FF73F1">
      <w:pPr>
        <w:numPr>
          <w:ilvl w:val="0"/>
          <w:numId w:val="19"/>
        </w:numPr>
        <w:overflowPunct/>
        <w:autoSpaceDE/>
        <w:autoSpaceDN/>
        <w:adjustRightInd/>
        <w:spacing w:after="120" w:line="276" w:lineRule="auto"/>
        <w:textAlignment w:val="baseline"/>
        <w:rPr>
          <w:rFonts w:eastAsiaTheme="minorHAnsi"/>
          <w:szCs w:val="24"/>
        </w:rPr>
      </w:pPr>
      <w:r w:rsidRPr="00FF73F1">
        <w:rPr>
          <w:rFonts w:eastAsiaTheme="minorHAnsi"/>
          <w:szCs w:val="24"/>
        </w:rPr>
        <w:t xml:space="preserve">Type of chronic qualifying disability in which there is a </w:t>
      </w:r>
      <w:r w:rsidRPr="00FF73F1">
        <w:rPr>
          <w:rFonts w:eastAsiaTheme="minorHAnsi"/>
          <w:i/>
          <w:iCs/>
          <w:szCs w:val="24"/>
        </w:rPr>
        <w:t>diagnosed</w:t>
      </w:r>
      <w:r w:rsidRPr="00FF73F1">
        <w:rPr>
          <w:rFonts w:eastAsiaTheme="minorHAnsi"/>
          <w:szCs w:val="24"/>
        </w:rPr>
        <w:t xml:space="preserve"> illness that has:</w:t>
      </w:r>
    </w:p>
    <w:p w14:paraId="6A080791" w14:textId="77777777" w:rsidR="007B2666" w:rsidRPr="00FF73F1" w:rsidRDefault="007B2666" w:rsidP="00FF73F1">
      <w:pPr>
        <w:numPr>
          <w:ilvl w:val="1"/>
          <w:numId w:val="19"/>
        </w:numPr>
        <w:overflowPunct/>
        <w:autoSpaceDE/>
        <w:autoSpaceDN/>
        <w:adjustRightInd/>
        <w:spacing w:after="120" w:line="276" w:lineRule="auto"/>
        <w:textAlignment w:val="baseline"/>
        <w:rPr>
          <w:rFonts w:eastAsiaTheme="minorHAnsi"/>
          <w:szCs w:val="24"/>
        </w:rPr>
      </w:pPr>
      <w:r w:rsidRPr="00FF73F1">
        <w:rPr>
          <w:rFonts w:eastAsiaTheme="minorHAnsi"/>
          <w:szCs w:val="24"/>
        </w:rPr>
        <w:t>both </w:t>
      </w:r>
    </w:p>
    <w:p w14:paraId="6A080792" w14:textId="77777777" w:rsidR="007B2666" w:rsidRPr="00FF73F1" w:rsidRDefault="007B2666" w:rsidP="00FF73F1">
      <w:pPr>
        <w:numPr>
          <w:ilvl w:val="2"/>
          <w:numId w:val="19"/>
        </w:numPr>
        <w:overflowPunct/>
        <w:autoSpaceDE/>
        <w:autoSpaceDN/>
        <w:adjustRightInd/>
        <w:spacing w:after="120" w:line="276" w:lineRule="auto"/>
        <w:textAlignment w:val="baseline"/>
        <w:rPr>
          <w:rFonts w:eastAsiaTheme="minorHAnsi"/>
          <w:szCs w:val="24"/>
        </w:rPr>
      </w:pPr>
      <w:r w:rsidRPr="00FF73F1">
        <w:rPr>
          <w:rFonts w:eastAsiaTheme="minorHAnsi"/>
          <w:szCs w:val="24"/>
        </w:rPr>
        <w:t>an inconclusive pathophysiology, and</w:t>
      </w:r>
    </w:p>
    <w:p w14:paraId="6A080793" w14:textId="77777777" w:rsidR="007B2666" w:rsidRPr="00FF73F1" w:rsidRDefault="007B2666" w:rsidP="00FF73F1">
      <w:pPr>
        <w:numPr>
          <w:ilvl w:val="2"/>
          <w:numId w:val="19"/>
        </w:numPr>
        <w:overflowPunct/>
        <w:autoSpaceDE/>
        <w:autoSpaceDN/>
        <w:adjustRightInd/>
        <w:spacing w:after="120" w:line="276" w:lineRule="auto"/>
        <w:textAlignment w:val="baseline"/>
        <w:rPr>
          <w:rFonts w:eastAsiaTheme="minorHAnsi"/>
          <w:szCs w:val="24"/>
        </w:rPr>
      </w:pPr>
      <w:r w:rsidRPr="00FF73F1">
        <w:rPr>
          <w:rFonts w:eastAsiaTheme="minorHAnsi"/>
          <w:szCs w:val="24"/>
        </w:rPr>
        <w:t>an inconclusive etiology</w:t>
      </w:r>
    </w:p>
    <w:p w14:paraId="6A080794" w14:textId="77777777" w:rsidR="007B2666" w:rsidRPr="00FF73F1" w:rsidRDefault="007B2666" w:rsidP="00FF73F1">
      <w:pPr>
        <w:numPr>
          <w:ilvl w:val="1"/>
          <w:numId w:val="19"/>
        </w:numPr>
        <w:overflowPunct/>
        <w:autoSpaceDE/>
        <w:autoSpaceDN/>
        <w:adjustRightInd/>
        <w:spacing w:after="120" w:line="276" w:lineRule="auto"/>
        <w:textAlignment w:val="baseline"/>
        <w:rPr>
          <w:rFonts w:eastAsiaTheme="minorHAnsi"/>
          <w:szCs w:val="24"/>
        </w:rPr>
      </w:pPr>
      <w:r w:rsidRPr="00FF73F1">
        <w:rPr>
          <w:rFonts w:eastAsiaTheme="minorHAnsi"/>
          <w:szCs w:val="24"/>
        </w:rPr>
        <w:t>overlapping symptoms and signs, and</w:t>
      </w:r>
    </w:p>
    <w:p w14:paraId="6A080795" w14:textId="77777777" w:rsidR="007B2666" w:rsidRPr="00FF73F1" w:rsidRDefault="007B2666" w:rsidP="00FF73F1">
      <w:pPr>
        <w:numPr>
          <w:ilvl w:val="1"/>
          <w:numId w:val="19"/>
        </w:numPr>
        <w:overflowPunct/>
        <w:autoSpaceDE/>
        <w:autoSpaceDN/>
        <w:adjustRightInd/>
        <w:spacing w:after="120" w:line="276" w:lineRule="auto"/>
        <w:textAlignment w:val="baseline"/>
        <w:rPr>
          <w:rFonts w:eastAsiaTheme="minorHAnsi"/>
          <w:szCs w:val="24"/>
        </w:rPr>
      </w:pPr>
      <w:r w:rsidRPr="00FF73F1">
        <w:rPr>
          <w:rFonts w:eastAsiaTheme="minorHAnsi"/>
          <w:szCs w:val="24"/>
        </w:rPr>
        <w:t>features such as</w:t>
      </w:r>
    </w:p>
    <w:p w14:paraId="6A080796" w14:textId="77777777" w:rsidR="007B2666" w:rsidRPr="00FF73F1" w:rsidRDefault="007B2666" w:rsidP="00FF73F1">
      <w:pPr>
        <w:numPr>
          <w:ilvl w:val="2"/>
          <w:numId w:val="19"/>
        </w:numPr>
        <w:overflowPunct/>
        <w:autoSpaceDE/>
        <w:autoSpaceDN/>
        <w:adjustRightInd/>
        <w:spacing w:after="120" w:line="276" w:lineRule="auto"/>
        <w:textAlignment w:val="baseline"/>
        <w:rPr>
          <w:rFonts w:eastAsiaTheme="minorHAnsi"/>
          <w:szCs w:val="24"/>
        </w:rPr>
      </w:pPr>
      <w:r w:rsidRPr="00FF73F1">
        <w:rPr>
          <w:rFonts w:eastAsiaTheme="minorHAnsi"/>
          <w:szCs w:val="24"/>
        </w:rPr>
        <w:t>fatigue and pain</w:t>
      </w:r>
    </w:p>
    <w:p w14:paraId="6A080797" w14:textId="77777777" w:rsidR="007B2666" w:rsidRPr="00FF73F1" w:rsidRDefault="007B2666" w:rsidP="00FF73F1">
      <w:pPr>
        <w:numPr>
          <w:ilvl w:val="2"/>
          <w:numId w:val="19"/>
        </w:numPr>
        <w:overflowPunct/>
        <w:autoSpaceDE/>
        <w:autoSpaceDN/>
        <w:adjustRightInd/>
        <w:spacing w:after="120" w:line="276" w:lineRule="auto"/>
        <w:textAlignment w:val="baseline"/>
        <w:rPr>
          <w:rFonts w:eastAsiaTheme="minorHAnsi"/>
          <w:szCs w:val="24"/>
        </w:rPr>
      </w:pPr>
      <w:r w:rsidRPr="00FF73F1">
        <w:rPr>
          <w:rFonts w:eastAsiaTheme="minorHAnsi"/>
          <w:szCs w:val="24"/>
        </w:rPr>
        <w:t>disability out of proportion to physical findings, and</w:t>
      </w:r>
    </w:p>
    <w:p w14:paraId="6A080798" w14:textId="77777777" w:rsidR="007B2666" w:rsidRPr="00FF73F1" w:rsidRDefault="007B2666" w:rsidP="00FF73F1">
      <w:pPr>
        <w:numPr>
          <w:ilvl w:val="2"/>
          <w:numId w:val="19"/>
        </w:numPr>
        <w:overflowPunct/>
        <w:autoSpaceDE/>
        <w:autoSpaceDN/>
        <w:adjustRightInd/>
        <w:spacing w:after="120" w:line="276" w:lineRule="auto"/>
        <w:textAlignment w:val="baseline"/>
        <w:rPr>
          <w:rFonts w:eastAsiaTheme="minorHAnsi"/>
          <w:szCs w:val="24"/>
        </w:rPr>
      </w:pPr>
      <w:r w:rsidRPr="00FF73F1">
        <w:rPr>
          <w:rFonts w:eastAsiaTheme="minorHAnsi"/>
          <w:szCs w:val="24"/>
        </w:rPr>
        <w:t>inconsistent demonstration of laboratory abnormalities</w:t>
      </w:r>
    </w:p>
    <w:p w14:paraId="6A080799" w14:textId="77777777" w:rsidR="007B2666" w:rsidRPr="00FF73F1" w:rsidRDefault="007B2666" w:rsidP="00FF73F1">
      <w:pPr>
        <w:numPr>
          <w:ilvl w:val="0"/>
          <w:numId w:val="19"/>
        </w:numPr>
        <w:overflowPunct/>
        <w:autoSpaceDE/>
        <w:autoSpaceDN/>
        <w:adjustRightInd/>
        <w:spacing w:after="120" w:line="276" w:lineRule="auto"/>
        <w:textAlignment w:val="baseline"/>
        <w:rPr>
          <w:rFonts w:asciiTheme="minorHAnsi" w:eastAsiaTheme="minorHAnsi" w:hAnsiTheme="minorHAnsi" w:cstheme="minorBidi"/>
          <w:sz w:val="22"/>
          <w:szCs w:val="22"/>
        </w:rPr>
      </w:pPr>
      <w:r w:rsidRPr="00FF73F1">
        <w:rPr>
          <w:rFonts w:eastAsiaTheme="minorHAnsi"/>
          <w:szCs w:val="24"/>
        </w:rPr>
        <w:t>Includes functional gastrointestinal disorders (FGIDs), excluding structural gastrointestinal diseases</w:t>
      </w:r>
    </w:p>
    <w:p w14:paraId="6A08079A" w14:textId="77777777" w:rsidR="007B2666" w:rsidRPr="00FF73F1" w:rsidRDefault="007B2666" w:rsidP="007B2666">
      <w:pPr>
        <w:pStyle w:val="VBABodyText0"/>
      </w:pPr>
      <w:r w:rsidRPr="00FF73F1">
        <w:lastRenderedPageBreak/>
        <w:t>Irritable bowel syndrome (IBS) is a MUCMI you may often see.  Other FGIDs are explained below.</w:t>
      </w:r>
    </w:p>
    <w:p w14:paraId="6A08079B" w14:textId="77777777" w:rsidR="007B2666" w:rsidRPr="00FF73F1" w:rsidRDefault="007B2666" w:rsidP="007B2666">
      <w:pPr>
        <w:pStyle w:val="VBABodyText0"/>
      </w:pPr>
    </w:p>
    <w:p w14:paraId="6A08079C" w14:textId="77777777" w:rsidR="007B2666" w:rsidRPr="00FF73F1" w:rsidRDefault="007B2666" w:rsidP="007B2666">
      <w:pPr>
        <w:pStyle w:val="VBABodyText0"/>
        <w:rPr>
          <w:b/>
        </w:rPr>
      </w:pPr>
      <w:r w:rsidRPr="00FF73F1">
        <w:rPr>
          <w:b/>
        </w:rPr>
        <w:t>FGIDs</w:t>
      </w:r>
    </w:p>
    <w:p w14:paraId="6A08079D" w14:textId="77777777" w:rsidR="007B2666" w:rsidRPr="00FF73F1" w:rsidRDefault="007B2666" w:rsidP="007B2666">
      <w:pPr>
        <w:spacing w:after="120"/>
        <w:textAlignment w:val="baseline"/>
      </w:pPr>
      <w:r w:rsidRPr="00FF73F1">
        <w:t>Functional gastrointestinal disorders (FGIDs)</w:t>
      </w:r>
    </w:p>
    <w:p w14:paraId="6A08079E" w14:textId="77777777" w:rsidR="007B2666" w:rsidRPr="00FF73F1" w:rsidRDefault="007B2666" w:rsidP="00FF73F1">
      <w:pPr>
        <w:numPr>
          <w:ilvl w:val="0"/>
          <w:numId w:val="20"/>
        </w:numPr>
        <w:spacing w:after="120"/>
        <w:textAlignment w:val="baseline"/>
      </w:pPr>
      <w:r w:rsidRPr="00FF73F1">
        <w:t>A group of diagnosed conditions that are a type of MUCMI.  They are characterized by chronic or recurrent symptoms that are:</w:t>
      </w:r>
    </w:p>
    <w:p w14:paraId="6A08079F" w14:textId="77777777" w:rsidR="007B2666" w:rsidRPr="00FF73F1" w:rsidRDefault="007B2666" w:rsidP="00FF73F1">
      <w:pPr>
        <w:numPr>
          <w:ilvl w:val="1"/>
          <w:numId w:val="20"/>
        </w:numPr>
        <w:spacing w:after="120"/>
        <w:textAlignment w:val="baseline"/>
      </w:pPr>
      <w:r w:rsidRPr="00FF73F1">
        <w:t>unexplained by any structural, endoscopic, laboratory, or other objective signs of injury or disease, and</w:t>
      </w:r>
    </w:p>
    <w:p w14:paraId="6A0807A0" w14:textId="77777777" w:rsidR="007B2666" w:rsidRPr="00FF73F1" w:rsidRDefault="007B2666" w:rsidP="00FF73F1">
      <w:pPr>
        <w:numPr>
          <w:ilvl w:val="1"/>
          <w:numId w:val="20"/>
        </w:numPr>
        <w:spacing w:after="120"/>
        <w:textAlignment w:val="baseline"/>
      </w:pPr>
      <w:r w:rsidRPr="00FF73F1">
        <w:t>may be related to any part of the gastrointestinal tract</w:t>
      </w:r>
    </w:p>
    <w:p w14:paraId="6A0807A1" w14:textId="77777777" w:rsidR="007B2666" w:rsidRPr="00FF73F1" w:rsidRDefault="007B2666" w:rsidP="00FF73F1">
      <w:pPr>
        <w:numPr>
          <w:ilvl w:val="0"/>
          <w:numId w:val="20"/>
        </w:numPr>
        <w:spacing w:after="120"/>
        <w:textAlignment w:val="baseline"/>
      </w:pPr>
      <w:r w:rsidRPr="00FF73F1">
        <w:t>FGID diagnoses include but are not limited to</w:t>
      </w:r>
    </w:p>
    <w:p w14:paraId="6A0807A2" w14:textId="77777777" w:rsidR="007B2666" w:rsidRPr="00FF73F1" w:rsidRDefault="007B2666" w:rsidP="00FF73F1">
      <w:pPr>
        <w:numPr>
          <w:ilvl w:val="1"/>
          <w:numId w:val="20"/>
        </w:numPr>
        <w:spacing w:after="120"/>
        <w:textAlignment w:val="baseline"/>
      </w:pPr>
      <w:r w:rsidRPr="00FF73F1">
        <w:t>irritable bowel syndrome, and</w:t>
      </w:r>
    </w:p>
    <w:p w14:paraId="6A0807A3" w14:textId="77777777" w:rsidR="007B2666" w:rsidRPr="00FF73F1" w:rsidRDefault="007B2666" w:rsidP="00FF73F1">
      <w:pPr>
        <w:numPr>
          <w:ilvl w:val="1"/>
          <w:numId w:val="20"/>
        </w:numPr>
        <w:spacing w:after="120"/>
        <w:textAlignment w:val="baseline"/>
      </w:pPr>
      <w:r w:rsidRPr="00FF73F1">
        <w:t>functional</w:t>
      </w:r>
    </w:p>
    <w:p w14:paraId="6A0807A4" w14:textId="77777777" w:rsidR="007B2666" w:rsidRPr="00FF73F1" w:rsidRDefault="007B2666" w:rsidP="00FF73F1">
      <w:pPr>
        <w:numPr>
          <w:ilvl w:val="2"/>
          <w:numId w:val="20"/>
        </w:numPr>
        <w:spacing w:before="0"/>
        <w:textAlignment w:val="baseline"/>
      </w:pPr>
      <w:r w:rsidRPr="00FF73F1">
        <w:t>dyspepsia</w:t>
      </w:r>
    </w:p>
    <w:p w14:paraId="6A0807A5" w14:textId="77777777" w:rsidR="007B2666" w:rsidRPr="00FF73F1" w:rsidRDefault="007B2666" w:rsidP="00FF73F1">
      <w:pPr>
        <w:numPr>
          <w:ilvl w:val="2"/>
          <w:numId w:val="20"/>
        </w:numPr>
        <w:spacing w:before="0"/>
        <w:textAlignment w:val="baseline"/>
      </w:pPr>
      <w:r w:rsidRPr="00FF73F1">
        <w:t>vomiting</w:t>
      </w:r>
    </w:p>
    <w:p w14:paraId="6A0807A6" w14:textId="77777777" w:rsidR="007B2666" w:rsidRPr="00FF73F1" w:rsidRDefault="007B2666" w:rsidP="00FF73F1">
      <w:pPr>
        <w:numPr>
          <w:ilvl w:val="2"/>
          <w:numId w:val="20"/>
        </w:numPr>
        <w:spacing w:before="0"/>
        <w:textAlignment w:val="baseline"/>
      </w:pPr>
      <w:r w:rsidRPr="00FF73F1">
        <w:t>constipation</w:t>
      </w:r>
    </w:p>
    <w:p w14:paraId="6A0807A7" w14:textId="77777777" w:rsidR="007B2666" w:rsidRPr="00FF73F1" w:rsidRDefault="007B2666" w:rsidP="00FF73F1">
      <w:pPr>
        <w:numPr>
          <w:ilvl w:val="2"/>
          <w:numId w:val="20"/>
        </w:numPr>
        <w:spacing w:before="0"/>
        <w:textAlignment w:val="baseline"/>
      </w:pPr>
      <w:r w:rsidRPr="00FF73F1">
        <w:t>bloating</w:t>
      </w:r>
    </w:p>
    <w:p w14:paraId="6A0807A8" w14:textId="77777777" w:rsidR="007B2666" w:rsidRPr="00FF73F1" w:rsidRDefault="007B2666" w:rsidP="00FF73F1">
      <w:pPr>
        <w:numPr>
          <w:ilvl w:val="2"/>
          <w:numId w:val="20"/>
        </w:numPr>
        <w:spacing w:before="0"/>
        <w:textAlignment w:val="baseline"/>
      </w:pPr>
      <w:r w:rsidRPr="00FF73F1">
        <w:t>abdominal pain syndrome</w:t>
      </w:r>
    </w:p>
    <w:p w14:paraId="6A0807A9" w14:textId="77777777" w:rsidR="007B2666" w:rsidRPr="00FF73F1" w:rsidRDefault="007B2666" w:rsidP="00FF73F1">
      <w:pPr>
        <w:numPr>
          <w:ilvl w:val="2"/>
          <w:numId w:val="20"/>
        </w:numPr>
        <w:spacing w:before="0"/>
        <w:textAlignment w:val="baseline"/>
      </w:pPr>
      <w:r w:rsidRPr="00FF73F1">
        <w:t>dysphagia</w:t>
      </w:r>
    </w:p>
    <w:p w14:paraId="6A0807AA" w14:textId="77777777" w:rsidR="007B2666" w:rsidRPr="00FF73F1" w:rsidRDefault="007B2666" w:rsidP="007B2666">
      <w:pPr>
        <w:pStyle w:val="VBABodyText0"/>
      </w:pPr>
    </w:p>
    <w:p w14:paraId="6A0807AB" w14:textId="77777777" w:rsidR="007B2666" w:rsidRPr="00FF73F1" w:rsidRDefault="007B2666" w:rsidP="007B2666">
      <w:pPr>
        <w:pStyle w:val="VBABodyText0"/>
        <w:rPr>
          <w:b/>
        </w:rPr>
      </w:pPr>
      <w:r w:rsidRPr="00FF73F1">
        <w:rPr>
          <w:b/>
        </w:rPr>
        <w:t>GERD</w:t>
      </w:r>
    </w:p>
    <w:p w14:paraId="6A0807AC" w14:textId="77777777" w:rsidR="007B2666" w:rsidRPr="00FF73F1" w:rsidRDefault="007B2666" w:rsidP="007B2666">
      <w:pPr>
        <w:spacing w:after="120"/>
        <w:textAlignment w:val="baseline"/>
      </w:pPr>
      <w:r w:rsidRPr="00FF73F1">
        <w:t>Gastroesophageal Reflux Disease</w:t>
      </w:r>
    </w:p>
    <w:p w14:paraId="6A0807AD" w14:textId="77777777" w:rsidR="007B2666" w:rsidRPr="00FF73F1" w:rsidRDefault="007B2666" w:rsidP="00FF73F1">
      <w:pPr>
        <w:numPr>
          <w:ilvl w:val="0"/>
          <w:numId w:val="21"/>
        </w:numPr>
        <w:overflowPunct/>
        <w:autoSpaceDE/>
        <w:autoSpaceDN/>
        <w:adjustRightInd/>
        <w:spacing w:after="120" w:line="276" w:lineRule="auto"/>
        <w:textAlignment w:val="baseline"/>
        <w:rPr>
          <w:rFonts w:eastAsiaTheme="minorHAnsi"/>
          <w:szCs w:val="24"/>
        </w:rPr>
      </w:pPr>
      <w:r w:rsidRPr="00FF73F1">
        <w:rPr>
          <w:rFonts w:eastAsiaTheme="minorHAnsi"/>
          <w:szCs w:val="24"/>
        </w:rPr>
        <w:t xml:space="preserve">Evaluated under DC 7346, hiatal hernia </w:t>
      </w:r>
    </w:p>
    <w:p w14:paraId="6A0807AE" w14:textId="77777777" w:rsidR="007B2666" w:rsidRPr="00FF73F1" w:rsidRDefault="007B2666" w:rsidP="00FF73F1">
      <w:pPr>
        <w:numPr>
          <w:ilvl w:val="0"/>
          <w:numId w:val="21"/>
        </w:numPr>
        <w:overflowPunct/>
        <w:autoSpaceDE/>
        <w:autoSpaceDN/>
        <w:adjustRightInd/>
        <w:spacing w:after="120" w:line="276" w:lineRule="auto"/>
        <w:textAlignment w:val="baseline"/>
        <w:rPr>
          <w:rFonts w:eastAsiaTheme="minorHAnsi"/>
          <w:szCs w:val="24"/>
        </w:rPr>
      </w:pPr>
      <w:r w:rsidRPr="00FF73F1">
        <w:rPr>
          <w:rFonts w:eastAsiaTheme="minorHAnsi"/>
          <w:szCs w:val="24"/>
        </w:rPr>
        <w:t>Structural GI disease</w:t>
      </w:r>
    </w:p>
    <w:p w14:paraId="6A0807AF" w14:textId="77777777" w:rsidR="007B2666" w:rsidRPr="00FF73F1" w:rsidRDefault="007B2666" w:rsidP="00FF73F1">
      <w:pPr>
        <w:numPr>
          <w:ilvl w:val="1"/>
          <w:numId w:val="21"/>
        </w:numPr>
        <w:overflowPunct/>
        <w:autoSpaceDE/>
        <w:autoSpaceDN/>
        <w:adjustRightInd/>
        <w:spacing w:before="0" w:after="100" w:afterAutospacing="1" w:line="276" w:lineRule="auto"/>
        <w:textAlignment w:val="baseline"/>
        <w:rPr>
          <w:rFonts w:eastAsiaTheme="minorHAnsi"/>
          <w:szCs w:val="24"/>
        </w:rPr>
      </w:pPr>
      <w:r w:rsidRPr="00FF73F1">
        <w:rPr>
          <w:rFonts w:eastAsiaTheme="minorHAnsi"/>
          <w:szCs w:val="24"/>
        </w:rPr>
        <w:t>Is not considered a FGID</w:t>
      </w:r>
    </w:p>
    <w:p w14:paraId="6A0807B0" w14:textId="77777777" w:rsidR="007B2666" w:rsidRPr="00FF73F1" w:rsidRDefault="007B2666" w:rsidP="00FF73F1">
      <w:pPr>
        <w:numPr>
          <w:ilvl w:val="1"/>
          <w:numId w:val="21"/>
        </w:numPr>
        <w:overflowPunct/>
        <w:autoSpaceDE/>
        <w:autoSpaceDN/>
        <w:adjustRightInd/>
        <w:spacing w:before="0" w:after="100" w:afterAutospacing="1" w:line="276" w:lineRule="auto"/>
        <w:textAlignment w:val="baseline"/>
        <w:rPr>
          <w:rFonts w:eastAsiaTheme="minorHAnsi"/>
          <w:szCs w:val="24"/>
        </w:rPr>
      </w:pPr>
      <w:r w:rsidRPr="00FF73F1">
        <w:rPr>
          <w:rFonts w:eastAsiaTheme="minorHAnsi"/>
          <w:szCs w:val="24"/>
        </w:rPr>
        <w:t>Does not fall into consideration for 38 CFR 3.317, but may be considered as due to an environmental hazard</w:t>
      </w:r>
    </w:p>
    <w:p w14:paraId="6A0807B1" w14:textId="77777777" w:rsidR="007B2666" w:rsidRPr="00FF73F1" w:rsidRDefault="007B2666" w:rsidP="00FF73F1">
      <w:pPr>
        <w:numPr>
          <w:ilvl w:val="0"/>
          <w:numId w:val="21"/>
        </w:numPr>
        <w:overflowPunct/>
        <w:autoSpaceDE/>
        <w:autoSpaceDN/>
        <w:adjustRightInd/>
        <w:spacing w:before="0" w:line="276" w:lineRule="auto"/>
        <w:textAlignment w:val="baseline"/>
        <w:rPr>
          <w:rFonts w:eastAsiaTheme="minorHAnsi"/>
          <w:szCs w:val="24"/>
        </w:rPr>
      </w:pPr>
      <w:r w:rsidRPr="00FF73F1">
        <w:rPr>
          <w:rFonts w:eastAsiaTheme="minorHAnsi"/>
          <w:szCs w:val="24"/>
        </w:rPr>
        <w:t>May cause secondary conditions</w:t>
      </w:r>
    </w:p>
    <w:p w14:paraId="6A0807B2" w14:textId="77777777" w:rsidR="007B2666" w:rsidRPr="00FF73F1" w:rsidRDefault="007B2666" w:rsidP="00FF73F1">
      <w:pPr>
        <w:numPr>
          <w:ilvl w:val="1"/>
          <w:numId w:val="21"/>
        </w:numPr>
        <w:overflowPunct/>
        <w:autoSpaceDE/>
        <w:autoSpaceDN/>
        <w:adjustRightInd/>
        <w:spacing w:before="0" w:line="276" w:lineRule="auto"/>
        <w:textAlignment w:val="baseline"/>
        <w:rPr>
          <w:rFonts w:eastAsiaTheme="minorHAnsi"/>
          <w:szCs w:val="24"/>
        </w:rPr>
      </w:pPr>
      <w:r w:rsidRPr="00FF73F1">
        <w:rPr>
          <w:rFonts w:eastAsiaTheme="minorHAnsi"/>
          <w:szCs w:val="24"/>
        </w:rPr>
        <w:t>esophatitis</w:t>
      </w:r>
    </w:p>
    <w:p w14:paraId="6A0807B3" w14:textId="77777777" w:rsidR="007B2666" w:rsidRPr="00FF73F1" w:rsidRDefault="007B2666" w:rsidP="00FF73F1">
      <w:pPr>
        <w:numPr>
          <w:ilvl w:val="1"/>
          <w:numId w:val="21"/>
        </w:numPr>
        <w:overflowPunct/>
        <w:autoSpaceDE/>
        <w:autoSpaceDN/>
        <w:adjustRightInd/>
        <w:spacing w:before="0" w:line="276" w:lineRule="auto"/>
        <w:textAlignment w:val="baseline"/>
        <w:rPr>
          <w:rFonts w:eastAsiaTheme="minorHAnsi"/>
          <w:szCs w:val="24"/>
        </w:rPr>
      </w:pPr>
      <w:r w:rsidRPr="00FF73F1">
        <w:rPr>
          <w:rFonts w:eastAsiaTheme="minorHAnsi"/>
          <w:szCs w:val="24"/>
        </w:rPr>
        <w:t>Barrett’s esophagus</w:t>
      </w:r>
    </w:p>
    <w:p w14:paraId="6A0807B4" w14:textId="77777777" w:rsidR="007B2666" w:rsidRPr="00FF73F1" w:rsidRDefault="007B2666" w:rsidP="00FF73F1">
      <w:pPr>
        <w:numPr>
          <w:ilvl w:val="1"/>
          <w:numId w:val="21"/>
        </w:numPr>
        <w:overflowPunct/>
        <w:autoSpaceDE/>
        <w:autoSpaceDN/>
        <w:adjustRightInd/>
        <w:spacing w:before="0" w:line="276" w:lineRule="auto"/>
        <w:textAlignment w:val="baseline"/>
        <w:rPr>
          <w:rFonts w:eastAsiaTheme="minorHAnsi"/>
          <w:szCs w:val="24"/>
        </w:rPr>
      </w:pPr>
      <w:r w:rsidRPr="00FF73F1">
        <w:rPr>
          <w:rFonts w:eastAsiaTheme="minorHAnsi"/>
          <w:szCs w:val="24"/>
        </w:rPr>
        <w:t>bleeding/ulcers</w:t>
      </w:r>
    </w:p>
    <w:p w14:paraId="6A0807B5" w14:textId="77777777" w:rsidR="007B2666" w:rsidRPr="00FF73F1" w:rsidRDefault="007B2666" w:rsidP="00FF73F1">
      <w:pPr>
        <w:numPr>
          <w:ilvl w:val="1"/>
          <w:numId w:val="21"/>
        </w:numPr>
        <w:overflowPunct/>
        <w:autoSpaceDE/>
        <w:autoSpaceDN/>
        <w:adjustRightInd/>
        <w:spacing w:before="0" w:line="276" w:lineRule="auto"/>
        <w:textAlignment w:val="baseline"/>
        <w:rPr>
          <w:rFonts w:eastAsiaTheme="minorHAnsi"/>
          <w:szCs w:val="24"/>
        </w:rPr>
      </w:pPr>
      <w:r w:rsidRPr="00FF73F1">
        <w:rPr>
          <w:rFonts w:eastAsiaTheme="minorHAnsi"/>
          <w:szCs w:val="24"/>
        </w:rPr>
        <w:t>tooth enamel decay</w:t>
      </w:r>
    </w:p>
    <w:p w14:paraId="6A0807B6" w14:textId="77777777" w:rsidR="007A5600" w:rsidRPr="00FF73F1" w:rsidRDefault="007B2666" w:rsidP="007B2666">
      <w:pPr>
        <w:pStyle w:val="VBABodyText0"/>
        <w:rPr>
          <w:rFonts w:ascii="Times New Roman Bold" w:hAnsi="Times New Roman Bold"/>
          <w:sz w:val="32"/>
          <w:szCs w:val="32"/>
        </w:rPr>
      </w:pPr>
      <w:r w:rsidRPr="00FF73F1">
        <w:t>NOTE:  This condition is a common digestive system diagnosis.  It is considered a structural GI disease, and thus is not considered for service connection under 38 CFR 3.317.  However, if a Veteran with qualifying service in an area known to have environmental hazard exposure claims the condition, a medical nexus opinion may be warranted.</w:t>
      </w:r>
      <w:r w:rsidR="007A5600" w:rsidRPr="00FF73F1">
        <w:br w:type="page"/>
      </w:r>
    </w:p>
    <w:p w14:paraId="6A0807B7" w14:textId="77777777" w:rsidR="007A5600" w:rsidRPr="00FF73F1" w:rsidRDefault="000B44D3">
      <w:pPr>
        <w:pStyle w:val="VBATopicHeading1"/>
      </w:pPr>
      <w:bookmarkStart w:id="19" w:name="_Toc445454415"/>
      <w:r w:rsidRPr="00FF73F1">
        <w:lastRenderedPageBreak/>
        <w:t xml:space="preserve">Topic 3: </w:t>
      </w:r>
      <w:r w:rsidR="007B2666" w:rsidRPr="00FF73F1">
        <w:t>Hepatitis</w:t>
      </w:r>
      <w:bookmarkEnd w:id="19"/>
    </w:p>
    <w:p w14:paraId="6A0807B8" w14:textId="77777777" w:rsidR="007B2666" w:rsidRPr="00FF73F1" w:rsidRDefault="007B2666">
      <w:pPr>
        <w:pStyle w:val="VBATopicHeading1"/>
      </w:pPr>
    </w:p>
    <w:p w14:paraId="6A0807B9" w14:textId="77777777" w:rsidR="007B2666" w:rsidRPr="00FF73F1" w:rsidRDefault="007B2666">
      <w:pPr>
        <w:overflowPunct/>
        <w:autoSpaceDE/>
        <w:autoSpaceDN/>
        <w:adjustRightInd/>
        <w:spacing w:before="0"/>
        <w:rPr>
          <w:b/>
        </w:rPr>
      </w:pPr>
      <w:r w:rsidRPr="00FF73F1">
        <w:rPr>
          <w:b/>
        </w:rPr>
        <w:t>Hepatitis A&amp;B</w:t>
      </w:r>
    </w:p>
    <w:p w14:paraId="6A0807BA" w14:textId="77777777" w:rsidR="007B2666" w:rsidRPr="00FF73F1" w:rsidRDefault="007B2666" w:rsidP="007B2666">
      <w:pPr>
        <w:spacing w:after="240"/>
        <w:textAlignment w:val="baseline"/>
      </w:pPr>
      <w:r w:rsidRPr="00FF73F1">
        <w:t xml:space="preserve">Hepatitis is a liver condition which may be caused by one of three viral infections.  Each diagnosis is identified by the strain of virus causing the condition. </w:t>
      </w:r>
    </w:p>
    <w:p w14:paraId="6A0807BB" w14:textId="77777777" w:rsidR="007B2666" w:rsidRPr="00FF73F1" w:rsidRDefault="007B2666" w:rsidP="007B2666">
      <w:pPr>
        <w:spacing w:after="120"/>
        <w:textAlignment w:val="baseline"/>
        <w:rPr>
          <w:rFonts w:eastAsiaTheme="minorHAnsi"/>
          <w:szCs w:val="24"/>
        </w:rPr>
      </w:pPr>
      <w:r w:rsidRPr="00FF73F1">
        <w:t xml:space="preserve"> </w:t>
      </w:r>
      <w:r w:rsidRPr="00FF73F1">
        <w:rPr>
          <w:rFonts w:eastAsiaTheme="minorHAnsi"/>
          <w:szCs w:val="24"/>
        </w:rPr>
        <w:t>Hepatitis A Virus (HAV)</w:t>
      </w:r>
    </w:p>
    <w:p w14:paraId="6A0807BC" w14:textId="77777777" w:rsidR="007B2666" w:rsidRPr="00FF73F1" w:rsidRDefault="007B2666" w:rsidP="00FF73F1">
      <w:pPr>
        <w:numPr>
          <w:ilvl w:val="0"/>
          <w:numId w:val="22"/>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Acute infection, service connection not warranted unless evidence indicates chronic residuals</w:t>
      </w:r>
    </w:p>
    <w:p w14:paraId="6A0807BD" w14:textId="77777777" w:rsidR="007B2666" w:rsidRPr="00FF73F1" w:rsidRDefault="007B2666" w:rsidP="00FF73F1">
      <w:pPr>
        <w:numPr>
          <w:ilvl w:val="0"/>
          <w:numId w:val="22"/>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Anti-HAV present for life</w:t>
      </w:r>
    </w:p>
    <w:p w14:paraId="6A0807BE" w14:textId="77777777" w:rsidR="007B2666" w:rsidRPr="00FF73F1" w:rsidRDefault="007B2666" w:rsidP="007B2666">
      <w:pPr>
        <w:overflowPunct/>
        <w:autoSpaceDE/>
        <w:autoSpaceDN/>
        <w:adjustRightInd/>
        <w:spacing w:after="120" w:line="276" w:lineRule="auto"/>
        <w:ind w:left="720"/>
        <w:contextualSpacing/>
        <w:rPr>
          <w:rFonts w:eastAsiaTheme="minorHAnsi"/>
          <w:szCs w:val="24"/>
        </w:rPr>
      </w:pPr>
    </w:p>
    <w:p w14:paraId="6A0807BF" w14:textId="77777777" w:rsidR="007B2666" w:rsidRPr="00FF73F1" w:rsidRDefault="007B2666" w:rsidP="007B2666">
      <w:pPr>
        <w:overflowPunct/>
        <w:autoSpaceDE/>
        <w:autoSpaceDN/>
        <w:adjustRightInd/>
        <w:spacing w:after="120" w:line="276" w:lineRule="auto"/>
        <w:rPr>
          <w:rFonts w:eastAsiaTheme="minorHAnsi"/>
          <w:szCs w:val="24"/>
        </w:rPr>
      </w:pPr>
      <w:r w:rsidRPr="00FF73F1">
        <w:rPr>
          <w:rFonts w:eastAsiaTheme="minorHAnsi"/>
          <w:szCs w:val="24"/>
        </w:rPr>
        <w:t>Hepatitis B Virus (HBV)</w:t>
      </w:r>
    </w:p>
    <w:p w14:paraId="6A0807C0" w14:textId="77777777" w:rsidR="007B2666" w:rsidRPr="00FF73F1" w:rsidRDefault="007B2666" w:rsidP="007B2666">
      <w:pPr>
        <w:numPr>
          <w:ilvl w:val="0"/>
          <w:numId w:val="22"/>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May be service connected if chronic and linked to service</w:t>
      </w:r>
    </w:p>
    <w:p w14:paraId="6A0807C1" w14:textId="77777777" w:rsidR="007B2666" w:rsidRPr="00FF73F1" w:rsidRDefault="007B2666" w:rsidP="007B2666">
      <w:pPr>
        <w:numPr>
          <w:ilvl w:val="0"/>
          <w:numId w:val="22"/>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5% to 10% found to be chronic</w:t>
      </w:r>
    </w:p>
    <w:p w14:paraId="6A0807C2" w14:textId="77777777" w:rsidR="007B2666" w:rsidRPr="00FF73F1" w:rsidRDefault="007B2666" w:rsidP="007B2666">
      <w:pPr>
        <w:numPr>
          <w:ilvl w:val="0"/>
          <w:numId w:val="22"/>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Linked to blood transfusions prior to 1975 and sexual contact</w:t>
      </w:r>
    </w:p>
    <w:p w14:paraId="6A0807C3" w14:textId="77777777" w:rsidR="007B2666" w:rsidRPr="00FF73F1" w:rsidRDefault="007B2666" w:rsidP="007B2666">
      <w:pPr>
        <w:numPr>
          <w:ilvl w:val="0"/>
          <w:numId w:val="22"/>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One documented case from jet airgun injector immunization</w:t>
      </w:r>
    </w:p>
    <w:p w14:paraId="6A0807C4" w14:textId="77777777" w:rsidR="007B2666" w:rsidRPr="00FF73F1" w:rsidRDefault="007B2666" w:rsidP="007B2666">
      <w:pPr>
        <w:overflowPunct/>
        <w:autoSpaceDE/>
        <w:autoSpaceDN/>
        <w:adjustRightInd/>
        <w:spacing w:after="120" w:line="276" w:lineRule="auto"/>
        <w:contextualSpacing/>
        <w:textAlignment w:val="baseline"/>
        <w:rPr>
          <w:rFonts w:eastAsiaTheme="minorHAnsi"/>
          <w:szCs w:val="24"/>
        </w:rPr>
      </w:pPr>
    </w:p>
    <w:p w14:paraId="6A0807C5" w14:textId="77777777" w:rsidR="007B2666" w:rsidRPr="00FF73F1" w:rsidRDefault="007B2666" w:rsidP="007B2666">
      <w:pPr>
        <w:overflowPunct/>
        <w:autoSpaceDE/>
        <w:autoSpaceDN/>
        <w:adjustRightInd/>
        <w:spacing w:after="120" w:line="276" w:lineRule="auto"/>
        <w:contextualSpacing/>
        <w:textAlignment w:val="baseline"/>
        <w:rPr>
          <w:rFonts w:eastAsiaTheme="minorHAnsi"/>
          <w:b/>
          <w:szCs w:val="24"/>
        </w:rPr>
      </w:pPr>
      <w:r w:rsidRPr="00FF73F1">
        <w:rPr>
          <w:rFonts w:eastAsiaTheme="minorHAnsi"/>
          <w:b/>
          <w:szCs w:val="24"/>
        </w:rPr>
        <w:t>Hepatitis C</w:t>
      </w:r>
    </w:p>
    <w:p w14:paraId="6A0807C6" w14:textId="77777777" w:rsidR="007B2666" w:rsidRPr="00FF73F1" w:rsidRDefault="007B2666" w:rsidP="007B2666">
      <w:pPr>
        <w:overflowPunct/>
        <w:autoSpaceDE/>
        <w:autoSpaceDN/>
        <w:adjustRightInd/>
        <w:spacing w:after="120" w:line="276" w:lineRule="auto"/>
        <w:contextualSpacing/>
        <w:textAlignment w:val="baseline"/>
        <w:rPr>
          <w:rFonts w:eastAsiaTheme="minorHAnsi"/>
          <w:b/>
          <w:szCs w:val="24"/>
        </w:rPr>
      </w:pPr>
    </w:p>
    <w:p w14:paraId="6A0807C7" w14:textId="77777777" w:rsidR="007B2666" w:rsidRPr="00FF73F1" w:rsidRDefault="007B2666" w:rsidP="007B2666">
      <w:pPr>
        <w:spacing w:after="120"/>
        <w:textAlignment w:val="baseline"/>
      </w:pPr>
      <w:r w:rsidRPr="00FF73F1">
        <w:t>Hepatitis C Virus (HCV)</w:t>
      </w:r>
    </w:p>
    <w:p w14:paraId="6A0807C8" w14:textId="77777777" w:rsidR="007B2666" w:rsidRPr="00FF73F1" w:rsidRDefault="007B2666" w:rsidP="00FF73F1">
      <w:pPr>
        <w:numPr>
          <w:ilvl w:val="0"/>
          <w:numId w:val="23"/>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Diagnostic criteria are detailed in M21-1, III.iv.4.I</w:t>
      </w:r>
    </w:p>
    <w:p w14:paraId="6A0807C9" w14:textId="77777777" w:rsidR="007B2666" w:rsidRPr="00FF73F1" w:rsidRDefault="007B2666" w:rsidP="00FF73F1">
      <w:pPr>
        <w:numPr>
          <w:ilvl w:val="0"/>
          <w:numId w:val="23"/>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Infection occurs via blood contact</w:t>
      </w:r>
    </w:p>
    <w:p w14:paraId="6A0807CA" w14:textId="77777777" w:rsidR="007B2666" w:rsidRPr="00FF73F1" w:rsidRDefault="007B2666" w:rsidP="00FF73F1">
      <w:pPr>
        <w:numPr>
          <w:ilvl w:val="1"/>
          <w:numId w:val="23"/>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the M21 contains a partial list of exposure risks</w:t>
      </w:r>
    </w:p>
    <w:p w14:paraId="6A0807CB" w14:textId="77777777" w:rsidR="007B2666" w:rsidRPr="00FF73F1" w:rsidRDefault="007B2666" w:rsidP="00FF73F1">
      <w:pPr>
        <w:numPr>
          <w:ilvl w:val="1"/>
          <w:numId w:val="23"/>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if the risk factor occurs during service, a medical opinion is warranted</w:t>
      </w:r>
    </w:p>
    <w:p w14:paraId="6A0807CC" w14:textId="77777777" w:rsidR="007B2666" w:rsidRPr="00FF73F1" w:rsidRDefault="007B2666" w:rsidP="00FF73F1">
      <w:pPr>
        <w:numPr>
          <w:ilvl w:val="0"/>
          <w:numId w:val="23"/>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80% of acute cases become chronic</w:t>
      </w:r>
    </w:p>
    <w:p w14:paraId="6A0807CD" w14:textId="77777777" w:rsidR="007B2666" w:rsidRPr="00FF73F1" w:rsidRDefault="007B2666" w:rsidP="00FF73F1">
      <w:pPr>
        <w:numPr>
          <w:ilvl w:val="0"/>
          <w:numId w:val="23"/>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Do not automatically deny if HVC is found to be partially due to drug abuse</w:t>
      </w:r>
    </w:p>
    <w:p w14:paraId="6A0807CE" w14:textId="77777777" w:rsidR="007B2666" w:rsidRPr="00FF73F1" w:rsidRDefault="007B2666" w:rsidP="00FF73F1">
      <w:pPr>
        <w:numPr>
          <w:ilvl w:val="1"/>
          <w:numId w:val="23"/>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If other risk factors exist a medical opinion is needed</w:t>
      </w:r>
    </w:p>
    <w:p w14:paraId="6A0807CF" w14:textId="77777777" w:rsidR="007B2666" w:rsidRPr="00FF73F1" w:rsidRDefault="007B2666" w:rsidP="00FF73F1">
      <w:pPr>
        <w:numPr>
          <w:ilvl w:val="0"/>
          <w:numId w:val="23"/>
        </w:numPr>
        <w:overflowPunct/>
        <w:autoSpaceDE/>
        <w:autoSpaceDN/>
        <w:adjustRightInd/>
        <w:spacing w:after="120" w:line="276" w:lineRule="auto"/>
        <w:contextualSpacing/>
        <w:textAlignment w:val="baseline"/>
        <w:rPr>
          <w:rFonts w:eastAsiaTheme="minorHAnsi"/>
          <w:szCs w:val="24"/>
        </w:rPr>
      </w:pPr>
      <w:r w:rsidRPr="00FF73F1">
        <w:rPr>
          <w:rFonts w:eastAsiaTheme="minorHAnsi"/>
          <w:szCs w:val="24"/>
        </w:rPr>
        <w:t xml:space="preserve">Service connection for HVC may be severed if established after October 31, 1990, it is not protected by 38 CFR 3.957, and is found to be exclusively due to drug abuse </w:t>
      </w:r>
    </w:p>
    <w:p w14:paraId="6A0807D0" w14:textId="77777777" w:rsidR="007B2666" w:rsidRPr="00FF73F1" w:rsidRDefault="007B2666" w:rsidP="00FF73F1">
      <w:pPr>
        <w:overflowPunct/>
        <w:autoSpaceDE/>
        <w:autoSpaceDN/>
        <w:adjustRightInd/>
        <w:spacing w:after="120" w:line="276" w:lineRule="auto"/>
        <w:contextualSpacing/>
        <w:textAlignment w:val="baseline"/>
        <w:rPr>
          <w:rFonts w:eastAsiaTheme="minorHAnsi"/>
          <w:szCs w:val="24"/>
        </w:rPr>
      </w:pPr>
      <w:r w:rsidRPr="00FF73F1">
        <w:t xml:space="preserve">NOTE:  Rating HCV has historically been an area in which inconsistencies exist.  </w:t>
      </w:r>
      <w:r w:rsidRPr="00FF73F1">
        <w:rPr>
          <w:rFonts w:eastAsiaTheme="minorHAnsi"/>
          <w:szCs w:val="24"/>
        </w:rPr>
        <w:t>M21-1, III.iv.4.I is very detailed in its instructions for addressing claims for HCV.  Ensure proper development has been conducted and all required evidence is obtained prior to making a decision.</w:t>
      </w:r>
    </w:p>
    <w:p w14:paraId="6A0807D1" w14:textId="77777777" w:rsidR="007A5600" w:rsidRPr="00FF73F1" w:rsidRDefault="007A5600">
      <w:pPr>
        <w:overflowPunct/>
        <w:autoSpaceDE/>
        <w:autoSpaceDN/>
        <w:adjustRightInd/>
        <w:spacing w:before="0"/>
        <w:rPr>
          <w:rFonts w:ascii="Times New Roman Bold" w:hAnsi="Times New Roman Bold"/>
          <w:b/>
          <w:smallCaps/>
          <w:sz w:val="32"/>
          <w:szCs w:val="32"/>
        </w:rPr>
      </w:pPr>
      <w:r w:rsidRPr="00FF73F1">
        <w:br w:type="page"/>
      </w:r>
    </w:p>
    <w:p w14:paraId="6A0807D2" w14:textId="77777777" w:rsidR="007A5600" w:rsidRPr="00FF73F1" w:rsidRDefault="007A5600">
      <w:pPr>
        <w:pStyle w:val="VBATopicHeading1"/>
      </w:pPr>
      <w:bookmarkStart w:id="20" w:name="_Toc445454416"/>
      <w:r w:rsidRPr="00FF73F1">
        <w:lastRenderedPageBreak/>
        <w:t>Practical Exercise</w:t>
      </w:r>
      <w:bookmarkEnd w:id="20"/>
    </w:p>
    <w:p w14:paraId="6A0807D3" w14:textId="77777777" w:rsidR="007A5600" w:rsidRPr="00FF73F1" w:rsidRDefault="005175F0" w:rsidP="005175F0">
      <w:r w:rsidRPr="00FF73F1">
        <w:t xml:space="preserve">Directions: </w:t>
      </w:r>
      <w:r w:rsidR="007B2666" w:rsidRPr="00FF73F1">
        <w:t>Read the following questions, provide answers, and prepare to discuss.</w:t>
      </w:r>
    </w:p>
    <w:p w14:paraId="6A0807D4" w14:textId="77777777" w:rsidR="007B2666" w:rsidRPr="00FF73F1" w:rsidRDefault="007B2666" w:rsidP="005175F0"/>
    <w:p w14:paraId="6A0807D5" w14:textId="77777777" w:rsidR="005175F0" w:rsidRPr="00FF73F1" w:rsidRDefault="007B2666" w:rsidP="005175F0">
      <w:pPr>
        <w:pStyle w:val="ListParagraph"/>
        <w:numPr>
          <w:ilvl w:val="0"/>
          <w:numId w:val="24"/>
        </w:numPr>
      </w:pPr>
      <w:r w:rsidRPr="00FF73F1">
        <w:t xml:space="preserve">A Veteran is service connected for irritable bowel syndrome (IBS), evaluated as 10% disabling under DC 7319 for </w:t>
      </w:r>
      <w:r w:rsidR="00C80641" w:rsidRPr="00FF73F1">
        <w:t>moderate</w:t>
      </w:r>
      <w:r w:rsidRPr="00FF73F1">
        <w:t xml:space="preserve"> disturbances of bowel function.  We receive a vali</w:t>
      </w:r>
      <w:r w:rsidR="009B731F" w:rsidRPr="00FF73F1">
        <w:t>d claim for increase of the IBS, and a new claim for gastroesophageal reflux disease (GERD) as secondary to IBS.  VA treatment records show current treatment for both conditions.  Examination results confirm the presence of both IBS and GERD, and the examiner provides a positive association between the conditions.</w:t>
      </w:r>
      <w:r w:rsidR="00C80641" w:rsidRPr="00FF73F1">
        <w:t xml:space="preserve">  The Intestinal DBQ continues to show frequent episodes of bowel disturbance.  The Esophageal Conditions DBQ shows </w:t>
      </w:r>
      <w:r w:rsidR="00B72382" w:rsidRPr="00FF73F1">
        <w:t xml:space="preserve">persistently recurrent epigastric distress.  The Veteran experiences dysphagia, pyrosis, and regurgitation.  </w:t>
      </w:r>
      <w:r w:rsidR="009C2F1F" w:rsidRPr="00FF73F1">
        <w:t>A review of the available medical evidence indicates the Veteran takes continuous medication for the condition, is unable to eat a wide variety of foods, and the condition prevents them from participating in certain physical activity on a regular basis.</w:t>
      </w:r>
    </w:p>
    <w:p w14:paraId="6A0807D6" w14:textId="77777777" w:rsidR="009C2F1F" w:rsidRPr="00FF73F1" w:rsidRDefault="009C2F1F" w:rsidP="009C2F1F"/>
    <w:p w14:paraId="6A0807D7" w14:textId="77777777" w:rsidR="009C2F1F" w:rsidRPr="00FF73F1" w:rsidRDefault="009C2F1F" w:rsidP="009C2F1F">
      <w:pPr>
        <w:ind w:left="720"/>
      </w:pPr>
      <w:r w:rsidRPr="00FF73F1">
        <w:t>How should this claim be evaluated?</w:t>
      </w:r>
    </w:p>
    <w:p w14:paraId="6A0807D8" w14:textId="77777777" w:rsidR="009C2F1F" w:rsidRPr="00FF73F1" w:rsidRDefault="009C2F1F" w:rsidP="009C2F1F"/>
    <w:p w14:paraId="6A0807D9" w14:textId="77777777" w:rsidR="009C2F1F" w:rsidRPr="00FF73F1" w:rsidRDefault="009C2F1F" w:rsidP="009C2F1F">
      <w:pPr>
        <w:pStyle w:val="ListParagraph"/>
        <w:numPr>
          <w:ilvl w:val="0"/>
          <w:numId w:val="24"/>
        </w:numPr>
      </w:pPr>
      <w:r w:rsidRPr="00FF73F1">
        <w:t xml:space="preserve">A Veteran with qualifying Gulf War service submits a claim for an undiagnosed illness due to service in SW Asia.  This claim describes stomach problems that include alternating diarrhea and constipation, with episodes of bloating. The Veteran states the condition has persisted since discharge from active duty two years ago. A Gulf War General Medical DBQ is returned with an accompanying Intestinal Conditions DBQ.  The examiner has provided a diagnosis of irritable bowel syndrome.  </w:t>
      </w:r>
    </w:p>
    <w:p w14:paraId="6A0807DA" w14:textId="77777777" w:rsidR="009C2F1F" w:rsidRPr="00FF73F1" w:rsidRDefault="009C2F1F" w:rsidP="009C2F1F">
      <w:pPr>
        <w:ind w:left="720"/>
      </w:pPr>
    </w:p>
    <w:p w14:paraId="6A0807DB" w14:textId="77777777" w:rsidR="009C2F1F" w:rsidRPr="00FF73F1" w:rsidRDefault="006F0269" w:rsidP="009C2F1F">
      <w:pPr>
        <w:ind w:left="720"/>
      </w:pPr>
      <w:r w:rsidRPr="00FF73F1">
        <w:t>Is service connection</w:t>
      </w:r>
      <w:r w:rsidR="009C2F1F" w:rsidRPr="00FF73F1">
        <w:t xml:space="preserve"> warranted?</w:t>
      </w:r>
    </w:p>
    <w:p w14:paraId="6A0807DC" w14:textId="77777777" w:rsidR="009C2F1F" w:rsidRPr="00FF73F1" w:rsidRDefault="009C2F1F" w:rsidP="009C2F1F">
      <w:pPr>
        <w:ind w:left="720"/>
      </w:pPr>
    </w:p>
    <w:p w14:paraId="6A0807DD" w14:textId="77777777" w:rsidR="009C2F1F" w:rsidRPr="00FF73F1" w:rsidRDefault="009C2F1F" w:rsidP="009C2F1F">
      <w:pPr>
        <w:ind w:left="720"/>
      </w:pPr>
      <w:r w:rsidRPr="00FF73F1">
        <w:t>Explain the basis of your decision.</w:t>
      </w:r>
    </w:p>
    <w:p w14:paraId="6A0807DE" w14:textId="77777777" w:rsidR="009C2F1F" w:rsidRPr="00FF73F1" w:rsidRDefault="009C2F1F" w:rsidP="009C2F1F"/>
    <w:p w14:paraId="6A0807DF" w14:textId="77777777" w:rsidR="009C2F1F" w:rsidRPr="00FF73F1" w:rsidRDefault="006F0269" w:rsidP="009C2F1F">
      <w:pPr>
        <w:pStyle w:val="ListParagraph"/>
        <w:numPr>
          <w:ilvl w:val="0"/>
          <w:numId w:val="24"/>
        </w:numPr>
      </w:pPr>
      <w:r w:rsidRPr="00FF73F1">
        <w:t xml:space="preserve">A Veteran submits a claim for hepatitis with private medical records attached.  A review of the STRs show the Veteran was diagnosed and treated for Hepatitis A during service.  The separation exam is silent for residuals of the hepatitis.  The private treatment records submitted show lab testing confiming the presence of HAV.  All other liver function tests are normal.  </w:t>
      </w:r>
    </w:p>
    <w:p w14:paraId="6A0807E0" w14:textId="77777777" w:rsidR="006F0269" w:rsidRPr="00FF73F1" w:rsidRDefault="006F0269" w:rsidP="006F0269">
      <w:pPr>
        <w:ind w:left="720"/>
      </w:pPr>
    </w:p>
    <w:p w14:paraId="6A0807E1" w14:textId="77777777" w:rsidR="006F0269" w:rsidRPr="00FF73F1" w:rsidRDefault="006F0269" w:rsidP="006F0269">
      <w:pPr>
        <w:ind w:left="720"/>
      </w:pPr>
      <w:r w:rsidRPr="00FF73F1">
        <w:t>Is service connetion warranted?</w:t>
      </w:r>
    </w:p>
    <w:p w14:paraId="6A0807E2" w14:textId="77777777" w:rsidR="006F0269" w:rsidRPr="00FF73F1" w:rsidRDefault="006F0269" w:rsidP="006F0269">
      <w:pPr>
        <w:ind w:left="720"/>
      </w:pPr>
    </w:p>
    <w:p w14:paraId="6A0807E3" w14:textId="77777777" w:rsidR="006F0269" w:rsidRPr="00FF73F1" w:rsidRDefault="006F0269" w:rsidP="006F0269">
      <w:pPr>
        <w:ind w:left="720"/>
      </w:pPr>
      <w:r w:rsidRPr="00FF73F1">
        <w:t>Explain the basis of your decision.</w:t>
      </w:r>
    </w:p>
    <w:sectPr w:rsidR="006F0269" w:rsidRPr="00FF73F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CAE48" w14:textId="77777777" w:rsidR="008205F5" w:rsidRDefault="008205F5">
      <w:pPr>
        <w:spacing w:before="0"/>
      </w:pPr>
      <w:r>
        <w:separator/>
      </w:r>
    </w:p>
  </w:endnote>
  <w:endnote w:type="continuationSeparator" w:id="0">
    <w:p w14:paraId="20173DA4" w14:textId="77777777" w:rsidR="008205F5" w:rsidRDefault="008205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807E8" w14:textId="77777777" w:rsidR="00AA1A39" w:rsidRDefault="002D5962">
    <w:pPr>
      <w:pStyle w:val="VBAFooter"/>
    </w:pPr>
    <w:r>
      <w:t>March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33689A">
      <w:rPr>
        <w:noProof/>
      </w:rPr>
      <w:t>2</w:t>
    </w:r>
    <w:r w:rsidR="00AA1A39">
      <w:fldChar w:fldCharType="end"/>
    </w:r>
  </w:p>
  <w:p w14:paraId="6A0807E9"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6030E" w14:textId="77777777" w:rsidR="008205F5" w:rsidRDefault="008205F5">
      <w:pPr>
        <w:spacing w:before="0"/>
      </w:pPr>
      <w:r>
        <w:separator/>
      </w:r>
    </w:p>
  </w:footnote>
  <w:footnote w:type="continuationSeparator" w:id="0">
    <w:p w14:paraId="480E9DD1" w14:textId="77777777" w:rsidR="008205F5" w:rsidRDefault="008205F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43324"/>
    <w:multiLevelType w:val="hybridMultilevel"/>
    <w:tmpl w:val="4250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29333B4"/>
    <w:multiLevelType w:val="hybridMultilevel"/>
    <w:tmpl w:val="6684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55183"/>
    <w:multiLevelType w:val="hybridMultilevel"/>
    <w:tmpl w:val="C0C8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50883"/>
    <w:multiLevelType w:val="hybridMultilevel"/>
    <w:tmpl w:val="534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C401F"/>
    <w:multiLevelType w:val="hybridMultilevel"/>
    <w:tmpl w:val="6BCA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F07B6"/>
    <w:multiLevelType w:val="hybridMultilevel"/>
    <w:tmpl w:val="DF74058C"/>
    <w:lvl w:ilvl="0" w:tplc="BFE2DF94">
      <w:start w:val="3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320EF"/>
    <w:multiLevelType w:val="hybridMultilevel"/>
    <w:tmpl w:val="74A4536E"/>
    <w:lvl w:ilvl="0" w:tplc="BFE2DF94">
      <w:start w:val="3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7210DC"/>
    <w:multiLevelType w:val="hybridMultilevel"/>
    <w:tmpl w:val="13FC2F4E"/>
    <w:lvl w:ilvl="0" w:tplc="BFE2DF94">
      <w:start w:val="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nsid w:val="468E70DE"/>
    <w:multiLevelType w:val="hybridMultilevel"/>
    <w:tmpl w:val="73B0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B2FE4"/>
    <w:multiLevelType w:val="hybridMultilevel"/>
    <w:tmpl w:val="E47CEB0E"/>
    <w:lvl w:ilvl="0" w:tplc="BFE2DF94">
      <w:start w:val="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172FB"/>
    <w:multiLevelType w:val="hybridMultilevel"/>
    <w:tmpl w:val="8D5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6D5A5D"/>
    <w:multiLevelType w:val="hybridMultilevel"/>
    <w:tmpl w:val="D67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BC0638"/>
    <w:multiLevelType w:val="hybridMultilevel"/>
    <w:tmpl w:val="6D282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CA3A50"/>
    <w:multiLevelType w:val="hybridMultilevel"/>
    <w:tmpl w:val="779A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9E0BED"/>
    <w:multiLevelType w:val="hybridMultilevel"/>
    <w:tmpl w:val="7B108BC0"/>
    <w:lvl w:ilvl="0" w:tplc="BFE2DF94">
      <w:start w:val="3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C2896"/>
    <w:multiLevelType w:val="hybridMultilevel"/>
    <w:tmpl w:val="81F89DB4"/>
    <w:lvl w:ilvl="0" w:tplc="F6CA2A70">
      <w:start w:val="3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FD373B"/>
    <w:multiLevelType w:val="hybridMultilevel"/>
    <w:tmpl w:val="1E20F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D950DF"/>
    <w:multiLevelType w:val="hybridMultilevel"/>
    <w:tmpl w:val="8C82E362"/>
    <w:lvl w:ilvl="0" w:tplc="ACD8721E">
      <w:start w:val="3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18"/>
  </w:num>
  <w:num w:numId="4">
    <w:abstractNumId w:val="15"/>
  </w:num>
  <w:num w:numId="5">
    <w:abstractNumId w:val="23"/>
  </w:num>
  <w:num w:numId="6">
    <w:abstractNumId w:val="3"/>
  </w:num>
  <w:num w:numId="7">
    <w:abstractNumId w:val="6"/>
  </w:num>
  <w:num w:numId="8">
    <w:abstractNumId w:val="27"/>
  </w:num>
  <w:num w:numId="9">
    <w:abstractNumId w:val="17"/>
  </w:num>
  <w:num w:numId="10">
    <w:abstractNumId w:val="2"/>
  </w:num>
  <w:num w:numId="11">
    <w:abstractNumId w:val="13"/>
  </w:num>
  <w:num w:numId="12">
    <w:abstractNumId w:val="33"/>
  </w:num>
  <w:num w:numId="13">
    <w:abstractNumId w:val="0"/>
  </w:num>
  <w:num w:numId="14">
    <w:abstractNumId w:val="22"/>
  </w:num>
  <w:num w:numId="15">
    <w:abstractNumId w:val="14"/>
  </w:num>
  <w:num w:numId="16">
    <w:abstractNumId w:val="5"/>
  </w:num>
  <w:num w:numId="17">
    <w:abstractNumId w:val="20"/>
  </w:num>
  <w:num w:numId="18">
    <w:abstractNumId w:val="16"/>
  </w:num>
  <w:num w:numId="19">
    <w:abstractNumId w:val="28"/>
  </w:num>
  <w:num w:numId="20">
    <w:abstractNumId w:val="11"/>
  </w:num>
  <w:num w:numId="21">
    <w:abstractNumId w:val="10"/>
  </w:num>
  <w:num w:numId="22">
    <w:abstractNumId w:val="32"/>
  </w:num>
  <w:num w:numId="23">
    <w:abstractNumId w:val="29"/>
  </w:num>
  <w:num w:numId="24">
    <w:abstractNumId w:val="19"/>
  </w:num>
  <w:num w:numId="25">
    <w:abstractNumId w:val="24"/>
  </w:num>
  <w:num w:numId="26">
    <w:abstractNumId w:val="4"/>
  </w:num>
  <w:num w:numId="27">
    <w:abstractNumId w:val="8"/>
  </w:num>
  <w:num w:numId="28">
    <w:abstractNumId w:val="26"/>
  </w:num>
  <w:num w:numId="29">
    <w:abstractNumId w:val="21"/>
  </w:num>
  <w:num w:numId="30">
    <w:abstractNumId w:val="30"/>
  </w:num>
  <w:num w:numId="31">
    <w:abstractNumId w:val="7"/>
  </w:num>
  <w:num w:numId="32">
    <w:abstractNumId w:val="25"/>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C1E5C"/>
    <w:rsid w:val="000E3279"/>
    <w:rsid w:val="001026F8"/>
    <w:rsid w:val="001948B1"/>
    <w:rsid w:val="001C38D3"/>
    <w:rsid w:val="00244857"/>
    <w:rsid w:val="002D5962"/>
    <w:rsid w:val="00335191"/>
    <w:rsid w:val="0033689A"/>
    <w:rsid w:val="00375E4E"/>
    <w:rsid w:val="003A6F95"/>
    <w:rsid w:val="003B11BD"/>
    <w:rsid w:val="003C3F7E"/>
    <w:rsid w:val="003F7729"/>
    <w:rsid w:val="005175F0"/>
    <w:rsid w:val="0052286D"/>
    <w:rsid w:val="005361DF"/>
    <w:rsid w:val="0059633D"/>
    <w:rsid w:val="005E6CC5"/>
    <w:rsid w:val="006B0C0F"/>
    <w:rsid w:val="006F0269"/>
    <w:rsid w:val="007A5600"/>
    <w:rsid w:val="007B2666"/>
    <w:rsid w:val="008205F5"/>
    <w:rsid w:val="00975461"/>
    <w:rsid w:val="009A671D"/>
    <w:rsid w:val="009B731F"/>
    <w:rsid w:val="009C2F1F"/>
    <w:rsid w:val="00A26F18"/>
    <w:rsid w:val="00A76D41"/>
    <w:rsid w:val="00AA1A39"/>
    <w:rsid w:val="00B11B27"/>
    <w:rsid w:val="00B72382"/>
    <w:rsid w:val="00BD181F"/>
    <w:rsid w:val="00C7114B"/>
    <w:rsid w:val="00C80641"/>
    <w:rsid w:val="00D05745"/>
    <w:rsid w:val="00D90DC8"/>
    <w:rsid w:val="00DA38DE"/>
    <w:rsid w:val="00E35C8B"/>
    <w:rsid w:val="00E45692"/>
    <w:rsid w:val="00EC4154"/>
    <w:rsid w:val="00F04839"/>
    <w:rsid w:val="00F47561"/>
    <w:rsid w:val="00F86C93"/>
    <w:rsid w:val="00FF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styleId="PageNumber">
    <w:name w:val="page number"/>
    <w:semiHidden/>
    <w:rsid w:val="002D5962"/>
    <w:rPr>
      <w:rFonts w:ascii="Times New Roman" w:hAnsi="Times New Roman" w:cs="Times New Roman"/>
    </w:rPr>
  </w:style>
  <w:style w:type="paragraph" w:customStyle="1" w:styleId="VBALevel1Heading">
    <w:name w:val="VBA Level 1 Heading"/>
    <w:basedOn w:val="Normal"/>
    <w:rsid w:val="002D5962"/>
    <w:pPr>
      <w:textAlignment w:val="baseline"/>
    </w:pPr>
    <w:rPr>
      <w:b/>
      <w:caps/>
    </w:rPr>
  </w:style>
  <w:style w:type="paragraph" w:styleId="ListParagraph">
    <w:name w:val="List Paragraph"/>
    <w:basedOn w:val="Normal"/>
    <w:uiPriority w:val="34"/>
    <w:qFormat/>
    <w:rsid w:val="007B2666"/>
    <w:pPr>
      <w:ind w:left="720"/>
      <w:contextualSpacing/>
    </w:pPr>
  </w:style>
  <w:style w:type="paragraph" w:styleId="CommentSubject">
    <w:name w:val="annotation subject"/>
    <w:basedOn w:val="CommentText"/>
    <w:next w:val="CommentText"/>
    <w:link w:val="CommentSubjectChar"/>
    <w:uiPriority w:val="99"/>
    <w:semiHidden/>
    <w:unhideWhenUsed/>
    <w:rsid w:val="000C1E5C"/>
    <w:rPr>
      <w:b/>
      <w:bCs/>
      <w:sz w:val="20"/>
    </w:rPr>
  </w:style>
  <w:style w:type="character" w:customStyle="1" w:styleId="CommentTextChar1">
    <w:name w:val="Comment Text Char1"/>
    <w:basedOn w:val="DefaultParagraphFont"/>
    <w:link w:val="CommentText"/>
    <w:semiHidden/>
    <w:rsid w:val="000C1E5C"/>
    <w:rPr>
      <w:rFonts w:eastAsia="Times New Roman"/>
      <w:sz w:val="24"/>
    </w:rPr>
  </w:style>
  <w:style w:type="character" w:customStyle="1" w:styleId="CommentSubjectChar">
    <w:name w:val="Comment Subject Char"/>
    <w:basedOn w:val="CommentTextChar1"/>
    <w:link w:val="CommentSubject"/>
    <w:uiPriority w:val="99"/>
    <w:semiHidden/>
    <w:rsid w:val="000C1E5C"/>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styleId="PageNumber">
    <w:name w:val="page number"/>
    <w:semiHidden/>
    <w:rsid w:val="002D5962"/>
    <w:rPr>
      <w:rFonts w:ascii="Times New Roman" w:hAnsi="Times New Roman" w:cs="Times New Roman"/>
    </w:rPr>
  </w:style>
  <w:style w:type="paragraph" w:customStyle="1" w:styleId="VBALevel1Heading">
    <w:name w:val="VBA Level 1 Heading"/>
    <w:basedOn w:val="Normal"/>
    <w:rsid w:val="002D5962"/>
    <w:pPr>
      <w:textAlignment w:val="baseline"/>
    </w:pPr>
    <w:rPr>
      <w:b/>
      <w:caps/>
    </w:rPr>
  </w:style>
  <w:style w:type="paragraph" w:styleId="ListParagraph">
    <w:name w:val="List Paragraph"/>
    <w:basedOn w:val="Normal"/>
    <w:uiPriority w:val="34"/>
    <w:qFormat/>
    <w:rsid w:val="007B2666"/>
    <w:pPr>
      <w:ind w:left="720"/>
      <w:contextualSpacing/>
    </w:pPr>
  </w:style>
  <w:style w:type="paragraph" w:styleId="CommentSubject">
    <w:name w:val="annotation subject"/>
    <w:basedOn w:val="CommentText"/>
    <w:next w:val="CommentText"/>
    <w:link w:val="CommentSubjectChar"/>
    <w:uiPriority w:val="99"/>
    <w:semiHidden/>
    <w:unhideWhenUsed/>
    <w:rsid w:val="000C1E5C"/>
    <w:rPr>
      <w:b/>
      <w:bCs/>
      <w:sz w:val="20"/>
    </w:rPr>
  </w:style>
  <w:style w:type="character" w:customStyle="1" w:styleId="CommentTextChar1">
    <w:name w:val="Comment Text Char1"/>
    <w:basedOn w:val="DefaultParagraphFont"/>
    <w:link w:val="CommentText"/>
    <w:semiHidden/>
    <w:rsid w:val="000C1E5C"/>
    <w:rPr>
      <w:rFonts w:eastAsia="Times New Roman"/>
      <w:sz w:val="24"/>
    </w:rPr>
  </w:style>
  <w:style w:type="character" w:customStyle="1" w:styleId="CommentSubjectChar">
    <w:name w:val="Comment Subject Char"/>
    <w:basedOn w:val="CommentTextChar1"/>
    <w:link w:val="CommentSubject"/>
    <w:uiPriority w:val="99"/>
    <w:semiHidden/>
    <w:rsid w:val="000C1E5C"/>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1B159584-DE60-46C1-9B34-FDD22369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223</TotalTime>
  <Pages>9</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RATING DIGESTIVE CONDITIONS (POST CHALLENGE)</vt:lpstr>
    </vt:vector>
  </TitlesOfParts>
  <Company>Veterans Benefits Administration</Company>
  <LinksUpToDate>false</LinksUpToDate>
  <CharactersWithSpaces>11391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DIGESTIVE CONDITIONS (POST CHALLENGE)</dc:title>
  <dc:subject>RVSR</dc:subject>
  <dc:creator>Department of Veterans Affairs, Veterans Benefits Administration, Compensation Service, STAFF</dc:creator>
  <cp:keywords>digestive, IBS, GERD, FGID, gastrointestinal, esophageal, gastroesophageal, hepatitis, HAV, HBV, HCV</cp:keywords>
  <dc:description>This lesson is intended to enforce key concepts pertaining to properly addressing conditions of the digestive system.  </dc:description>
  <cp:lastModifiedBy>Gilbert, Sarah</cp:lastModifiedBy>
  <cp:revision>6</cp:revision>
  <dcterms:created xsi:type="dcterms:W3CDTF">2016-03-03T16:15:00Z</dcterms:created>
  <dcterms:modified xsi:type="dcterms:W3CDTF">2016-03-30T16:26:00Z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