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AAF61" w14:textId="77777777" w:rsidR="007E1DD0" w:rsidRPr="00051829" w:rsidRDefault="00861AF0" w:rsidP="007E1DD0">
      <w:pPr>
        <w:pStyle w:val="VBALessonPlanName"/>
        <w:rPr>
          <w:color w:val="auto"/>
        </w:rPr>
      </w:pPr>
      <w:bookmarkStart w:id="0" w:name="_Toc276556863"/>
      <w:bookmarkStart w:id="1" w:name="_GoBack"/>
      <w:bookmarkEnd w:id="1"/>
      <w:r w:rsidRPr="00051829">
        <w:rPr>
          <w:color w:val="auto"/>
        </w:rPr>
        <w:t>Rating Digestive Conditions (Post Challenge)</w:t>
      </w:r>
    </w:p>
    <w:p w14:paraId="6D4AAF62" w14:textId="77777777" w:rsidR="007E1DD0" w:rsidRPr="007E1DD0" w:rsidRDefault="007E1DD0" w:rsidP="007E1DD0">
      <w:pPr>
        <w:jc w:val="center"/>
        <w:rPr>
          <w:b/>
          <w:sz w:val="32"/>
          <w:szCs w:val="32"/>
        </w:rPr>
      </w:pPr>
      <w:r w:rsidRPr="007E1DD0">
        <w:rPr>
          <w:b/>
          <w:sz w:val="32"/>
          <w:szCs w:val="32"/>
        </w:rPr>
        <w:t>Answer Key</w:t>
      </w:r>
    </w:p>
    <w:p w14:paraId="6D4AAF63" w14:textId="77777777" w:rsidR="007E1DD0" w:rsidRDefault="007E1DD0" w:rsidP="007E1DD0">
      <w:pPr>
        <w:pStyle w:val="VBALPHeading1"/>
      </w:pPr>
    </w:p>
    <w:p w14:paraId="6D4AAF64" w14:textId="77777777" w:rsidR="007E1DD0" w:rsidRDefault="007E1DD0" w:rsidP="007E1DD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p>
    <w:p w14:paraId="6D4AAF65" w14:textId="77777777" w:rsidR="007E1DD0" w:rsidRPr="000577CD" w:rsidRDefault="007E1DD0" w:rsidP="007E1DD0">
      <w:pPr>
        <w:pStyle w:val="TOC1"/>
        <w:rPr>
          <w:rStyle w:val="Hyperlink"/>
          <w:color w:val="auto"/>
        </w:rPr>
      </w:pPr>
    </w:p>
    <w:p w14:paraId="6D4AAF66" w14:textId="77777777" w:rsidR="00861AF0" w:rsidRDefault="007E1DD0">
      <w:pPr>
        <w:pStyle w:val="TOC1"/>
        <w:rPr>
          <w:rFonts w:asciiTheme="minorHAnsi" w:eastAsiaTheme="minorEastAsia" w:hAnsiTheme="minorHAnsi" w:cstheme="minorBidi"/>
          <w:sz w:val="22"/>
          <w:szCs w:val="22"/>
        </w:rPr>
      </w:pPr>
      <w:r>
        <w:rPr>
          <w:rStyle w:val="Hyperlink"/>
        </w:rPr>
        <w:fldChar w:fldCharType="begin"/>
      </w:r>
      <w:r>
        <w:rPr>
          <w:rStyle w:val="Hyperlink"/>
        </w:rPr>
        <w:instrText xml:space="preserve"> TOC \o "1-1" \h \z \u </w:instrText>
      </w:r>
      <w:r>
        <w:rPr>
          <w:rStyle w:val="Hyperlink"/>
        </w:rPr>
        <w:fldChar w:fldCharType="separate"/>
      </w:r>
      <w:hyperlink w:anchor="_Toc445292470" w:history="1">
        <w:r w:rsidR="00861AF0" w:rsidRPr="007D635C">
          <w:rPr>
            <w:rStyle w:val="Hyperlink"/>
          </w:rPr>
          <w:t>Practical Exercise</w:t>
        </w:r>
        <w:r w:rsidR="00861AF0">
          <w:rPr>
            <w:webHidden/>
          </w:rPr>
          <w:tab/>
        </w:r>
        <w:r w:rsidR="00861AF0">
          <w:rPr>
            <w:webHidden/>
          </w:rPr>
          <w:fldChar w:fldCharType="begin"/>
        </w:r>
        <w:r w:rsidR="00861AF0">
          <w:rPr>
            <w:webHidden/>
          </w:rPr>
          <w:instrText xml:space="preserve"> PAGEREF _Toc445292470 \h </w:instrText>
        </w:r>
        <w:r w:rsidR="00861AF0">
          <w:rPr>
            <w:webHidden/>
          </w:rPr>
        </w:r>
        <w:r w:rsidR="00861AF0">
          <w:rPr>
            <w:webHidden/>
          </w:rPr>
          <w:fldChar w:fldCharType="separate"/>
        </w:r>
        <w:r w:rsidR="00861AF0">
          <w:rPr>
            <w:webHidden/>
          </w:rPr>
          <w:t>2</w:t>
        </w:r>
        <w:r w:rsidR="00861AF0">
          <w:rPr>
            <w:webHidden/>
          </w:rPr>
          <w:fldChar w:fldCharType="end"/>
        </w:r>
      </w:hyperlink>
    </w:p>
    <w:p w14:paraId="6D4AAF67" w14:textId="77777777" w:rsidR="00927D6B" w:rsidRPr="00927D6B" w:rsidRDefault="007E1DD0" w:rsidP="00927D6B">
      <w:pPr>
        <w:pStyle w:val="VBALPHeading1"/>
      </w:pPr>
      <w:r>
        <w:rPr>
          <w:rStyle w:val="Hyperlink"/>
          <w:bCs/>
          <w:szCs w:val="24"/>
        </w:rPr>
        <w:fldChar w:fldCharType="end"/>
      </w:r>
      <w:r>
        <w:br w:type="page"/>
      </w:r>
      <w:bookmarkStart w:id="2" w:name="_Toc314560146"/>
      <w:bookmarkStart w:id="3" w:name="_Toc445292470"/>
      <w:bookmarkEnd w:id="0"/>
      <w:r w:rsidR="00927D6B" w:rsidRPr="00927D6B">
        <w:lastRenderedPageBreak/>
        <w:t>Practical Exercise</w:t>
      </w:r>
      <w:bookmarkEnd w:id="2"/>
      <w:bookmarkEnd w:id="3"/>
    </w:p>
    <w:p w14:paraId="6D4AAF68" w14:textId="77777777" w:rsidR="00927D6B" w:rsidRPr="00C521A2" w:rsidRDefault="00C521A2" w:rsidP="00927D6B">
      <w:pPr>
        <w:overflowPunct w:val="0"/>
        <w:autoSpaceDE w:val="0"/>
        <w:autoSpaceDN w:val="0"/>
        <w:adjustRightInd w:val="0"/>
        <w:spacing w:before="120"/>
        <w:rPr>
          <w:b/>
          <w:color w:val="1D1B11"/>
          <w:szCs w:val="20"/>
        </w:rPr>
      </w:pPr>
      <w:r>
        <w:rPr>
          <w:b/>
          <w:color w:val="1D1B11"/>
          <w:szCs w:val="20"/>
        </w:rPr>
        <w:t>The i</w:t>
      </w:r>
      <w:r w:rsidRPr="00C521A2">
        <w:rPr>
          <w:b/>
          <w:color w:val="1D1B11"/>
          <w:szCs w:val="20"/>
        </w:rPr>
        <w:t xml:space="preserve">nstructor </w:t>
      </w:r>
      <w:r>
        <w:rPr>
          <w:b/>
          <w:color w:val="1D1B11"/>
          <w:szCs w:val="20"/>
        </w:rPr>
        <w:t xml:space="preserve">is </w:t>
      </w:r>
      <w:r w:rsidRPr="00C521A2">
        <w:rPr>
          <w:b/>
          <w:color w:val="1D1B11"/>
          <w:szCs w:val="20"/>
        </w:rPr>
        <w:t>to r</w:t>
      </w:r>
      <w:r w:rsidR="00927D6B" w:rsidRPr="00C521A2">
        <w:rPr>
          <w:b/>
          <w:color w:val="1D1B11"/>
          <w:szCs w:val="20"/>
        </w:rPr>
        <w:t xml:space="preserve">eview the scenarios </w:t>
      </w:r>
      <w:r>
        <w:rPr>
          <w:b/>
          <w:color w:val="1D1B11"/>
          <w:szCs w:val="20"/>
        </w:rPr>
        <w:t xml:space="preserve">with the trainees </w:t>
      </w:r>
      <w:r w:rsidR="00927D6B" w:rsidRPr="00C521A2">
        <w:rPr>
          <w:b/>
          <w:color w:val="1D1B11"/>
          <w:szCs w:val="20"/>
        </w:rPr>
        <w:t xml:space="preserve">and </w:t>
      </w:r>
      <w:r w:rsidRPr="00C521A2">
        <w:rPr>
          <w:b/>
          <w:color w:val="1D1B11"/>
          <w:szCs w:val="20"/>
        </w:rPr>
        <w:t xml:space="preserve">provide the </w:t>
      </w:r>
      <w:r w:rsidR="00927D6B" w:rsidRPr="00C521A2">
        <w:rPr>
          <w:b/>
          <w:color w:val="1D1B11"/>
          <w:szCs w:val="20"/>
        </w:rPr>
        <w:t>answer</w:t>
      </w:r>
      <w:r w:rsidRPr="00C521A2">
        <w:rPr>
          <w:b/>
          <w:color w:val="1D1B11"/>
          <w:szCs w:val="20"/>
        </w:rPr>
        <w:t>s to</w:t>
      </w:r>
      <w:r w:rsidR="00927D6B" w:rsidRPr="00C521A2">
        <w:rPr>
          <w:b/>
          <w:color w:val="1D1B11"/>
          <w:szCs w:val="20"/>
        </w:rPr>
        <w:t xml:space="preserve"> the associated questions.</w:t>
      </w:r>
    </w:p>
    <w:p w14:paraId="6D4AAF69" w14:textId="77777777" w:rsidR="00861AF0" w:rsidRDefault="00861AF0" w:rsidP="00DE5785">
      <w:pPr>
        <w:keepNext/>
        <w:widowControl w:val="0"/>
        <w:overflowPunct w:val="0"/>
        <w:autoSpaceDE w:val="0"/>
        <w:autoSpaceDN w:val="0"/>
        <w:adjustRightInd w:val="0"/>
        <w:spacing w:beforeLines="50" w:before="120"/>
        <w:outlineLvl w:val="2"/>
        <w:rPr>
          <w:i/>
          <w:color w:val="1D1B11"/>
          <w:szCs w:val="20"/>
        </w:rPr>
      </w:pPr>
    </w:p>
    <w:p w14:paraId="6D4AAF6A" w14:textId="77777777" w:rsidR="00861AF0" w:rsidRPr="00861AF0" w:rsidRDefault="00861AF0" w:rsidP="00861AF0">
      <w:pPr>
        <w:overflowPunct w:val="0"/>
        <w:autoSpaceDE w:val="0"/>
        <w:autoSpaceDN w:val="0"/>
        <w:adjustRightInd w:val="0"/>
        <w:spacing w:before="120"/>
        <w:rPr>
          <w:szCs w:val="20"/>
        </w:rPr>
      </w:pPr>
      <w:r w:rsidRPr="00861AF0">
        <w:rPr>
          <w:szCs w:val="20"/>
        </w:rPr>
        <w:t>Directions: Read the following questions, provide answers, and prepare to discuss.</w:t>
      </w:r>
    </w:p>
    <w:p w14:paraId="6D4AAF6B" w14:textId="77777777" w:rsidR="00861AF0" w:rsidRPr="00861AF0" w:rsidRDefault="00861AF0" w:rsidP="00861AF0">
      <w:pPr>
        <w:overflowPunct w:val="0"/>
        <w:autoSpaceDE w:val="0"/>
        <w:autoSpaceDN w:val="0"/>
        <w:adjustRightInd w:val="0"/>
        <w:spacing w:before="120"/>
        <w:rPr>
          <w:szCs w:val="20"/>
        </w:rPr>
      </w:pPr>
    </w:p>
    <w:p w14:paraId="6D4AAF6C" w14:textId="77777777" w:rsidR="00861AF0" w:rsidRPr="00861AF0" w:rsidRDefault="00861AF0" w:rsidP="00861AF0">
      <w:pPr>
        <w:numPr>
          <w:ilvl w:val="0"/>
          <w:numId w:val="16"/>
        </w:numPr>
        <w:overflowPunct w:val="0"/>
        <w:autoSpaceDE w:val="0"/>
        <w:autoSpaceDN w:val="0"/>
        <w:adjustRightInd w:val="0"/>
        <w:spacing w:before="120"/>
        <w:contextualSpacing/>
        <w:rPr>
          <w:szCs w:val="20"/>
        </w:rPr>
      </w:pPr>
      <w:r w:rsidRPr="00861AF0">
        <w:rPr>
          <w:szCs w:val="20"/>
        </w:rPr>
        <w:t xml:space="preserve">A Veteran is service connected for irritable bowel syndrome (IBS), evaluated as 10% disabling under DC 7319 for moderate disturbances of bowel function.  We receive a valid claim for increase of the IBS, and a new claim for gastroesophageal reflux disease (GERD) as secondary to IBS.  VA treatment records show current treatment for both conditions.  Examination results confirm the presence of both IBS and GERD, and the examiner provides a positive association between the conditions.  The Intestinal DBQ continues to show frequent episodes of bowel disturbance.  The Esophageal Conditions DBQ shows persistently recurrent epigastric distress.  The Veteran experiences dysphagia, </w:t>
      </w:r>
      <w:proofErr w:type="spellStart"/>
      <w:r w:rsidRPr="00861AF0">
        <w:rPr>
          <w:szCs w:val="20"/>
        </w:rPr>
        <w:t>pyrosis</w:t>
      </w:r>
      <w:proofErr w:type="spellEnd"/>
      <w:r w:rsidRPr="00861AF0">
        <w:rPr>
          <w:szCs w:val="20"/>
        </w:rPr>
        <w:t>, and regurgitation.  A review of the available medical evidence indicates the Veteran takes continuous medication for the condition, is unable to eat a wide variety of foods, and the condition prevents them from participating in certain physical activity on a regular basis.</w:t>
      </w:r>
    </w:p>
    <w:p w14:paraId="6D4AAF6D" w14:textId="77777777" w:rsidR="00861AF0" w:rsidRPr="00861AF0" w:rsidRDefault="00861AF0" w:rsidP="00861AF0">
      <w:pPr>
        <w:overflowPunct w:val="0"/>
        <w:autoSpaceDE w:val="0"/>
        <w:autoSpaceDN w:val="0"/>
        <w:adjustRightInd w:val="0"/>
        <w:spacing w:before="120"/>
        <w:rPr>
          <w:szCs w:val="20"/>
        </w:rPr>
      </w:pPr>
    </w:p>
    <w:p w14:paraId="6D4AAF6E" w14:textId="77777777" w:rsidR="00861AF0" w:rsidRDefault="00861AF0" w:rsidP="00861AF0">
      <w:pPr>
        <w:overflowPunct w:val="0"/>
        <w:autoSpaceDE w:val="0"/>
        <w:autoSpaceDN w:val="0"/>
        <w:adjustRightInd w:val="0"/>
        <w:spacing w:before="120"/>
        <w:ind w:left="720"/>
        <w:rPr>
          <w:szCs w:val="20"/>
        </w:rPr>
      </w:pPr>
      <w:r w:rsidRPr="00861AF0">
        <w:rPr>
          <w:szCs w:val="20"/>
        </w:rPr>
        <w:t>How should this claim be evaluated?</w:t>
      </w:r>
    </w:p>
    <w:p w14:paraId="6D4AAF6F" w14:textId="77777777" w:rsidR="00861AF0" w:rsidRPr="00173C8C" w:rsidRDefault="00E72A71" w:rsidP="00861AF0">
      <w:pPr>
        <w:overflowPunct w:val="0"/>
        <w:autoSpaceDE w:val="0"/>
        <w:autoSpaceDN w:val="0"/>
        <w:adjustRightInd w:val="0"/>
        <w:spacing w:before="120"/>
        <w:ind w:left="720"/>
        <w:rPr>
          <w:color w:val="FF0000"/>
          <w:szCs w:val="20"/>
        </w:rPr>
      </w:pPr>
      <w:r w:rsidRPr="00173C8C">
        <w:rPr>
          <w:color w:val="FF0000"/>
          <w:szCs w:val="20"/>
        </w:rPr>
        <w:t>Service connection for GERD should be established.  As per 38 CFR 4.114, ratings under diagnostic codes 7301 to 7329, inclusive, 7331, 7342, and 7345 to 7348 inclusive will not be combined with each other. A single evaluation will be assigned under the diagnostic code which reflects the predominant disability picture, with elevation to the next higher evaluation where the severity of the overall disability warrants such elevation.</w:t>
      </w:r>
    </w:p>
    <w:p w14:paraId="6D4AAF70" w14:textId="77777777" w:rsidR="00E72A71" w:rsidRPr="00173C8C" w:rsidRDefault="00E72A71" w:rsidP="00861AF0">
      <w:pPr>
        <w:overflowPunct w:val="0"/>
        <w:autoSpaceDE w:val="0"/>
        <w:autoSpaceDN w:val="0"/>
        <w:adjustRightInd w:val="0"/>
        <w:spacing w:before="120"/>
        <w:ind w:left="720"/>
        <w:rPr>
          <w:color w:val="FF0000"/>
          <w:szCs w:val="20"/>
        </w:rPr>
      </w:pPr>
      <w:r w:rsidRPr="00173C8C">
        <w:rPr>
          <w:color w:val="FF0000"/>
          <w:szCs w:val="20"/>
        </w:rPr>
        <w:t>IBS, evaluated under DC 7319, continues to warrant a 10% evaluation.  GERD, under DC 7346 would warrant a 30%</w:t>
      </w:r>
      <w:r w:rsidR="00173C8C" w:rsidRPr="00173C8C">
        <w:rPr>
          <w:color w:val="FF0000"/>
          <w:szCs w:val="20"/>
        </w:rPr>
        <w:t xml:space="preserve">, based on persistently recurrent epigastric distress with dysphagia, </w:t>
      </w:r>
      <w:proofErr w:type="spellStart"/>
      <w:r w:rsidR="00173C8C" w:rsidRPr="00173C8C">
        <w:rPr>
          <w:color w:val="FF0000"/>
          <w:szCs w:val="20"/>
        </w:rPr>
        <w:t>pyrosis</w:t>
      </w:r>
      <w:proofErr w:type="spellEnd"/>
      <w:r w:rsidR="00173C8C" w:rsidRPr="00173C8C">
        <w:rPr>
          <w:color w:val="FF0000"/>
          <w:szCs w:val="20"/>
        </w:rPr>
        <w:t xml:space="preserve">, and regurgitation, accompanied by substernal or arm or shoulder pain, productive of considerable impairment of health.  </w:t>
      </w:r>
    </w:p>
    <w:p w14:paraId="6D4AAF71" w14:textId="77777777" w:rsidR="00173C8C" w:rsidRPr="00861AF0" w:rsidRDefault="00173C8C" w:rsidP="00861AF0">
      <w:pPr>
        <w:overflowPunct w:val="0"/>
        <w:autoSpaceDE w:val="0"/>
        <w:autoSpaceDN w:val="0"/>
        <w:adjustRightInd w:val="0"/>
        <w:spacing w:before="120"/>
        <w:ind w:left="720"/>
        <w:rPr>
          <w:color w:val="FF0000"/>
          <w:szCs w:val="20"/>
        </w:rPr>
      </w:pPr>
      <w:r w:rsidRPr="00173C8C">
        <w:rPr>
          <w:color w:val="FF0000"/>
          <w:szCs w:val="20"/>
        </w:rPr>
        <w:t xml:space="preserve">The </w:t>
      </w:r>
      <w:proofErr w:type="spellStart"/>
      <w:r w:rsidRPr="00173C8C">
        <w:rPr>
          <w:color w:val="FF0000"/>
          <w:szCs w:val="20"/>
        </w:rPr>
        <w:t>codesheet</w:t>
      </w:r>
      <w:proofErr w:type="spellEnd"/>
      <w:r w:rsidRPr="00173C8C">
        <w:rPr>
          <w:color w:val="FF0000"/>
          <w:szCs w:val="20"/>
        </w:rPr>
        <w:t xml:space="preserve"> should reflect:  </w:t>
      </w:r>
      <w:proofErr w:type="spellStart"/>
      <w:r w:rsidRPr="00173C8C">
        <w:rPr>
          <w:color w:val="FF0000"/>
          <w:szCs w:val="20"/>
        </w:rPr>
        <w:t>gastroesophageal</w:t>
      </w:r>
      <w:proofErr w:type="spellEnd"/>
      <w:r w:rsidRPr="00173C8C">
        <w:rPr>
          <w:color w:val="FF0000"/>
          <w:szCs w:val="20"/>
        </w:rPr>
        <w:t xml:space="preserve"> reflux disease with irritable bowel syndrome, 7319-7346, 30%.</w:t>
      </w:r>
    </w:p>
    <w:p w14:paraId="6D4AAF72" w14:textId="77777777" w:rsidR="00861AF0" w:rsidRPr="00861AF0" w:rsidRDefault="00861AF0" w:rsidP="00861AF0">
      <w:pPr>
        <w:overflowPunct w:val="0"/>
        <w:autoSpaceDE w:val="0"/>
        <w:autoSpaceDN w:val="0"/>
        <w:adjustRightInd w:val="0"/>
        <w:spacing w:before="120"/>
        <w:rPr>
          <w:szCs w:val="20"/>
        </w:rPr>
      </w:pPr>
    </w:p>
    <w:p w14:paraId="6D4AAF73" w14:textId="77777777" w:rsidR="00861AF0" w:rsidRPr="00861AF0" w:rsidRDefault="00861AF0" w:rsidP="00861AF0">
      <w:pPr>
        <w:numPr>
          <w:ilvl w:val="0"/>
          <w:numId w:val="16"/>
        </w:numPr>
        <w:overflowPunct w:val="0"/>
        <w:autoSpaceDE w:val="0"/>
        <w:autoSpaceDN w:val="0"/>
        <w:adjustRightInd w:val="0"/>
        <w:spacing w:before="120"/>
        <w:contextualSpacing/>
        <w:rPr>
          <w:szCs w:val="20"/>
        </w:rPr>
      </w:pPr>
      <w:r w:rsidRPr="00861AF0">
        <w:rPr>
          <w:szCs w:val="20"/>
        </w:rPr>
        <w:t xml:space="preserve">A Veteran with qualifying Gulf War service submits a claim for an undiagnosed illness due to service in SW Asia.  This claim describes stomach problems that include alternating diarrhea and constipation, with episodes of bloating. The Veteran states the condition has persisted since discharge from active duty two years ago. A Gulf War General Medical DBQ is returned with an accompanying Intestinal Conditions DBQ.  The examiner has provided a diagnosis of irritable bowel syndrome.  </w:t>
      </w:r>
    </w:p>
    <w:p w14:paraId="6D4AAF74" w14:textId="77777777" w:rsidR="00861AF0" w:rsidRPr="00861AF0" w:rsidRDefault="00861AF0" w:rsidP="00861AF0">
      <w:pPr>
        <w:overflowPunct w:val="0"/>
        <w:autoSpaceDE w:val="0"/>
        <w:autoSpaceDN w:val="0"/>
        <w:adjustRightInd w:val="0"/>
        <w:spacing w:before="120"/>
        <w:ind w:left="720"/>
        <w:rPr>
          <w:szCs w:val="20"/>
        </w:rPr>
      </w:pPr>
    </w:p>
    <w:p w14:paraId="6D4AAF75" w14:textId="77777777" w:rsidR="00861AF0" w:rsidRPr="00861AF0" w:rsidRDefault="00861AF0" w:rsidP="00861AF0">
      <w:pPr>
        <w:overflowPunct w:val="0"/>
        <w:autoSpaceDE w:val="0"/>
        <w:autoSpaceDN w:val="0"/>
        <w:adjustRightInd w:val="0"/>
        <w:spacing w:before="120"/>
        <w:ind w:left="720"/>
        <w:rPr>
          <w:szCs w:val="20"/>
        </w:rPr>
      </w:pPr>
      <w:r w:rsidRPr="00861AF0">
        <w:rPr>
          <w:szCs w:val="20"/>
        </w:rPr>
        <w:t>Is service connection warranted?</w:t>
      </w:r>
      <w:r w:rsidR="00173C8C">
        <w:rPr>
          <w:szCs w:val="20"/>
        </w:rPr>
        <w:t xml:space="preserve">    </w:t>
      </w:r>
      <w:r w:rsidR="00173C8C" w:rsidRPr="00173C8C">
        <w:rPr>
          <w:color w:val="FF0000"/>
          <w:szCs w:val="20"/>
        </w:rPr>
        <w:t>Yes</w:t>
      </w:r>
    </w:p>
    <w:p w14:paraId="6D4AAF76" w14:textId="77777777" w:rsidR="00861AF0" w:rsidRPr="00861AF0" w:rsidRDefault="00861AF0" w:rsidP="00861AF0">
      <w:pPr>
        <w:overflowPunct w:val="0"/>
        <w:autoSpaceDE w:val="0"/>
        <w:autoSpaceDN w:val="0"/>
        <w:adjustRightInd w:val="0"/>
        <w:spacing w:before="120"/>
        <w:ind w:left="720"/>
        <w:rPr>
          <w:szCs w:val="20"/>
        </w:rPr>
      </w:pPr>
    </w:p>
    <w:p w14:paraId="6D4AAF77" w14:textId="77777777" w:rsidR="00861AF0" w:rsidRDefault="00861AF0" w:rsidP="00861AF0">
      <w:pPr>
        <w:overflowPunct w:val="0"/>
        <w:autoSpaceDE w:val="0"/>
        <w:autoSpaceDN w:val="0"/>
        <w:adjustRightInd w:val="0"/>
        <w:spacing w:before="120"/>
        <w:ind w:left="720"/>
        <w:rPr>
          <w:szCs w:val="20"/>
        </w:rPr>
      </w:pPr>
      <w:r w:rsidRPr="00861AF0">
        <w:rPr>
          <w:szCs w:val="20"/>
        </w:rPr>
        <w:t>Explain the basis of your decision.</w:t>
      </w:r>
    </w:p>
    <w:p w14:paraId="6D4AAF78" w14:textId="77777777" w:rsidR="00173C8C" w:rsidRPr="00861AF0" w:rsidRDefault="00173C8C" w:rsidP="00861AF0">
      <w:pPr>
        <w:overflowPunct w:val="0"/>
        <w:autoSpaceDE w:val="0"/>
        <w:autoSpaceDN w:val="0"/>
        <w:adjustRightInd w:val="0"/>
        <w:spacing w:before="120"/>
        <w:ind w:left="720"/>
        <w:rPr>
          <w:color w:val="FF0000"/>
          <w:szCs w:val="20"/>
        </w:rPr>
      </w:pPr>
      <w:r w:rsidRPr="00803021">
        <w:rPr>
          <w:color w:val="FF0000"/>
          <w:szCs w:val="20"/>
        </w:rPr>
        <w:t xml:space="preserve">Although claimed as an undiagnosed illness, service connection may be established under 38 CFR 3.317 </w:t>
      </w:r>
      <w:proofErr w:type="gramStart"/>
      <w:r w:rsidRPr="00803021">
        <w:rPr>
          <w:color w:val="FF0000"/>
          <w:szCs w:val="20"/>
        </w:rPr>
        <w:t xml:space="preserve">as a medically unexplained chronic </w:t>
      </w:r>
      <w:proofErr w:type="spellStart"/>
      <w:r w:rsidRPr="00803021">
        <w:rPr>
          <w:color w:val="FF0000"/>
          <w:szCs w:val="20"/>
        </w:rPr>
        <w:t>multisymptom</w:t>
      </w:r>
      <w:proofErr w:type="spellEnd"/>
      <w:r w:rsidRPr="00803021">
        <w:rPr>
          <w:color w:val="FF0000"/>
          <w:szCs w:val="20"/>
        </w:rPr>
        <w:t xml:space="preserve"> illnesses</w:t>
      </w:r>
      <w:proofErr w:type="gramEnd"/>
      <w:r w:rsidRPr="00803021">
        <w:rPr>
          <w:color w:val="FF0000"/>
          <w:szCs w:val="20"/>
        </w:rPr>
        <w:t>.</w:t>
      </w:r>
      <w:r w:rsidR="00803021" w:rsidRPr="00803021">
        <w:rPr>
          <w:color w:val="FF0000"/>
          <w:szCs w:val="20"/>
        </w:rPr>
        <w:t xml:space="preserve">  IBS is considered a functional gastrointestinal disorder.</w:t>
      </w:r>
    </w:p>
    <w:p w14:paraId="6D4AAF79" w14:textId="77777777" w:rsidR="00861AF0" w:rsidRPr="00861AF0" w:rsidRDefault="00861AF0" w:rsidP="00861AF0">
      <w:pPr>
        <w:overflowPunct w:val="0"/>
        <w:autoSpaceDE w:val="0"/>
        <w:autoSpaceDN w:val="0"/>
        <w:adjustRightInd w:val="0"/>
        <w:spacing w:before="120"/>
        <w:rPr>
          <w:szCs w:val="20"/>
        </w:rPr>
      </w:pPr>
    </w:p>
    <w:p w14:paraId="6D4AAF7A" w14:textId="77777777" w:rsidR="00861AF0" w:rsidRPr="00861AF0" w:rsidRDefault="00861AF0" w:rsidP="00861AF0">
      <w:pPr>
        <w:numPr>
          <w:ilvl w:val="0"/>
          <w:numId w:val="16"/>
        </w:numPr>
        <w:overflowPunct w:val="0"/>
        <w:autoSpaceDE w:val="0"/>
        <w:autoSpaceDN w:val="0"/>
        <w:adjustRightInd w:val="0"/>
        <w:spacing w:before="120"/>
        <w:contextualSpacing/>
        <w:rPr>
          <w:szCs w:val="20"/>
        </w:rPr>
      </w:pPr>
      <w:r w:rsidRPr="00861AF0">
        <w:rPr>
          <w:szCs w:val="20"/>
        </w:rPr>
        <w:t xml:space="preserve">A Veteran submits a claim for hepatitis with private medical records attached.  A review of the STRs show the Veteran was diagnosed and treated for Hepatitis A during service.  The separation exam is silent for residuals of the hepatitis.  The private treatment records submitted show lab testing </w:t>
      </w:r>
      <w:proofErr w:type="spellStart"/>
      <w:r w:rsidRPr="00861AF0">
        <w:rPr>
          <w:szCs w:val="20"/>
        </w:rPr>
        <w:t>confiming</w:t>
      </w:r>
      <w:proofErr w:type="spellEnd"/>
      <w:r w:rsidRPr="00861AF0">
        <w:rPr>
          <w:szCs w:val="20"/>
        </w:rPr>
        <w:t xml:space="preserve"> the presence of HAV.  All other liver function tests are normal.  </w:t>
      </w:r>
    </w:p>
    <w:p w14:paraId="6D4AAF7B" w14:textId="77777777" w:rsidR="00861AF0" w:rsidRPr="00861AF0" w:rsidRDefault="00861AF0" w:rsidP="00861AF0">
      <w:pPr>
        <w:overflowPunct w:val="0"/>
        <w:autoSpaceDE w:val="0"/>
        <w:autoSpaceDN w:val="0"/>
        <w:adjustRightInd w:val="0"/>
        <w:spacing w:before="120"/>
        <w:ind w:left="720"/>
        <w:rPr>
          <w:szCs w:val="20"/>
        </w:rPr>
      </w:pPr>
    </w:p>
    <w:p w14:paraId="6D4AAF7C" w14:textId="77777777" w:rsidR="00861AF0" w:rsidRPr="00861AF0" w:rsidRDefault="00861AF0" w:rsidP="00861AF0">
      <w:pPr>
        <w:overflowPunct w:val="0"/>
        <w:autoSpaceDE w:val="0"/>
        <w:autoSpaceDN w:val="0"/>
        <w:adjustRightInd w:val="0"/>
        <w:spacing w:before="120"/>
        <w:ind w:left="720"/>
        <w:rPr>
          <w:szCs w:val="20"/>
        </w:rPr>
      </w:pPr>
      <w:r w:rsidRPr="00861AF0">
        <w:rPr>
          <w:szCs w:val="20"/>
        </w:rPr>
        <w:t xml:space="preserve">Is service </w:t>
      </w:r>
      <w:proofErr w:type="spellStart"/>
      <w:r w:rsidRPr="00861AF0">
        <w:rPr>
          <w:szCs w:val="20"/>
        </w:rPr>
        <w:t>connetion</w:t>
      </w:r>
      <w:proofErr w:type="spellEnd"/>
      <w:r w:rsidRPr="00861AF0">
        <w:rPr>
          <w:szCs w:val="20"/>
        </w:rPr>
        <w:t xml:space="preserve"> warranted?</w:t>
      </w:r>
      <w:r w:rsidR="00803021">
        <w:rPr>
          <w:szCs w:val="20"/>
        </w:rPr>
        <w:t xml:space="preserve">  </w:t>
      </w:r>
      <w:r w:rsidR="00803021" w:rsidRPr="00803021">
        <w:rPr>
          <w:color w:val="FF0000"/>
          <w:szCs w:val="20"/>
        </w:rPr>
        <w:t>No</w:t>
      </w:r>
    </w:p>
    <w:p w14:paraId="6D4AAF7D" w14:textId="77777777" w:rsidR="00861AF0" w:rsidRPr="00861AF0" w:rsidRDefault="00861AF0" w:rsidP="00861AF0">
      <w:pPr>
        <w:overflowPunct w:val="0"/>
        <w:autoSpaceDE w:val="0"/>
        <w:autoSpaceDN w:val="0"/>
        <w:adjustRightInd w:val="0"/>
        <w:spacing w:before="120"/>
        <w:ind w:left="720"/>
        <w:rPr>
          <w:szCs w:val="20"/>
        </w:rPr>
      </w:pPr>
    </w:p>
    <w:p w14:paraId="6D4AAF7E" w14:textId="77777777" w:rsidR="00861AF0" w:rsidRDefault="00861AF0" w:rsidP="00861AF0">
      <w:pPr>
        <w:overflowPunct w:val="0"/>
        <w:autoSpaceDE w:val="0"/>
        <w:autoSpaceDN w:val="0"/>
        <w:adjustRightInd w:val="0"/>
        <w:spacing w:before="120"/>
        <w:ind w:left="720"/>
        <w:rPr>
          <w:szCs w:val="20"/>
        </w:rPr>
      </w:pPr>
      <w:r w:rsidRPr="00861AF0">
        <w:rPr>
          <w:szCs w:val="20"/>
        </w:rPr>
        <w:t>Explain the basis of your decision.</w:t>
      </w:r>
    </w:p>
    <w:p w14:paraId="6D4AAF7F" w14:textId="77777777" w:rsidR="00861AF0" w:rsidRPr="00803021" w:rsidRDefault="00803021" w:rsidP="00861AF0">
      <w:pPr>
        <w:overflowPunct w:val="0"/>
        <w:autoSpaceDE w:val="0"/>
        <w:autoSpaceDN w:val="0"/>
        <w:adjustRightInd w:val="0"/>
        <w:spacing w:before="120"/>
        <w:ind w:left="720"/>
        <w:rPr>
          <w:color w:val="FF0000"/>
          <w:szCs w:val="20"/>
        </w:rPr>
      </w:pPr>
      <w:r w:rsidRPr="00803021">
        <w:rPr>
          <w:color w:val="FF0000"/>
          <w:szCs w:val="20"/>
        </w:rPr>
        <w:t xml:space="preserve">III.iv.4.I.2.a. Categories of Hepatitis Recognized for Rating Purposes notes:  in order to award SC, there must be evidence of chronic residuals related to the hepatitis A infection.  </w:t>
      </w:r>
    </w:p>
    <w:p w14:paraId="6D4AAF80" w14:textId="77777777" w:rsidR="00861AF0" w:rsidRPr="00861AF0" w:rsidRDefault="00803021" w:rsidP="00861AF0">
      <w:pPr>
        <w:overflowPunct w:val="0"/>
        <w:autoSpaceDE w:val="0"/>
        <w:autoSpaceDN w:val="0"/>
        <w:adjustRightInd w:val="0"/>
        <w:spacing w:before="120"/>
        <w:ind w:left="720"/>
        <w:rPr>
          <w:color w:val="FF0000"/>
          <w:szCs w:val="20"/>
        </w:rPr>
      </w:pPr>
      <w:r w:rsidRPr="00803021">
        <w:rPr>
          <w:color w:val="FF0000"/>
          <w:szCs w:val="20"/>
        </w:rPr>
        <w:t>Serological blood testing showing the presence of anti-HAV indicates a past acute infection.  There is no evidence, supported by the claim or available medical evidence, of chronic residuals related to the hepatitis A infection.</w:t>
      </w:r>
    </w:p>
    <w:sectPr w:rsidR="00861AF0" w:rsidRPr="00861AF0" w:rsidSect="008846CF">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30FCA" w14:textId="77777777" w:rsidR="006531F8" w:rsidRDefault="006531F8" w:rsidP="00563615">
      <w:r>
        <w:separator/>
      </w:r>
    </w:p>
  </w:endnote>
  <w:endnote w:type="continuationSeparator" w:id="0">
    <w:p w14:paraId="5EE7C189" w14:textId="77777777" w:rsidR="006531F8" w:rsidRDefault="006531F8" w:rsidP="0056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AAF88" w14:textId="77777777" w:rsidR="00515CCA" w:rsidRPr="00015AFF" w:rsidRDefault="00861AF0" w:rsidP="008846CF">
    <w:pPr>
      <w:pStyle w:val="Footer"/>
      <w:tabs>
        <w:tab w:val="left" w:pos="3000"/>
      </w:tabs>
      <w:rPr>
        <w:i/>
        <w:iCs/>
        <w:u w:val="single"/>
      </w:rPr>
    </w:pPr>
    <w:r>
      <w:rPr>
        <w:iCs/>
      </w:rPr>
      <w:t>March 2016</w:t>
    </w:r>
    <w:r w:rsidR="00515CCA" w:rsidRPr="00015AFF">
      <w:rPr>
        <w:i/>
        <w:iCs/>
      </w:rPr>
      <w:tab/>
    </w:r>
    <w:r w:rsidR="00515CCA" w:rsidRPr="00015AFF">
      <w:rPr>
        <w:i/>
        <w:iCs/>
      </w:rPr>
      <w:tab/>
    </w:r>
    <w:r w:rsidR="00515CCA" w:rsidRPr="00015AFF">
      <w:rPr>
        <w:i/>
        <w:iCs/>
      </w:rPr>
      <w:tab/>
    </w:r>
    <w:r w:rsidR="00515CCA" w:rsidRPr="00015AFF">
      <w:rPr>
        <w:iCs/>
      </w:rPr>
      <w:t xml:space="preserve">Page </w:t>
    </w:r>
    <w:r w:rsidR="00515CCA" w:rsidRPr="00015AFF">
      <w:rPr>
        <w:rStyle w:val="PageNumber"/>
      </w:rPr>
      <w:fldChar w:fldCharType="begin"/>
    </w:r>
    <w:r w:rsidR="00515CCA" w:rsidRPr="00015AFF">
      <w:rPr>
        <w:rStyle w:val="PageNumber"/>
      </w:rPr>
      <w:instrText xml:space="preserve"> PAGE </w:instrText>
    </w:r>
    <w:r w:rsidR="00515CCA" w:rsidRPr="00015AFF">
      <w:rPr>
        <w:rStyle w:val="PageNumber"/>
      </w:rPr>
      <w:fldChar w:fldCharType="separate"/>
    </w:r>
    <w:r w:rsidR="009323CB">
      <w:rPr>
        <w:rStyle w:val="PageNumber"/>
        <w:noProof/>
      </w:rPr>
      <w:t>2</w:t>
    </w:r>
    <w:r w:rsidR="00515CCA" w:rsidRPr="00015AFF">
      <w:rPr>
        <w:rStyle w:val="PageNumber"/>
      </w:rPr>
      <w:fldChar w:fldCharType="end"/>
    </w:r>
    <w:r w:rsidR="00515CCA" w:rsidRPr="00015AFF">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C7803" w14:textId="77777777" w:rsidR="006531F8" w:rsidRDefault="006531F8" w:rsidP="00563615">
      <w:r>
        <w:separator/>
      </w:r>
    </w:p>
  </w:footnote>
  <w:footnote w:type="continuationSeparator" w:id="0">
    <w:p w14:paraId="657C3432" w14:textId="77777777" w:rsidR="006531F8" w:rsidRDefault="006531F8" w:rsidP="00563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AAF86" w14:textId="77777777" w:rsidR="00515CCA" w:rsidRPr="004124C5" w:rsidRDefault="00515CCA" w:rsidP="004124C5">
    <w:pPr>
      <w:pStyle w:val="Header"/>
      <w:rPr>
        <w:iCs/>
        <w:sz w:val="20"/>
        <w:szCs w:val="20"/>
      </w:rPr>
    </w:pPr>
    <w:r w:rsidRPr="004124C5">
      <w:rPr>
        <w:sz w:val="20"/>
        <w:szCs w:val="20"/>
      </w:rPr>
      <w:tab/>
    </w:r>
    <w:r w:rsidRPr="004124C5">
      <w:rPr>
        <w:sz w:val="20"/>
        <w:szCs w:val="20"/>
      </w:rPr>
      <w:tab/>
    </w:r>
  </w:p>
  <w:p w14:paraId="6D4AAF87" w14:textId="77777777" w:rsidR="00515CCA" w:rsidRPr="00563615" w:rsidRDefault="00515CCA" w:rsidP="00563615">
    <w:pPr>
      <w:pStyle w:val="Footer"/>
      <w:rPr>
        <w:i/>
        <w:i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A2B"/>
    <w:multiLevelType w:val="hybridMultilevel"/>
    <w:tmpl w:val="D34CA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5C7FB6"/>
    <w:multiLevelType w:val="hybridMultilevel"/>
    <w:tmpl w:val="0AA014D4"/>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A4E0F"/>
    <w:multiLevelType w:val="hybridMultilevel"/>
    <w:tmpl w:val="27BE0F0A"/>
    <w:lvl w:ilvl="0" w:tplc="04090001">
      <w:start w:val="1"/>
      <w:numFmt w:val="upperLetter"/>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
    <w:nsid w:val="2F2D1C82"/>
    <w:multiLevelType w:val="hybridMultilevel"/>
    <w:tmpl w:val="2CF62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5799F"/>
    <w:multiLevelType w:val="hybridMultilevel"/>
    <w:tmpl w:val="C91CBACE"/>
    <w:lvl w:ilvl="0" w:tplc="093A724A">
      <w:start w:val="1"/>
      <w:numFmt w:val="decimal"/>
      <w:lvlText w:val="%1."/>
      <w:lvlJc w:val="left"/>
      <w:pPr>
        <w:ind w:left="360" w:hanging="360"/>
      </w:pPr>
      <w:rPr>
        <w:rFonts w:hint="default"/>
        <w:b w:val="0"/>
        <w:i w:val="0"/>
        <w:color w:val="00000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
    <w:nsid w:val="424E7F55"/>
    <w:multiLevelType w:val="hybridMultilevel"/>
    <w:tmpl w:val="AAC246E2"/>
    <w:lvl w:ilvl="0" w:tplc="E21610CA">
      <w:start w:val="3"/>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8E70DE"/>
    <w:multiLevelType w:val="hybridMultilevel"/>
    <w:tmpl w:val="73B09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05405D"/>
    <w:multiLevelType w:val="hybridMultilevel"/>
    <w:tmpl w:val="CBBED784"/>
    <w:lvl w:ilvl="0" w:tplc="5C5C8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EC0ECB"/>
    <w:multiLevelType w:val="hybridMultilevel"/>
    <w:tmpl w:val="898AE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5E2ACA"/>
    <w:multiLevelType w:val="hybridMultilevel"/>
    <w:tmpl w:val="765AF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FFF7202"/>
    <w:multiLevelType w:val="hybridMultilevel"/>
    <w:tmpl w:val="5920B1A6"/>
    <w:lvl w:ilvl="0" w:tplc="E31A176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7F28A4"/>
    <w:multiLevelType w:val="hybridMultilevel"/>
    <w:tmpl w:val="17D253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471E9E"/>
    <w:multiLevelType w:val="hybridMultilevel"/>
    <w:tmpl w:val="046265B6"/>
    <w:lvl w:ilvl="0" w:tplc="1722C9AE">
      <w:start w:val="3"/>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8E7CB2"/>
    <w:multiLevelType w:val="hybridMultilevel"/>
    <w:tmpl w:val="0240A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991119A"/>
    <w:multiLevelType w:val="hybridMultilevel"/>
    <w:tmpl w:val="5170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DFF6A16"/>
    <w:multiLevelType w:val="hybridMultilevel"/>
    <w:tmpl w:val="22DCBD46"/>
    <w:lvl w:ilvl="0" w:tplc="F2CC0A8C">
      <w:start w:val="1"/>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14"/>
  </w:num>
  <w:num w:numId="5">
    <w:abstractNumId w:val="0"/>
  </w:num>
  <w:num w:numId="6">
    <w:abstractNumId w:val="9"/>
  </w:num>
  <w:num w:numId="7">
    <w:abstractNumId w:val="13"/>
  </w:num>
  <w:num w:numId="8">
    <w:abstractNumId w:val="11"/>
  </w:num>
  <w:num w:numId="9">
    <w:abstractNumId w:val="8"/>
  </w:num>
  <w:num w:numId="10">
    <w:abstractNumId w:val="4"/>
  </w:num>
  <w:num w:numId="11">
    <w:abstractNumId w:val="2"/>
  </w:num>
  <w:num w:numId="12">
    <w:abstractNumId w:val="5"/>
  </w:num>
  <w:num w:numId="13">
    <w:abstractNumId w:val="15"/>
  </w:num>
  <w:num w:numId="14">
    <w:abstractNumId w:val="12"/>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615"/>
    <w:rsid w:val="000035F7"/>
    <w:rsid w:val="00015AFF"/>
    <w:rsid w:val="00024A64"/>
    <w:rsid w:val="00051829"/>
    <w:rsid w:val="000577CD"/>
    <w:rsid w:val="00077FCA"/>
    <w:rsid w:val="00096572"/>
    <w:rsid w:val="000B547E"/>
    <w:rsid w:val="000C00D3"/>
    <w:rsid w:val="000E1ED2"/>
    <w:rsid w:val="00133333"/>
    <w:rsid w:val="00173C8C"/>
    <w:rsid w:val="001A5AAA"/>
    <w:rsid w:val="001B2312"/>
    <w:rsid w:val="00252DA3"/>
    <w:rsid w:val="002B3390"/>
    <w:rsid w:val="002C0B23"/>
    <w:rsid w:val="002F2EB9"/>
    <w:rsid w:val="002F4065"/>
    <w:rsid w:val="002F618D"/>
    <w:rsid w:val="003252A3"/>
    <w:rsid w:val="00330B44"/>
    <w:rsid w:val="0033495D"/>
    <w:rsid w:val="00363FFB"/>
    <w:rsid w:val="0038509D"/>
    <w:rsid w:val="003A0589"/>
    <w:rsid w:val="00403284"/>
    <w:rsid w:val="004124C5"/>
    <w:rsid w:val="00424E77"/>
    <w:rsid w:val="004349F3"/>
    <w:rsid w:val="00453B41"/>
    <w:rsid w:val="004707E5"/>
    <w:rsid w:val="004C2B79"/>
    <w:rsid w:val="005142B0"/>
    <w:rsid w:val="00515CCA"/>
    <w:rsid w:val="00526A48"/>
    <w:rsid w:val="005337CA"/>
    <w:rsid w:val="00535605"/>
    <w:rsid w:val="00563615"/>
    <w:rsid w:val="00573F07"/>
    <w:rsid w:val="005A52C7"/>
    <w:rsid w:val="005C36BA"/>
    <w:rsid w:val="0061575D"/>
    <w:rsid w:val="00617CAD"/>
    <w:rsid w:val="006531F8"/>
    <w:rsid w:val="006A2F39"/>
    <w:rsid w:val="006E26CC"/>
    <w:rsid w:val="00702990"/>
    <w:rsid w:val="00702A90"/>
    <w:rsid w:val="0070737E"/>
    <w:rsid w:val="0073439C"/>
    <w:rsid w:val="007B11DE"/>
    <w:rsid w:val="007E1DD0"/>
    <w:rsid w:val="007F31E9"/>
    <w:rsid w:val="00803021"/>
    <w:rsid w:val="00823431"/>
    <w:rsid w:val="00834EC0"/>
    <w:rsid w:val="008405C1"/>
    <w:rsid w:val="00841A43"/>
    <w:rsid w:val="00845673"/>
    <w:rsid w:val="00861AF0"/>
    <w:rsid w:val="008846CF"/>
    <w:rsid w:val="008C0589"/>
    <w:rsid w:val="008D00B1"/>
    <w:rsid w:val="008E15C3"/>
    <w:rsid w:val="008E5409"/>
    <w:rsid w:val="008E57A9"/>
    <w:rsid w:val="00917621"/>
    <w:rsid w:val="0092226B"/>
    <w:rsid w:val="00927D6B"/>
    <w:rsid w:val="00931FC3"/>
    <w:rsid w:val="009323CB"/>
    <w:rsid w:val="00944E5D"/>
    <w:rsid w:val="00952209"/>
    <w:rsid w:val="00983C8F"/>
    <w:rsid w:val="009C22C4"/>
    <w:rsid w:val="009F7FA1"/>
    <w:rsid w:val="00A15AFA"/>
    <w:rsid w:val="00A4281C"/>
    <w:rsid w:val="00A62B85"/>
    <w:rsid w:val="00A948EB"/>
    <w:rsid w:val="00AB4A0A"/>
    <w:rsid w:val="00AE5AF6"/>
    <w:rsid w:val="00B05BFC"/>
    <w:rsid w:val="00B16705"/>
    <w:rsid w:val="00B81298"/>
    <w:rsid w:val="00B84D87"/>
    <w:rsid w:val="00B929DF"/>
    <w:rsid w:val="00BC4AA7"/>
    <w:rsid w:val="00BE3CE9"/>
    <w:rsid w:val="00BE5F34"/>
    <w:rsid w:val="00BF306B"/>
    <w:rsid w:val="00C00DDD"/>
    <w:rsid w:val="00C41ECA"/>
    <w:rsid w:val="00C473FD"/>
    <w:rsid w:val="00C521A2"/>
    <w:rsid w:val="00C704A9"/>
    <w:rsid w:val="00C72528"/>
    <w:rsid w:val="00C779C4"/>
    <w:rsid w:val="00CB0D02"/>
    <w:rsid w:val="00CC43BD"/>
    <w:rsid w:val="00D07CC3"/>
    <w:rsid w:val="00D217E8"/>
    <w:rsid w:val="00D2207A"/>
    <w:rsid w:val="00DB0602"/>
    <w:rsid w:val="00DC1EC5"/>
    <w:rsid w:val="00DE5785"/>
    <w:rsid w:val="00E21E8D"/>
    <w:rsid w:val="00E4369E"/>
    <w:rsid w:val="00E446AD"/>
    <w:rsid w:val="00E72A71"/>
    <w:rsid w:val="00EC6C6D"/>
    <w:rsid w:val="00EF0C8C"/>
    <w:rsid w:val="00EF1793"/>
    <w:rsid w:val="00F32710"/>
    <w:rsid w:val="00F65F24"/>
    <w:rsid w:val="00F83100"/>
    <w:rsid w:val="00F844D5"/>
    <w:rsid w:val="00FC519F"/>
    <w:rsid w:val="00FD1694"/>
    <w:rsid w:val="00FD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A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C5"/>
    <w:rPr>
      <w:rFonts w:ascii="Times New Roman" w:eastAsia="Times New Roman" w:hAnsi="Times New Roman"/>
      <w:sz w:val="24"/>
      <w:szCs w:val="24"/>
    </w:rPr>
  </w:style>
  <w:style w:type="paragraph" w:styleId="Heading1">
    <w:name w:val="heading 1"/>
    <w:basedOn w:val="Normal"/>
    <w:next w:val="Normal"/>
    <w:link w:val="Heading1Char"/>
    <w:uiPriority w:val="9"/>
    <w:qFormat/>
    <w:rsid w:val="00A948E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3615"/>
    <w:pPr>
      <w:tabs>
        <w:tab w:val="center" w:pos="4680"/>
        <w:tab w:val="right" w:pos="9360"/>
      </w:tabs>
    </w:pPr>
  </w:style>
  <w:style w:type="character" w:customStyle="1" w:styleId="HeaderChar">
    <w:name w:val="Header Char"/>
    <w:basedOn w:val="DefaultParagraphFont"/>
    <w:link w:val="Header"/>
    <w:uiPriority w:val="99"/>
    <w:semiHidden/>
    <w:rsid w:val="00563615"/>
  </w:style>
  <w:style w:type="paragraph" w:styleId="Footer">
    <w:name w:val="footer"/>
    <w:basedOn w:val="Normal"/>
    <w:link w:val="FooterChar"/>
    <w:unhideWhenUsed/>
    <w:rsid w:val="00563615"/>
    <w:pPr>
      <w:tabs>
        <w:tab w:val="center" w:pos="4680"/>
        <w:tab w:val="right" w:pos="9360"/>
      </w:tabs>
    </w:pPr>
  </w:style>
  <w:style w:type="character" w:customStyle="1" w:styleId="FooterChar">
    <w:name w:val="Footer Char"/>
    <w:basedOn w:val="DefaultParagraphFont"/>
    <w:link w:val="Footer"/>
    <w:uiPriority w:val="99"/>
    <w:semiHidden/>
    <w:rsid w:val="00563615"/>
  </w:style>
  <w:style w:type="paragraph" w:styleId="BodyText2">
    <w:name w:val="Body Text 2"/>
    <w:basedOn w:val="Normal"/>
    <w:link w:val="BodyText2Char"/>
    <w:rsid w:val="00563615"/>
    <w:pPr>
      <w:overflowPunct w:val="0"/>
      <w:autoSpaceDE w:val="0"/>
      <w:autoSpaceDN w:val="0"/>
      <w:adjustRightInd w:val="0"/>
      <w:spacing w:after="120"/>
    </w:pPr>
    <w:rPr>
      <w:i/>
      <w:iCs/>
      <w:szCs w:val="20"/>
    </w:rPr>
  </w:style>
  <w:style w:type="character" w:customStyle="1" w:styleId="BodyText2Char">
    <w:name w:val="Body Text 2 Char"/>
    <w:link w:val="BodyText2"/>
    <w:rsid w:val="00563615"/>
    <w:rPr>
      <w:rFonts w:ascii="Times New Roman" w:eastAsia="Times New Roman" w:hAnsi="Times New Roman" w:cs="Times New Roman"/>
      <w:i/>
      <w:iCs/>
      <w:sz w:val="24"/>
      <w:szCs w:val="20"/>
    </w:rPr>
  </w:style>
  <w:style w:type="character" w:styleId="PageNumber">
    <w:name w:val="page number"/>
    <w:basedOn w:val="DefaultParagraphFont"/>
    <w:rsid w:val="00563615"/>
  </w:style>
  <w:style w:type="paragraph" w:styleId="Title">
    <w:name w:val="Title"/>
    <w:basedOn w:val="Normal"/>
    <w:qFormat/>
    <w:rsid w:val="004124C5"/>
    <w:pPr>
      <w:pBdr>
        <w:top w:val="double" w:sz="6" w:space="1" w:color="auto"/>
        <w:left w:val="double" w:sz="6" w:space="1" w:color="auto"/>
        <w:bottom w:val="double" w:sz="6" w:space="1" w:color="auto"/>
        <w:right w:val="double" w:sz="6" w:space="1" w:color="auto"/>
      </w:pBdr>
      <w:jc w:val="center"/>
    </w:pPr>
    <w:rPr>
      <w:b/>
      <w:bCs/>
      <w:sz w:val="32"/>
      <w:szCs w:val="32"/>
    </w:rPr>
  </w:style>
  <w:style w:type="paragraph" w:customStyle="1" w:styleId="VBALPHeading1">
    <w:name w:val="VBA LP Heading 1"/>
    <w:basedOn w:val="Heading1"/>
    <w:qFormat/>
    <w:rsid w:val="00A948EB"/>
    <w:pPr>
      <w:keepNext w:val="0"/>
      <w:overflowPunct w:val="0"/>
      <w:autoSpaceDE w:val="0"/>
      <w:autoSpaceDN w:val="0"/>
      <w:adjustRightInd w:val="0"/>
      <w:spacing w:after="240"/>
      <w:jc w:val="center"/>
    </w:pPr>
    <w:rPr>
      <w:rFonts w:ascii="Times New Roman Bold" w:hAnsi="Times New Roman Bold"/>
      <w:bCs w:val="0"/>
      <w:smallCaps/>
      <w:kern w:val="0"/>
    </w:rPr>
  </w:style>
  <w:style w:type="paragraph" w:customStyle="1" w:styleId="VBALessonPlanTitle">
    <w:name w:val="VBA Lesson Plan Title"/>
    <w:basedOn w:val="Heading1"/>
    <w:qFormat/>
    <w:rsid w:val="00A948EB"/>
    <w:pPr>
      <w:keepNext w:val="0"/>
      <w:overflowPunct w:val="0"/>
      <w:autoSpaceDE w:val="0"/>
      <w:autoSpaceDN w:val="0"/>
      <w:adjustRightInd w:val="0"/>
      <w:spacing w:after="240"/>
      <w:jc w:val="center"/>
      <w:textAlignment w:val="baseline"/>
    </w:pPr>
    <w:rPr>
      <w:rFonts w:ascii="Times New Roman Bold" w:hAnsi="Times New Roman Bold"/>
      <w:bCs w:val="0"/>
      <w:smallCaps/>
      <w:kern w:val="0"/>
    </w:rPr>
  </w:style>
  <w:style w:type="character" w:customStyle="1" w:styleId="Heading1Char">
    <w:name w:val="Heading 1 Char"/>
    <w:link w:val="Heading1"/>
    <w:uiPriority w:val="9"/>
    <w:rsid w:val="00A948EB"/>
    <w:rPr>
      <w:rFonts w:ascii="Cambria" w:eastAsia="Times New Roman" w:hAnsi="Cambria" w:cs="Times New Roman"/>
      <w:b/>
      <w:bCs/>
      <w:kern w:val="32"/>
      <w:sz w:val="32"/>
      <w:szCs w:val="32"/>
    </w:rPr>
  </w:style>
  <w:style w:type="paragraph" w:customStyle="1" w:styleId="VBALevel1Heading">
    <w:name w:val="VBA Level 1 Heading"/>
    <w:basedOn w:val="Normal"/>
    <w:rsid w:val="00B84D87"/>
    <w:pPr>
      <w:overflowPunct w:val="0"/>
      <w:autoSpaceDE w:val="0"/>
      <w:autoSpaceDN w:val="0"/>
      <w:adjustRightInd w:val="0"/>
      <w:spacing w:before="120"/>
      <w:textAlignment w:val="baseline"/>
    </w:pPr>
    <w:rPr>
      <w:b/>
      <w:caps/>
      <w:szCs w:val="20"/>
    </w:rPr>
  </w:style>
  <w:style w:type="paragraph" w:customStyle="1" w:styleId="VBAFirstLevelBullet">
    <w:name w:val="VBA First Level Bullet"/>
    <w:basedOn w:val="Normal"/>
    <w:link w:val="VBAFirstLevelBulletChar"/>
    <w:qFormat/>
    <w:rsid w:val="00B84D87"/>
    <w:pPr>
      <w:numPr>
        <w:numId w:val="1"/>
      </w:numPr>
      <w:overflowPunct w:val="0"/>
      <w:autoSpaceDE w:val="0"/>
      <w:autoSpaceDN w:val="0"/>
      <w:adjustRightInd w:val="0"/>
      <w:textAlignment w:val="baseline"/>
    </w:pPr>
    <w:rPr>
      <w:szCs w:val="20"/>
    </w:rPr>
  </w:style>
  <w:style w:type="character" w:customStyle="1" w:styleId="VBAFirstLevelBulletChar">
    <w:name w:val="VBA First Level Bullet Char"/>
    <w:link w:val="VBAFirstLevelBullet"/>
    <w:rsid w:val="00B84D87"/>
    <w:rPr>
      <w:rFonts w:ascii="Times New Roman" w:eastAsia="Times New Roman" w:hAnsi="Times New Roman"/>
      <w:sz w:val="24"/>
    </w:rPr>
  </w:style>
  <w:style w:type="paragraph" w:customStyle="1" w:styleId="VBAbodytext">
    <w:name w:val="VBA body text"/>
    <w:basedOn w:val="Normal"/>
    <w:qFormat/>
    <w:rsid w:val="00B84D87"/>
    <w:pPr>
      <w:overflowPunct w:val="0"/>
      <w:autoSpaceDE w:val="0"/>
      <w:autoSpaceDN w:val="0"/>
      <w:adjustRightInd w:val="0"/>
      <w:spacing w:before="120" w:after="240"/>
    </w:pPr>
    <w:rPr>
      <w:szCs w:val="20"/>
    </w:rPr>
  </w:style>
  <w:style w:type="table" w:styleId="TableGrid">
    <w:name w:val="Table Grid"/>
    <w:basedOn w:val="TableNormal"/>
    <w:uiPriority w:val="59"/>
    <w:rsid w:val="000C0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E1DD0"/>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7E1DD0"/>
    <w:pPr>
      <w:tabs>
        <w:tab w:val="right" w:leader="dot" w:pos="9350"/>
      </w:tabs>
      <w:spacing w:before="120" w:after="120" w:line="276" w:lineRule="auto"/>
      <w:ind w:left="360"/>
    </w:pPr>
    <w:rPr>
      <w:noProof/>
    </w:rPr>
  </w:style>
  <w:style w:type="paragraph" w:customStyle="1" w:styleId="VBALessonPlanName">
    <w:name w:val="VBA Lesson Plan Name"/>
    <w:basedOn w:val="Normal"/>
    <w:qFormat/>
    <w:rsid w:val="007E1DD0"/>
    <w:pPr>
      <w:overflowPunct w:val="0"/>
      <w:autoSpaceDE w:val="0"/>
      <w:autoSpaceDN w:val="0"/>
      <w:adjustRightInd w:val="0"/>
      <w:spacing w:before="120" w:after="120"/>
      <w:jc w:val="center"/>
      <w:textAlignment w:val="baseline"/>
    </w:pPr>
    <w:rPr>
      <w:rFonts w:ascii="Times New Roman Bold" w:hAnsi="Times New Roman Bold"/>
      <w:b/>
      <w:smallCaps/>
      <w:color w:val="0070C0"/>
      <w:sz w:val="32"/>
      <w:szCs w:val="32"/>
    </w:rPr>
  </w:style>
  <w:style w:type="paragraph" w:styleId="BalloonText">
    <w:name w:val="Balloon Text"/>
    <w:basedOn w:val="Normal"/>
    <w:link w:val="BalloonTextChar"/>
    <w:uiPriority w:val="99"/>
    <w:semiHidden/>
    <w:unhideWhenUsed/>
    <w:rsid w:val="0038509D"/>
    <w:rPr>
      <w:rFonts w:ascii="Tahoma" w:hAnsi="Tahoma" w:cs="Tahoma"/>
      <w:sz w:val="16"/>
      <w:szCs w:val="16"/>
    </w:rPr>
  </w:style>
  <w:style w:type="character" w:customStyle="1" w:styleId="BalloonTextChar">
    <w:name w:val="Balloon Text Char"/>
    <w:link w:val="BalloonText"/>
    <w:uiPriority w:val="99"/>
    <w:semiHidden/>
    <w:rsid w:val="0038509D"/>
    <w:rPr>
      <w:rFonts w:ascii="Tahoma" w:eastAsia="Times New Roman" w:hAnsi="Tahoma" w:cs="Tahoma"/>
      <w:sz w:val="16"/>
      <w:szCs w:val="16"/>
    </w:rPr>
  </w:style>
  <w:style w:type="paragraph" w:styleId="ListParagraph">
    <w:name w:val="List Paragraph"/>
    <w:basedOn w:val="Normal"/>
    <w:uiPriority w:val="34"/>
    <w:qFormat/>
    <w:rsid w:val="002B3390"/>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C5"/>
    <w:rPr>
      <w:rFonts w:ascii="Times New Roman" w:eastAsia="Times New Roman" w:hAnsi="Times New Roman"/>
      <w:sz w:val="24"/>
      <w:szCs w:val="24"/>
    </w:rPr>
  </w:style>
  <w:style w:type="paragraph" w:styleId="Heading1">
    <w:name w:val="heading 1"/>
    <w:basedOn w:val="Normal"/>
    <w:next w:val="Normal"/>
    <w:link w:val="Heading1Char"/>
    <w:uiPriority w:val="9"/>
    <w:qFormat/>
    <w:rsid w:val="00A948E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3615"/>
    <w:pPr>
      <w:tabs>
        <w:tab w:val="center" w:pos="4680"/>
        <w:tab w:val="right" w:pos="9360"/>
      </w:tabs>
    </w:pPr>
  </w:style>
  <w:style w:type="character" w:customStyle="1" w:styleId="HeaderChar">
    <w:name w:val="Header Char"/>
    <w:basedOn w:val="DefaultParagraphFont"/>
    <w:link w:val="Header"/>
    <w:uiPriority w:val="99"/>
    <w:semiHidden/>
    <w:rsid w:val="00563615"/>
  </w:style>
  <w:style w:type="paragraph" w:styleId="Footer">
    <w:name w:val="footer"/>
    <w:basedOn w:val="Normal"/>
    <w:link w:val="FooterChar"/>
    <w:unhideWhenUsed/>
    <w:rsid w:val="00563615"/>
    <w:pPr>
      <w:tabs>
        <w:tab w:val="center" w:pos="4680"/>
        <w:tab w:val="right" w:pos="9360"/>
      </w:tabs>
    </w:pPr>
  </w:style>
  <w:style w:type="character" w:customStyle="1" w:styleId="FooterChar">
    <w:name w:val="Footer Char"/>
    <w:basedOn w:val="DefaultParagraphFont"/>
    <w:link w:val="Footer"/>
    <w:uiPriority w:val="99"/>
    <w:semiHidden/>
    <w:rsid w:val="00563615"/>
  </w:style>
  <w:style w:type="paragraph" w:styleId="BodyText2">
    <w:name w:val="Body Text 2"/>
    <w:basedOn w:val="Normal"/>
    <w:link w:val="BodyText2Char"/>
    <w:rsid w:val="00563615"/>
    <w:pPr>
      <w:overflowPunct w:val="0"/>
      <w:autoSpaceDE w:val="0"/>
      <w:autoSpaceDN w:val="0"/>
      <w:adjustRightInd w:val="0"/>
      <w:spacing w:after="120"/>
    </w:pPr>
    <w:rPr>
      <w:i/>
      <w:iCs/>
      <w:szCs w:val="20"/>
    </w:rPr>
  </w:style>
  <w:style w:type="character" w:customStyle="1" w:styleId="BodyText2Char">
    <w:name w:val="Body Text 2 Char"/>
    <w:link w:val="BodyText2"/>
    <w:rsid w:val="00563615"/>
    <w:rPr>
      <w:rFonts w:ascii="Times New Roman" w:eastAsia="Times New Roman" w:hAnsi="Times New Roman" w:cs="Times New Roman"/>
      <w:i/>
      <w:iCs/>
      <w:sz w:val="24"/>
      <w:szCs w:val="20"/>
    </w:rPr>
  </w:style>
  <w:style w:type="character" w:styleId="PageNumber">
    <w:name w:val="page number"/>
    <w:basedOn w:val="DefaultParagraphFont"/>
    <w:rsid w:val="00563615"/>
  </w:style>
  <w:style w:type="paragraph" w:styleId="Title">
    <w:name w:val="Title"/>
    <w:basedOn w:val="Normal"/>
    <w:qFormat/>
    <w:rsid w:val="004124C5"/>
    <w:pPr>
      <w:pBdr>
        <w:top w:val="double" w:sz="6" w:space="1" w:color="auto"/>
        <w:left w:val="double" w:sz="6" w:space="1" w:color="auto"/>
        <w:bottom w:val="double" w:sz="6" w:space="1" w:color="auto"/>
        <w:right w:val="double" w:sz="6" w:space="1" w:color="auto"/>
      </w:pBdr>
      <w:jc w:val="center"/>
    </w:pPr>
    <w:rPr>
      <w:b/>
      <w:bCs/>
      <w:sz w:val="32"/>
      <w:szCs w:val="32"/>
    </w:rPr>
  </w:style>
  <w:style w:type="paragraph" w:customStyle="1" w:styleId="VBALPHeading1">
    <w:name w:val="VBA LP Heading 1"/>
    <w:basedOn w:val="Heading1"/>
    <w:qFormat/>
    <w:rsid w:val="00A948EB"/>
    <w:pPr>
      <w:keepNext w:val="0"/>
      <w:overflowPunct w:val="0"/>
      <w:autoSpaceDE w:val="0"/>
      <w:autoSpaceDN w:val="0"/>
      <w:adjustRightInd w:val="0"/>
      <w:spacing w:after="240"/>
      <w:jc w:val="center"/>
    </w:pPr>
    <w:rPr>
      <w:rFonts w:ascii="Times New Roman Bold" w:hAnsi="Times New Roman Bold"/>
      <w:bCs w:val="0"/>
      <w:smallCaps/>
      <w:kern w:val="0"/>
    </w:rPr>
  </w:style>
  <w:style w:type="paragraph" w:customStyle="1" w:styleId="VBALessonPlanTitle">
    <w:name w:val="VBA Lesson Plan Title"/>
    <w:basedOn w:val="Heading1"/>
    <w:qFormat/>
    <w:rsid w:val="00A948EB"/>
    <w:pPr>
      <w:keepNext w:val="0"/>
      <w:overflowPunct w:val="0"/>
      <w:autoSpaceDE w:val="0"/>
      <w:autoSpaceDN w:val="0"/>
      <w:adjustRightInd w:val="0"/>
      <w:spacing w:after="240"/>
      <w:jc w:val="center"/>
      <w:textAlignment w:val="baseline"/>
    </w:pPr>
    <w:rPr>
      <w:rFonts w:ascii="Times New Roman Bold" w:hAnsi="Times New Roman Bold"/>
      <w:bCs w:val="0"/>
      <w:smallCaps/>
      <w:kern w:val="0"/>
    </w:rPr>
  </w:style>
  <w:style w:type="character" w:customStyle="1" w:styleId="Heading1Char">
    <w:name w:val="Heading 1 Char"/>
    <w:link w:val="Heading1"/>
    <w:uiPriority w:val="9"/>
    <w:rsid w:val="00A948EB"/>
    <w:rPr>
      <w:rFonts w:ascii="Cambria" w:eastAsia="Times New Roman" w:hAnsi="Cambria" w:cs="Times New Roman"/>
      <w:b/>
      <w:bCs/>
      <w:kern w:val="32"/>
      <w:sz w:val="32"/>
      <w:szCs w:val="32"/>
    </w:rPr>
  </w:style>
  <w:style w:type="paragraph" w:customStyle="1" w:styleId="VBALevel1Heading">
    <w:name w:val="VBA Level 1 Heading"/>
    <w:basedOn w:val="Normal"/>
    <w:rsid w:val="00B84D87"/>
    <w:pPr>
      <w:overflowPunct w:val="0"/>
      <w:autoSpaceDE w:val="0"/>
      <w:autoSpaceDN w:val="0"/>
      <w:adjustRightInd w:val="0"/>
      <w:spacing w:before="120"/>
      <w:textAlignment w:val="baseline"/>
    </w:pPr>
    <w:rPr>
      <w:b/>
      <w:caps/>
      <w:szCs w:val="20"/>
    </w:rPr>
  </w:style>
  <w:style w:type="paragraph" w:customStyle="1" w:styleId="VBAFirstLevelBullet">
    <w:name w:val="VBA First Level Bullet"/>
    <w:basedOn w:val="Normal"/>
    <w:link w:val="VBAFirstLevelBulletChar"/>
    <w:qFormat/>
    <w:rsid w:val="00B84D87"/>
    <w:pPr>
      <w:numPr>
        <w:numId w:val="1"/>
      </w:numPr>
      <w:overflowPunct w:val="0"/>
      <w:autoSpaceDE w:val="0"/>
      <w:autoSpaceDN w:val="0"/>
      <w:adjustRightInd w:val="0"/>
      <w:textAlignment w:val="baseline"/>
    </w:pPr>
    <w:rPr>
      <w:szCs w:val="20"/>
    </w:rPr>
  </w:style>
  <w:style w:type="character" w:customStyle="1" w:styleId="VBAFirstLevelBulletChar">
    <w:name w:val="VBA First Level Bullet Char"/>
    <w:link w:val="VBAFirstLevelBullet"/>
    <w:rsid w:val="00B84D87"/>
    <w:rPr>
      <w:rFonts w:ascii="Times New Roman" w:eastAsia="Times New Roman" w:hAnsi="Times New Roman"/>
      <w:sz w:val="24"/>
    </w:rPr>
  </w:style>
  <w:style w:type="paragraph" w:customStyle="1" w:styleId="VBAbodytext">
    <w:name w:val="VBA body text"/>
    <w:basedOn w:val="Normal"/>
    <w:qFormat/>
    <w:rsid w:val="00B84D87"/>
    <w:pPr>
      <w:overflowPunct w:val="0"/>
      <w:autoSpaceDE w:val="0"/>
      <w:autoSpaceDN w:val="0"/>
      <w:adjustRightInd w:val="0"/>
      <w:spacing w:before="120" w:after="240"/>
    </w:pPr>
    <w:rPr>
      <w:szCs w:val="20"/>
    </w:rPr>
  </w:style>
  <w:style w:type="table" w:styleId="TableGrid">
    <w:name w:val="Table Grid"/>
    <w:basedOn w:val="TableNormal"/>
    <w:uiPriority w:val="59"/>
    <w:rsid w:val="000C0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E1DD0"/>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7E1DD0"/>
    <w:pPr>
      <w:tabs>
        <w:tab w:val="right" w:leader="dot" w:pos="9350"/>
      </w:tabs>
      <w:spacing w:before="120" w:after="120" w:line="276" w:lineRule="auto"/>
      <w:ind w:left="360"/>
    </w:pPr>
    <w:rPr>
      <w:noProof/>
    </w:rPr>
  </w:style>
  <w:style w:type="paragraph" w:customStyle="1" w:styleId="VBALessonPlanName">
    <w:name w:val="VBA Lesson Plan Name"/>
    <w:basedOn w:val="Normal"/>
    <w:qFormat/>
    <w:rsid w:val="007E1DD0"/>
    <w:pPr>
      <w:overflowPunct w:val="0"/>
      <w:autoSpaceDE w:val="0"/>
      <w:autoSpaceDN w:val="0"/>
      <w:adjustRightInd w:val="0"/>
      <w:spacing w:before="120" w:after="120"/>
      <w:jc w:val="center"/>
      <w:textAlignment w:val="baseline"/>
    </w:pPr>
    <w:rPr>
      <w:rFonts w:ascii="Times New Roman Bold" w:hAnsi="Times New Roman Bold"/>
      <w:b/>
      <w:smallCaps/>
      <w:color w:val="0070C0"/>
      <w:sz w:val="32"/>
      <w:szCs w:val="32"/>
    </w:rPr>
  </w:style>
  <w:style w:type="paragraph" w:styleId="BalloonText">
    <w:name w:val="Balloon Text"/>
    <w:basedOn w:val="Normal"/>
    <w:link w:val="BalloonTextChar"/>
    <w:uiPriority w:val="99"/>
    <w:semiHidden/>
    <w:unhideWhenUsed/>
    <w:rsid w:val="0038509D"/>
    <w:rPr>
      <w:rFonts w:ascii="Tahoma" w:hAnsi="Tahoma" w:cs="Tahoma"/>
      <w:sz w:val="16"/>
      <w:szCs w:val="16"/>
    </w:rPr>
  </w:style>
  <w:style w:type="character" w:customStyle="1" w:styleId="BalloonTextChar">
    <w:name w:val="Balloon Text Char"/>
    <w:link w:val="BalloonText"/>
    <w:uiPriority w:val="99"/>
    <w:semiHidden/>
    <w:rsid w:val="0038509D"/>
    <w:rPr>
      <w:rFonts w:ascii="Tahoma" w:eastAsia="Times New Roman" w:hAnsi="Tahoma" w:cs="Tahoma"/>
      <w:sz w:val="16"/>
      <w:szCs w:val="16"/>
    </w:rPr>
  </w:style>
  <w:style w:type="paragraph" w:styleId="ListParagraph">
    <w:name w:val="List Paragraph"/>
    <w:basedOn w:val="Normal"/>
    <w:uiPriority w:val="34"/>
    <w:qFormat/>
    <w:rsid w:val="002B339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AEDF5-9D6C-46FF-BB12-19CB13B6FC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3218D2-E2A2-4C8F-8A0D-EAE5F09FF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E2D098-6376-4DCD-B41E-658B8D4A54E6}">
  <ds:schemaRefs>
    <ds:schemaRef ds:uri="http://schemas.microsoft.com/sharepoint/v3/contenttype/forms"/>
  </ds:schemaRefs>
</ds:datastoreItem>
</file>

<file path=customXml/itemProps4.xml><?xml version="1.0" encoding="utf-8"?>
<ds:datastoreItem xmlns:ds="http://schemas.openxmlformats.org/officeDocument/2006/customXml" ds:itemID="{5CB051B5-47DE-434A-81B8-32000EEEF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RATING DIGESTIVE CONDITIONS (POST CHALLENGE)</vt:lpstr>
    </vt:vector>
  </TitlesOfParts>
  <Company>Veterans Benefits Administration</Company>
  <LinksUpToDate>false</LinksUpToDate>
  <CharactersWithSpaces>3901</CharactersWithSpaces>
  <SharedDoc>false</SharedDoc>
  <HLinks>
    <vt:vector size="18" baseType="variant">
      <vt:variant>
        <vt:i4>1310776</vt:i4>
      </vt:variant>
      <vt:variant>
        <vt:i4>14</vt:i4>
      </vt:variant>
      <vt:variant>
        <vt:i4>0</vt:i4>
      </vt:variant>
      <vt:variant>
        <vt:i4>5</vt:i4>
      </vt:variant>
      <vt:variant>
        <vt:lpwstr/>
      </vt:variant>
      <vt:variant>
        <vt:lpwstr>_Toc366681527</vt:lpwstr>
      </vt:variant>
      <vt:variant>
        <vt:i4>1310776</vt:i4>
      </vt:variant>
      <vt:variant>
        <vt:i4>8</vt:i4>
      </vt:variant>
      <vt:variant>
        <vt:i4>0</vt:i4>
      </vt:variant>
      <vt:variant>
        <vt:i4>5</vt:i4>
      </vt:variant>
      <vt:variant>
        <vt:lpwstr/>
      </vt:variant>
      <vt:variant>
        <vt:lpwstr>_Toc366681526</vt:lpwstr>
      </vt:variant>
      <vt:variant>
        <vt:i4>1310776</vt:i4>
      </vt:variant>
      <vt:variant>
        <vt:i4>2</vt:i4>
      </vt:variant>
      <vt:variant>
        <vt:i4>0</vt:i4>
      </vt:variant>
      <vt:variant>
        <vt:i4>5</vt:i4>
      </vt:variant>
      <vt:variant>
        <vt:lpwstr/>
      </vt:variant>
      <vt:variant>
        <vt:lpwstr>_Toc366681525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DIGESTIVE CONDITIONS (POST CHALLENGE)</dc:title>
  <dc:subject>RVSR</dc:subject>
  <dc:creator>Department of Veterans Affairs, Veterans Benefits Administration, Compensation Service, STAFF</dc:creator>
  <cp:keywords>digestive, IBS, GERD, FGID, gastrointestinal, esophageal, gastroesophageal, hepatitis, HAV, HBV, HCV</cp:keywords>
  <dc:description>This lesson is intended to enforce key concepts pertaining to properly addressing conditions of the digestive system.  </dc:description>
  <cp:lastModifiedBy>Gilbert, Sarah</cp:lastModifiedBy>
  <cp:revision>5</cp:revision>
  <dcterms:created xsi:type="dcterms:W3CDTF">2016-03-03T16:14:00Z</dcterms:created>
  <dcterms:modified xsi:type="dcterms:W3CDTF">2016-03-30T16:23:00Z</dcterms:modified>
  <cp:category>NTC Curriculum</cp:category>
  <cp:contentStatus>July 2012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Teaching Material</vt:lpwstr>
  </property>
</Properties>
</file>