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071D95" w:rsidRDefault="009B2F5A">
      <w:pPr>
        <w:pStyle w:val="LessonTitle"/>
        <w:rPr>
          <w:rFonts w:ascii="Times New Roman" w:hAnsi="Times New Roman"/>
        </w:rPr>
      </w:pPr>
      <w:bookmarkStart w:id="0" w:name="_GoBack"/>
      <w:bookmarkEnd w:id="0"/>
    </w:p>
    <w:p w14:paraId="235F411B" w14:textId="77777777" w:rsidR="009B2F5A" w:rsidRPr="00071D95" w:rsidRDefault="009B2F5A">
      <w:pPr>
        <w:pStyle w:val="LessonTitle"/>
        <w:rPr>
          <w:rFonts w:ascii="Times New Roman" w:hAnsi="Times New Roman"/>
        </w:rPr>
      </w:pPr>
    </w:p>
    <w:p w14:paraId="235F411C" w14:textId="113FCCED" w:rsidR="009B2F5A" w:rsidRPr="00071D95" w:rsidRDefault="005F2B99">
      <w:pPr>
        <w:pStyle w:val="VBALessonPlanName"/>
        <w:rPr>
          <w:rFonts w:ascii="Times New Roman" w:hAnsi="Times New Roman"/>
          <w:color w:val="auto"/>
        </w:rPr>
      </w:pPr>
      <w:r w:rsidRPr="00071D95">
        <w:rPr>
          <w:rFonts w:ascii="Times New Roman" w:hAnsi="Times New Roman"/>
          <w:color w:val="auto"/>
        </w:rPr>
        <w:t>Eva</w:t>
      </w:r>
      <w:r w:rsidR="00D05714" w:rsidRPr="00071D95">
        <w:rPr>
          <w:rFonts w:ascii="Times New Roman" w:hAnsi="Times New Roman"/>
          <w:color w:val="auto"/>
        </w:rPr>
        <w:t>l</w:t>
      </w:r>
      <w:r w:rsidRPr="00071D95">
        <w:rPr>
          <w:rFonts w:ascii="Times New Roman" w:hAnsi="Times New Roman"/>
          <w:color w:val="auto"/>
        </w:rPr>
        <w:t>u</w:t>
      </w:r>
      <w:r w:rsidR="00D05714" w:rsidRPr="00071D95">
        <w:rPr>
          <w:rFonts w:ascii="Times New Roman" w:hAnsi="Times New Roman"/>
          <w:color w:val="auto"/>
        </w:rPr>
        <w:t>ating Lay Evidence</w:t>
      </w:r>
    </w:p>
    <w:p w14:paraId="235F411D" w14:textId="77777777" w:rsidR="009B2F5A" w:rsidRPr="00071D95" w:rsidRDefault="009B2F5A">
      <w:pPr>
        <w:pStyle w:val="VBALessonPlanTitle"/>
        <w:rPr>
          <w:rFonts w:ascii="Times New Roman" w:hAnsi="Times New Roman"/>
          <w:color w:val="auto"/>
        </w:rPr>
      </w:pPr>
      <w:bookmarkStart w:id="1" w:name="_Toc277338715"/>
      <w:r w:rsidRPr="00071D95">
        <w:rPr>
          <w:rFonts w:ascii="Times New Roman" w:hAnsi="Times New Roman"/>
          <w:color w:val="auto"/>
        </w:rPr>
        <w:t>Instructor Lesson Plan</w:t>
      </w:r>
      <w:bookmarkEnd w:id="1"/>
    </w:p>
    <w:p w14:paraId="235F411E" w14:textId="1129E1A9" w:rsidR="009B2F5A" w:rsidRPr="00071D95" w:rsidRDefault="009B2F5A">
      <w:pPr>
        <w:pStyle w:val="VBALessonPlanName"/>
        <w:rPr>
          <w:rFonts w:ascii="Times New Roman" w:hAnsi="Times New Roman"/>
          <w:color w:val="auto"/>
        </w:rPr>
      </w:pPr>
      <w:bookmarkStart w:id="2" w:name="_Toc269888738"/>
      <w:bookmarkStart w:id="3" w:name="_Toc269888786"/>
      <w:bookmarkStart w:id="4" w:name="_Toc277338716"/>
      <w:r w:rsidRPr="00071D95">
        <w:rPr>
          <w:rFonts w:ascii="Times New Roman" w:hAnsi="Times New Roman"/>
          <w:color w:val="auto"/>
        </w:rPr>
        <w:t xml:space="preserve">Time Required: </w:t>
      </w:r>
      <w:r w:rsidR="005A1CE3" w:rsidRPr="00071D95">
        <w:rPr>
          <w:rFonts w:ascii="Times New Roman" w:hAnsi="Times New Roman"/>
          <w:color w:val="auto"/>
        </w:rPr>
        <w:t>2</w:t>
      </w:r>
      <w:r w:rsidR="003D5186">
        <w:rPr>
          <w:rFonts w:ascii="Times New Roman" w:hAnsi="Times New Roman"/>
          <w:color w:val="auto"/>
        </w:rPr>
        <w:t>.75</w:t>
      </w:r>
      <w:r w:rsidR="002675A2">
        <w:rPr>
          <w:rFonts w:ascii="Times New Roman" w:hAnsi="Times New Roman"/>
          <w:color w:val="auto"/>
        </w:rPr>
        <w:t xml:space="preserve"> </w:t>
      </w:r>
      <w:r w:rsidRPr="00071D95">
        <w:rPr>
          <w:rFonts w:ascii="Times New Roman" w:hAnsi="Times New Roman"/>
          <w:color w:val="auto"/>
        </w:rPr>
        <w:t>Hours</w:t>
      </w:r>
      <w:bookmarkEnd w:id="2"/>
      <w:bookmarkEnd w:id="3"/>
      <w:bookmarkEnd w:id="4"/>
    </w:p>
    <w:p w14:paraId="235F411F" w14:textId="77777777" w:rsidR="009B2F5A" w:rsidRPr="00071D95" w:rsidRDefault="009B2F5A">
      <w:pPr>
        <w:jc w:val="center"/>
        <w:rPr>
          <w:b/>
          <w:caps/>
          <w:sz w:val="32"/>
          <w:szCs w:val="32"/>
        </w:rPr>
      </w:pPr>
    </w:p>
    <w:p w14:paraId="235F4120" w14:textId="77777777" w:rsidR="009B2F5A" w:rsidRPr="00071D95" w:rsidRDefault="009B2F5A">
      <w:pPr>
        <w:jc w:val="center"/>
        <w:rPr>
          <w:b/>
          <w:sz w:val="28"/>
          <w:szCs w:val="28"/>
        </w:rPr>
      </w:pPr>
      <w:bookmarkStart w:id="5" w:name="_Toc277338717"/>
      <w:r w:rsidRPr="00071D95">
        <w:rPr>
          <w:b/>
          <w:sz w:val="28"/>
          <w:szCs w:val="28"/>
        </w:rPr>
        <w:t>Table of Contents</w:t>
      </w:r>
      <w:bookmarkEnd w:id="5"/>
    </w:p>
    <w:p w14:paraId="235F4121" w14:textId="77777777" w:rsidR="009B2F5A" w:rsidRPr="00071D95" w:rsidRDefault="009B2F5A"/>
    <w:p w14:paraId="08C1E57A" w14:textId="77777777" w:rsidR="00EC029E" w:rsidRDefault="009B2F5A">
      <w:pPr>
        <w:pStyle w:val="TOC1"/>
        <w:rPr>
          <w:rFonts w:asciiTheme="minorHAnsi" w:eastAsiaTheme="minorEastAsia" w:hAnsiTheme="minorHAnsi" w:cstheme="minorBidi"/>
          <w:sz w:val="22"/>
        </w:rPr>
      </w:pPr>
      <w:r w:rsidRPr="00071D95">
        <w:rPr>
          <w:rStyle w:val="Hyperlink"/>
          <w:color w:val="auto"/>
          <w:szCs w:val="24"/>
          <w:u w:val="none"/>
        </w:rPr>
        <w:fldChar w:fldCharType="begin"/>
      </w:r>
      <w:r w:rsidRPr="00071D95">
        <w:rPr>
          <w:rStyle w:val="Hyperlink"/>
          <w:color w:val="auto"/>
          <w:szCs w:val="24"/>
          <w:u w:val="none"/>
        </w:rPr>
        <w:instrText xml:space="preserve"> TOC \o "1-1" \h \z \u </w:instrText>
      </w:r>
      <w:r w:rsidRPr="00071D95">
        <w:rPr>
          <w:rStyle w:val="Hyperlink"/>
          <w:color w:val="auto"/>
          <w:szCs w:val="24"/>
          <w:u w:val="none"/>
        </w:rPr>
        <w:fldChar w:fldCharType="separate"/>
      </w:r>
      <w:hyperlink w:anchor="_Toc442278444" w:history="1">
        <w:r w:rsidR="00EC029E" w:rsidRPr="00F141DA">
          <w:rPr>
            <w:rStyle w:val="Hyperlink"/>
          </w:rPr>
          <w:t>Lesson Description</w:t>
        </w:r>
        <w:r w:rsidR="00EC029E">
          <w:rPr>
            <w:webHidden/>
          </w:rPr>
          <w:tab/>
        </w:r>
        <w:r w:rsidR="00EC029E">
          <w:rPr>
            <w:webHidden/>
          </w:rPr>
          <w:fldChar w:fldCharType="begin"/>
        </w:r>
        <w:r w:rsidR="00EC029E">
          <w:rPr>
            <w:webHidden/>
          </w:rPr>
          <w:instrText xml:space="preserve"> PAGEREF _Toc442278444 \h </w:instrText>
        </w:r>
        <w:r w:rsidR="00EC029E">
          <w:rPr>
            <w:webHidden/>
          </w:rPr>
        </w:r>
        <w:r w:rsidR="00EC029E">
          <w:rPr>
            <w:webHidden/>
          </w:rPr>
          <w:fldChar w:fldCharType="separate"/>
        </w:r>
        <w:r w:rsidR="00EC029E">
          <w:rPr>
            <w:webHidden/>
          </w:rPr>
          <w:t>2</w:t>
        </w:r>
        <w:r w:rsidR="00EC029E">
          <w:rPr>
            <w:webHidden/>
          </w:rPr>
          <w:fldChar w:fldCharType="end"/>
        </w:r>
      </w:hyperlink>
    </w:p>
    <w:p w14:paraId="118D2A67" w14:textId="77777777" w:rsidR="00EC029E" w:rsidRDefault="00342131">
      <w:pPr>
        <w:pStyle w:val="TOC1"/>
        <w:rPr>
          <w:rFonts w:asciiTheme="minorHAnsi" w:eastAsiaTheme="minorEastAsia" w:hAnsiTheme="minorHAnsi" w:cstheme="minorBidi"/>
          <w:sz w:val="22"/>
        </w:rPr>
      </w:pPr>
      <w:hyperlink w:anchor="_Toc442278445" w:history="1">
        <w:r w:rsidR="00EC029E" w:rsidRPr="00F141DA">
          <w:rPr>
            <w:rStyle w:val="Hyperlink"/>
          </w:rPr>
          <w:t>Introduction to Evaluating Lay Evidence</w:t>
        </w:r>
        <w:r w:rsidR="00EC029E">
          <w:rPr>
            <w:webHidden/>
          </w:rPr>
          <w:tab/>
        </w:r>
        <w:r w:rsidR="00EC029E">
          <w:rPr>
            <w:webHidden/>
          </w:rPr>
          <w:fldChar w:fldCharType="begin"/>
        </w:r>
        <w:r w:rsidR="00EC029E">
          <w:rPr>
            <w:webHidden/>
          </w:rPr>
          <w:instrText xml:space="preserve"> PAGEREF _Toc442278445 \h </w:instrText>
        </w:r>
        <w:r w:rsidR="00EC029E">
          <w:rPr>
            <w:webHidden/>
          </w:rPr>
        </w:r>
        <w:r w:rsidR="00EC029E">
          <w:rPr>
            <w:webHidden/>
          </w:rPr>
          <w:fldChar w:fldCharType="separate"/>
        </w:r>
        <w:r w:rsidR="00EC029E">
          <w:rPr>
            <w:webHidden/>
          </w:rPr>
          <w:t>4</w:t>
        </w:r>
        <w:r w:rsidR="00EC029E">
          <w:rPr>
            <w:webHidden/>
          </w:rPr>
          <w:fldChar w:fldCharType="end"/>
        </w:r>
      </w:hyperlink>
    </w:p>
    <w:p w14:paraId="6FA063EB" w14:textId="77777777" w:rsidR="00EC029E" w:rsidRDefault="00342131">
      <w:pPr>
        <w:pStyle w:val="TOC1"/>
        <w:rPr>
          <w:rFonts w:asciiTheme="minorHAnsi" w:eastAsiaTheme="minorEastAsia" w:hAnsiTheme="minorHAnsi" w:cstheme="minorBidi"/>
          <w:sz w:val="22"/>
        </w:rPr>
      </w:pPr>
      <w:hyperlink w:anchor="_Toc442278446" w:history="1">
        <w:r w:rsidR="00EC029E" w:rsidRPr="00F141DA">
          <w:rPr>
            <w:rStyle w:val="Hyperlink"/>
          </w:rPr>
          <w:t>Topic 1: Credibility Determinations</w:t>
        </w:r>
        <w:r w:rsidR="00EC029E">
          <w:rPr>
            <w:webHidden/>
          </w:rPr>
          <w:tab/>
        </w:r>
        <w:r w:rsidR="00EC029E">
          <w:rPr>
            <w:webHidden/>
          </w:rPr>
          <w:fldChar w:fldCharType="begin"/>
        </w:r>
        <w:r w:rsidR="00EC029E">
          <w:rPr>
            <w:webHidden/>
          </w:rPr>
          <w:instrText xml:space="preserve"> PAGEREF _Toc442278446 \h </w:instrText>
        </w:r>
        <w:r w:rsidR="00EC029E">
          <w:rPr>
            <w:webHidden/>
          </w:rPr>
        </w:r>
        <w:r w:rsidR="00EC029E">
          <w:rPr>
            <w:webHidden/>
          </w:rPr>
          <w:fldChar w:fldCharType="separate"/>
        </w:r>
        <w:r w:rsidR="00EC029E">
          <w:rPr>
            <w:webHidden/>
          </w:rPr>
          <w:t>6</w:t>
        </w:r>
        <w:r w:rsidR="00EC029E">
          <w:rPr>
            <w:webHidden/>
          </w:rPr>
          <w:fldChar w:fldCharType="end"/>
        </w:r>
      </w:hyperlink>
    </w:p>
    <w:p w14:paraId="7726188B" w14:textId="77777777" w:rsidR="00EC029E" w:rsidRDefault="00342131">
      <w:pPr>
        <w:pStyle w:val="TOC1"/>
        <w:rPr>
          <w:rFonts w:asciiTheme="minorHAnsi" w:eastAsiaTheme="minorEastAsia" w:hAnsiTheme="minorHAnsi" w:cstheme="minorBidi"/>
          <w:sz w:val="22"/>
        </w:rPr>
      </w:pPr>
      <w:hyperlink w:anchor="_Toc442278447" w:history="1">
        <w:r w:rsidR="00EC029E" w:rsidRPr="00F141DA">
          <w:rPr>
            <w:rStyle w:val="Hyperlink"/>
          </w:rPr>
          <w:t>Topic 2: Competent Lay Evidence</w:t>
        </w:r>
        <w:r w:rsidR="00EC029E">
          <w:rPr>
            <w:webHidden/>
          </w:rPr>
          <w:tab/>
        </w:r>
        <w:r w:rsidR="00EC029E">
          <w:rPr>
            <w:webHidden/>
          </w:rPr>
          <w:fldChar w:fldCharType="begin"/>
        </w:r>
        <w:r w:rsidR="00EC029E">
          <w:rPr>
            <w:webHidden/>
          </w:rPr>
          <w:instrText xml:space="preserve"> PAGEREF _Toc442278447 \h </w:instrText>
        </w:r>
        <w:r w:rsidR="00EC029E">
          <w:rPr>
            <w:webHidden/>
          </w:rPr>
        </w:r>
        <w:r w:rsidR="00EC029E">
          <w:rPr>
            <w:webHidden/>
          </w:rPr>
          <w:fldChar w:fldCharType="separate"/>
        </w:r>
        <w:r w:rsidR="00EC029E">
          <w:rPr>
            <w:webHidden/>
          </w:rPr>
          <w:t>7</w:t>
        </w:r>
        <w:r w:rsidR="00EC029E">
          <w:rPr>
            <w:webHidden/>
          </w:rPr>
          <w:fldChar w:fldCharType="end"/>
        </w:r>
      </w:hyperlink>
    </w:p>
    <w:p w14:paraId="0B88752D" w14:textId="77777777" w:rsidR="00EC029E" w:rsidRDefault="00342131">
      <w:pPr>
        <w:pStyle w:val="TOC1"/>
        <w:rPr>
          <w:rFonts w:asciiTheme="minorHAnsi" w:eastAsiaTheme="minorEastAsia" w:hAnsiTheme="minorHAnsi" w:cstheme="minorBidi"/>
          <w:sz w:val="22"/>
        </w:rPr>
      </w:pPr>
      <w:hyperlink w:anchor="_Toc442278448" w:history="1">
        <w:r w:rsidR="00EC029E" w:rsidRPr="00F141DA">
          <w:rPr>
            <w:rStyle w:val="Hyperlink"/>
          </w:rPr>
          <w:t>Topic 3: Plausibility</w:t>
        </w:r>
        <w:r w:rsidR="00EC029E">
          <w:rPr>
            <w:webHidden/>
          </w:rPr>
          <w:tab/>
        </w:r>
        <w:r w:rsidR="00EC029E">
          <w:rPr>
            <w:webHidden/>
          </w:rPr>
          <w:fldChar w:fldCharType="begin"/>
        </w:r>
        <w:r w:rsidR="00EC029E">
          <w:rPr>
            <w:webHidden/>
          </w:rPr>
          <w:instrText xml:space="preserve"> PAGEREF _Toc442278448 \h </w:instrText>
        </w:r>
        <w:r w:rsidR="00EC029E">
          <w:rPr>
            <w:webHidden/>
          </w:rPr>
        </w:r>
        <w:r w:rsidR="00EC029E">
          <w:rPr>
            <w:webHidden/>
          </w:rPr>
          <w:fldChar w:fldCharType="separate"/>
        </w:r>
        <w:r w:rsidR="00EC029E">
          <w:rPr>
            <w:webHidden/>
          </w:rPr>
          <w:t>8</w:t>
        </w:r>
        <w:r w:rsidR="00EC029E">
          <w:rPr>
            <w:webHidden/>
          </w:rPr>
          <w:fldChar w:fldCharType="end"/>
        </w:r>
      </w:hyperlink>
    </w:p>
    <w:p w14:paraId="0D03E963" w14:textId="77777777" w:rsidR="00EC029E" w:rsidRDefault="00342131">
      <w:pPr>
        <w:pStyle w:val="TOC1"/>
        <w:rPr>
          <w:rFonts w:asciiTheme="minorHAnsi" w:eastAsiaTheme="minorEastAsia" w:hAnsiTheme="minorHAnsi" w:cstheme="minorBidi"/>
          <w:sz w:val="22"/>
        </w:rPr>
      </w:pPr>
      <w:hyperlink w:anchor="_Toc442278449" w:history="1">
        <w:r w:rsidR="00EC029E" w:rsidRPr="00F141DA">
          <w:rPr>
            <w:rStyle w:val="Hyperlink"/>
          </w:rPr>
          <w:t>Topic 4: Consistency</w:t>
        </w:r>
        <w:r w:rsidR="00EC029E">
          <w:rPr>
            <w:webHidden/>
          </w:rPr>
          <w:tab/>
        </w:r>
        <w:r w:rsidR="00EC029E">
          <w:rPr>
            <w:webHidden/>
          </w:rPr>
          <w:fldChar w:fldCharType="begin"/>
        </w:r>
        <w:r w:rsidR="00EC029E">
          <w:rPr>
            <w:webHidden/>
          </w:rPr>
          <w:instrText xml:space="preserve"> PAGEREF _Toc442278449 \h </w:instrText>
        </w:r>
        <w:r w:rsidR="00EC029E">
          <w:rPr>
            <w:webHidden/>
          </w:rPr>
        </w:r>
        <w:r w:rsidR="00EC029E">
          <w:rPr>
            <w:webHidden/>
          </w:rPr>
          <w:fldChar w:fldCharType="separate"/>
        </w:r>
        <w:r w:rsidR="00EC029E">
          <w:rPr>
            <w:webHidden/>
          </w:rPr>
          <w:t>9</w:t>
        </w:r>
        <w:r w:rsidR="00EC029E">
          <w:rPr>
            <w:webHidden/>
          </w:rPr>
          <w:fldChar w:fldCharType="end"/>
        </w:r>
      </w:hyperlink>
    </w:p>
    <w:p w14:paraId="6A1D2A9E" w14:textId="77777777" w:rsidR="00EC029E" w:rsidRDefault="00342131">
      <w:pPr>
        <w:pStyle w:val="TOC1"/>
        <w:rPr>
          <w:rFonts w:asciiTheme="minorHAnsi" w:eastAsiaTheme="minorEastAsia" w:hAnsiTheme="minorHAnsi" w:cstheme="minorBidi"/>
          <w:sz w:val="22"/>
        </w:rPr>
      </w:pPr>
      <w:hyperlink w:anchor="_Toc442278450" w:history="1">
        <w:r w:rsidR="00EC029E" w:rsidRPr="00F141DA">
          <w:rPr>
            <w:rStyle w:val="Hyperlink"/>
          </w:rPr>
          <w:t>Topic 5: Circumstances of Service</w:t>
        </w:r>
        <w:r w:rsidR="00EC029E">
          <w:rPr>
            <w:webHidden/>
          </w:rPr>
          <w:tab/>
        </w:r>
        <w:r w:rsidR="00EC029E">
          <w:rPr>
            <w:webHidden/>
          </w:rPr>
          <w:fldChar w:fldCharType="begin"/>
        </w:r>
        <w:r w:rsidR="00EC029E">
          <w:rPr>
            <w:webHidden/>
          </w:rPr>
          <w:instrText xml:space="preserve"> PAGEREF _Toc442278450 \h </w:instrText>
        </w:r>
        <w:r w:rsidR="00EC029E">
          <w:rPr>
            <w:webHidden/>
          </w:rPr>
        </w:r>
        <w:r w:rsidR="00EC029E">
          <w:rPr>
            <w:webHidden/>
          </w:rPr>
          <w:fldChar w:fldCharType="separate"/>
        </w:r>
        <w:r w:rsidR="00EC029E">
          <w:rPr>
            <w:webHidden/>
          </w:rPr>
          <w:t>10</w:t>
        </w:r>
        <w:r w:rsidR="00EC029E">
          <w:rPr>
            <w:webHidden/>
          </w:rPr>
          <w:fldChar w:fldCharType="end"/>
        </w:r>
      </w:hyperlink>
    </w:p>
    <w:p w14:paraId="7BF8DD51" w14:textId="77777777" w:rsidR="00EC029E" w:rsidRDefault="00342131">
      <w:pPr>
        <w:pStyle w:val="TOC1"/>
        <w:rPr>
          <w:rFonts w:asciiTheme="minorHAnsi" w:eastAsiaTheme="minorEastAsia" w:hAnsiTheme="minorHAnsi" w:cstheme="minorBidi"/>
          <w:sz w:val="22"/>
        </w:rPr>
      </w:pPr>
      <w:hyperlink w:anchor="_Toc442278451" w:history="1">
        <w:r w:rsidR="00EC029E" w:rsidRPr="00F141DA">
          <w:rPr>
            <w:rStyle w:val="Hyperlink"/>
          </w:rPr>
          <w:t>Lesson Review, Assessment, and Wrap-up</w:t>
        </w:r>
        <w:r w:rsidR="00EC029E">
          <w:rPr>
            <w:webHidden/>
          </w:rPr>
          <w:tab/>
        </w:r>
        <w:r w:rsidR="00EC029E">
          <w:rPr>
            <w:webHidden/>
          </w:rPr>
          <w:fldChar w:fldCharType="begin"/>
        </w:r>
        <w:r w:rsidR="00EC029E">
          <w:rPr>
            <w:webHidden/>
          </w:rPr>
          <w:instrText xml:space="preserve"> PAGEREF _Toc442278451 \h </w:instrText>
        </w:r>
        <w:r w:rsidR="00EC029E">
          <w:rPr>
            <w:webHidden/>
          </w:rPr>
        </w:r>
        <w:r w:rsidR="00EC029E">
          <w:rPr>
            <w:webHidden/>
          </w:rPr>
          <w:fldChar w:fldCharType="separate"/>
        </w:r>
        <w:r w:rsidR="00EC029E">
          <w:rPr>
            <w:webHidden/>
          </w:rPr>
          <w:t>12</w:t>
        </w:r>
        <w:r w:rsidR="00EC029E">
          <w:rPr>
            <w:webHidden/>
          </w:rPr>
          <w:fldChar w:fldCharType="end"/>
        </w:r>
      </w:hyperlink>
    </w:p>
    <w:p w14:paraId="235F4129" w14:textId="77777777" w:rsidR="009B2F5A" w:rsidRPr="00071D95" w:rsidRDefault="009B2F5A">
      <w:pPr>
        <w:pStyle w:val="TOC1"/>
      </w:pPr>
      <w:r w:rsidRPr="00071D95">
        <w:rPr>
          <w:rStyle w:val="Hyperlink"/>
          <w:bCs/>
          <w:color w:val="auto"/>
          <w:szCs w:val="24"/>
          <w:u w:val="none"/>
        </w:rPr>
        <w:fldChar w:fldCharType="end"/>
      </w:r>
    </w:p>
    <w:p w14:paraId="235F412A" w14:textId="77777777" w:rsidR="009B2F5A" w:rsidRPr="00071D95" w:rsidRDefault="009B2F5A">
      <w:pPr>
        <w:pStyle w:val="LessonTitle"/>
        <w:rPr>
          <w:rFonts w:ascii="Times New Roman" w:hAnsi="Times New Roman"/>
        </w:rPr>
      </w:pPr>
      <w:r w:rsidRPr="00071D95">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071D95" w:rsidRPr="00071D95" w14:paraId="235F412C" w14:textId="77777777">
        <w:tc>
          <w:tcPr>
            <w:tcW w:w="9572" w:type="dxa"/>
            <w:gridSpan w:val="2"/>
            <w:tcBorders>
              <w:top w:val="nil"/>
              <w:left w:val="nil"/>
              <w:bottom w:val="nil"/>
              <w:right w:val="nil"/>
            </w:tcBorders>
          </w:tcPr>
          <w:p w14:paraId="235F412B" w14:textId="77777777" w:rsidR="009B2F5A" w:rsidRPr="00071D95" w:rsidRDefault="009B2F5A">
            <w:pPr>
              <w:pStyle w:val="VBALessonTopicTitle"/>
              <w:rPr>
                <w:rFonts w:ascii="Times New Roman" w:hAnsi="Times New Roman"/>
                <w:color w:val="auto"/>
              </w:rPr>
            </w:pPr>
            <w:bookmarkStart w:id="6" w:name="_Toc271527085"/>
            <w:bookmarkStart w:id="7" w:name="_Toc442278444"/>
            <w:r w:rsidRPr="00071D95">
              <w:rPr>
                <w:rFonts w:ascii="Times New Roman" w:hAnsi="Times New Roman"/>
                <w:color w:val="auto"/>
              </w:rPr>
              <w:lastRenderedPageBreak/>
              <w:t>Lesson Description</w:t>
            </w:r>
            <w:bookmarkEnd w:id="6"/>
            <w:bookmarkEnd w:id="7"/>
          </w:p>
        </w:tc>
      </w:tr>
      <w:tr w:rsidR="00071D95" w:rsidRPr="00071D95" w14:paraId="235F412E" w14:textId="77777777">
        <w:tc>
          <w:tcPr>
            <w:tcW w:w="9572" w:type="dxa"/>
            <w:gridSpan w:val="2"/>
            <w:tcBorders>
              <w:top w:val="nil"/>
              <w:left w:val="nil"/>
              <w:bottom w:val="nil"/>
              <w:right w:val="nil"/>
            </w:tcBorders>
          </w:tcPr>
          <w:p w14:paraId="235F412D" w14:textId="77777777" w:rsidR="009B2F5A" w:rsidRPr="00071D95" w:rsidRDefault="009B2F5A">
            <w:pPr>
              <w:pStyle w:val="VBABodyText"/>
              <w:spacing w:after="120"/>
              <w:rPr>
                <w:color w:val="auto"/>
              </w:rPr>
            </w:pPr>
            <w:r w:rsidRPr="00071D95">
              <w:rPr>
                <w:color w:val="auto"/>
                <w:szCs w:val="24"/>
              </w:rPr>
              <w:t xml:space="preserve">The information below provides </w:t>
            </w:r>
            <w:r w:rsidRPr="00071D95">
              <w:rPr>
                <w:color w:val="auto"/>
              </w:rPr>
              <w:t xml:space="preserve">the instructor with </w:t>
            </w:r>
            <w:r w:rsidRPr="00071D95">
              <w:rPr>
                <w:color w:val="auto"/>
                <w:szCs w:val="24"/>
              </w:rPr>
              <w:t>an overview of the lesson and the materials that are required to effectively present this instruction.</w:t>
            </w:r>
          </w:p>
        </w:tc>
      </w:tr>
      <w:tr w:rsidR="00071D95" w:rsidRPr="00071D95" w14:paraId="235F4131" w14:textId="77777777">
        <w:trPr>
          <w:trHeight w:val="80"/>
        </w:trPr>
        <w:tc>
          <w:tcPr>
            <w:tcW w:w="2348" w:type="dxa"/>
            <w:tcBorders>
              <w:top w:val="nil"/>
              <w:left w:val="nil"/>
              <w:bottom w:val="nil"/>
              <w:right w:val="nil"/>
            </w:tcBorders>
          </w:tcPr>
          <w:p w14:paraId="235F412F" w14:textId="77777777" w:rsidR="009B2F5A" w:rsidRPr="00071D95" w:rsidRDefault="000F1A72">
            <w:pPr>
              <w:pStyle w:val="VBALevel1Heading"/>
              <w:spacing w:after="120"/>
            </w:pPr>
            <w:r w:rsidRPr="00071D95">
              <w:t>TMS</w:t>
            </w:r>
            <w:r w:rsidR="009B2F5A" w:rsidRPr="00071D95">
              <w:t xml:space="preserve"> #</w:t>
            </w:r>
          </w:p>
        </w:tc>
        <w:tc>
          <w:tcPr>
            <w:tcW w:w="7224" w:type="dxa"/>
            <w:tcBorders>
              <w:top w:val="nil"/>
              <w:left w:val="nil"/>
              <w:bottom w:val="nil"/>
              <w:right w:val="nil"/>
            </w:tcBorders>
          </w:tcPr>
          <w:p w14:paraId="235F4130" w14:textId="6E8F0CE0" w:rsidR="009B2F5A" w:rsidRPr="00071D95" w:rsidRDefault="0018093F">
            <w:pPr>
              <w:pStyle w:val="VBALMS"/>
              <w:rPr>
                <w:color w:val="auto"/>
              </w:rPr>
            </w:pPr>
            <w:r w:rsidRPr="0018093F">
              <w:rPr>
                <w:color w:val="auto"/>
              </w:rPr>
              <w:t>4178789</w:t>
            </w:r>
          </w:p>
        </w:tc>
      </w:tr>
      <w:tr w:rsidR="00071D95" w:rsidRPr="00071D95" w14:paraId="235F4134" w14:textId="77777777">
        <w:trPr>
          <w:trHeight w:val="1296"/>
        </w:trPr>
        <w:tc>
          <w:tcPr>
            <w:tcW w:w="2348" w:type="dxa"/>
            <w:tcBorders>
              <w:top w:val="nil"/>
              <w:left w:val="nil"/>
              <w:bottom w:val="nil"/>
              <w:right w:val="nil"/>
            </w:tcBorders>
          </w:tcPr>
          <w:p w14:paraId="235F4132" w14:textId="77777777" w:rsidR="009B2F5A" w:rsidRPr="00071D95" w:rsidRDefault="009B2F5A">
            <w:pPr>
              <w:pStyle w:val="VBALevel1Heading"/>
            </w:pPr>
            <w:bookmarkStart w:id="8" w:name="_Toc269888397"/>
            <w:bookmarkStart w:id="9" w:name="_Toc269888740"/>
            <w:r w:rsidRPr="00071D95">
              <w:t>Prerequisites</w:t>
            </w:r>
            <w:bookmarkEnd w:id="8"/>
            <w:bookmarkEnd w:id="9"/>
          </w:p>
        </w:tc>
        <w:tc>
          <w:tcPr>
            <w:tcW w:w="7224" w:type="dxa"/>
            <w:tcBorders>
              <w:top w:val="nil"/>
              <w:left w:val="nil"/>
              <w:bottom w:val="nil"/>
              <w:right w:val="nil"/>
            </w:tcBorders>
          </w:tcPr>
          <w:p w14:paraId="235F4133" w14:textId="39E5AC9F" w:rsidR="009B2F5A" w:rsidRPr="00071D95" w:rsidRDefault="009B2F5A" w:rsidP="005534B0">
            <w:pPr>
              <w:pStyle w:val="VBABodyText"/>
              <w:rPr>
                <w:b/>
                <w:color w:val="auto"/>
                <w:sz w:val="36"/>
                <w:szCs w:val="36"/>
              </w:rPr>
            </w:pPr>
            <w:r w:rsidRPr="00071D95">
              <w:rPr>
                <w:color w:val="auto"/>
              </w:rPr>
              <w:t>Prior to this lesson, the</w:t>
            </w:r>
            <w:r w:rsidR="00D05714" w:rsidRPr="00071D95">
              <w:rPr>
                <w:color w:val="auto"/>
              </w:rPr>
              <w:t xml:space="preserve"> </w:t>
            </w:r>
            <w:r w:rsidRPr="00071D95">
              <w:rPr>
                <w:color w:val="auto"/>
              </w:rPr>
              <w:t xml:space="preserve">Veteran Service Representatives (VSRs) should have </w:t>
            </w:r>
            <w:r w:rsidR="005534B0" w:rsidRPr="00071D95">
              <w:rPr>
                <w:color w:val="auto"/>
              </w:rPr>
              <w:t xml:space="preserve">0-6 months </w:t>
            </w:r>
            <w:r w:rsidRPr="00071D95">
              <w:rPr>
                <w:color w:val="auto"/>
              </w:rPr>
              <w:t>of VSR experience</w:t>
            </w:r>
            <w:r w:rsidR="00682F4F" w:rsidRPr="00071D95">
              <w:rPr>
                <w:color w:val="auto"/>
              </w:rPr>
              <w:t>. Trainees should also have completed Challenge Training.</w:t>
            </w:r>
          </w:p>
        </w:tc>
      </w:tr>
      <w:tr w:rsidR="00071D95" w:rsidRPr="00071D95" w14:paraId="235F4138" w14:textId="77777777">
        <w:trPr>
          <w:trHeight w:val="1296"/>
        </w:trPr>
        <w:tc>
          <w:tcPr>
            <w:tcW w:w="2348" w:type="dxa"/>
            <w:tcBorders>
              <w:top w:val="nil"/>
              <w:left w:val="nil"/>
              <w:bottom w:val="nil"/>
              <w:right w:val="nil"/>
            </w:tcBorders>
          </w:tcPr>
          <w:p w14:paraId="235F4135" w14:textId="77777777" w:rsidR="009B2F5A" w:rsidRPr="00071D95" w:rsidRDefault="009B2F5A">
            <w:pPr>
              <w:pStyle w:val="VBALevel1Heading"/>
            </w:pPr>
            <w:r w:rsidRPr="00071D95">
              <w:t>target audience</w:t>
            </w:r>
          </w:p>
        </w:tc>
        <w:tc>
          <w:tcPr>
            <w:tcW w:w="7224" w:type="dxa"/>
            <w:tcBorders>
              <w:top w:val="nil"/>
              <w:left w:val="nil"/>
              <w:bottom w:val="nil"/>
              <w:right w:val="nil"/>
            </w:tcBorders>
          </w:tcPr>
          <w:p w14:paraId="235F4136" w14:textId="66ACAA3C" w:rsidR="009B2F5A" w:rsidRPr="00071D95" w:rsidRDefault="009B2F5A">
            <w:pPr>
              <w:pStyle w:val="VBABodyText"/>
              <w:rPr>
                <w:iCs/>
                <w:color w:val="auto"/>
              </w:rPr>
            </w:pPr>
            <w:r w:rsidRPr="00071D95">
              <w:rPr>
                <w:color w:val="auto"/>
              </w:rPr>
              <w:t xml:space="preserve">The target audience for </w:t>
            </w:r>
            <w:r w:rsidR="005534B0" w:rsidRPr="00071D95">
              <w:rPr>
                <w:iCs/>
                <w:color w:val="auto"/>
              </w:rPr>
              <w:t>Evaluating Lay Evidence</w:t>
            </w:r>
            <w:r w:rsidRPr="00071D95">
              <w:rPr>
                <w:iCs/>
                <w:color w:val="auto"/>
              </w:rPr>
              <w:t xml:space="preserve"> is </w:t>
            </w:r>
            <w:r w:rsidR="005534B0" w:rsidRPr="00071D95">
              <w:rPr>
                <w:iCs/>
                <w:color w:val="auto"/>
              </w:rPr>
              <w:t>Entry Level VSR</w:t>
            </w:r>
            <w:r w:rsidRPr="00071D95">
              <w:rPr>
                <w:iCs/>
                <w:color w:val="auto"/>
              </w:rPr>
              <w:t>.</w:t>
            </w:r>
          </w:p>
          <w:p w14:paraId="235F4137" w14:textId="3387575C" w:rsidR="009B2F5A" w:rsidRPr="00071D95" w:rsidRDefault="009B2F5A" w:rsidP="005534B0">
            <w:pPr>
              <w:pStyle w:val="VBABodyText"/>
              <w:rPr>
                <w:color w:val="auto"/>
              </w:rPr>
            </w:pPr>
            <w:r w:rsidRPr="00071D95">
              <w:rPr>
                <w:iCs/>
                <w:color w:val="auto"/>
              </w:rPr>
              <w:t xml:space="preserve">Although this lesson is targeted to teach the </w:t>
            </w:r>
            <w:r w:rsidR="005534B0" w:rsidRPr="00071D95">
              <w:rPr>
                <w:iCs/>
                <w:color w:val="auto"/>
              </w:rPr>
              <w:t>Entry Level VSR</w:t>
            </w:r>
            <w:r w:rsidRPr="00071D95">
              <w:rPr>
                <w:iCs/>
                <w:color w:val="auto"/>
              </w:rPr>
              <w:t xml:space="preserve"> employee, it may be taught to other VA personnel as mandatory or refresher type training.</w:t>
            </w:r>
          </w:p>
        </w:tc>
      </w:tr>
      <w:tr w:rsidR="00071D95" w:rsidRPr="00071D95" w14:paraId="235F413B" w14:textId="77777777">
        <w:trPr>
          <w:trHeight w:val="80"/>
        </w:trPr>
        <w:tc>
          <w:tcPr>
            <w:tcW w:w="2348" w:type="dxa"/>
            <w:tcBorders>
              <w:top w:val="nil"/>
              <w:left w:val="nil"/>
              <w:bottom w:val="nil"/>
              <w:right w:val="nil"/>
            </w:tcBorders>
          </w:tcPr>
          <w:p w14:paraId="235F4139" w14:textId="77777777" w:rsidR="009B2F5A" w:rsidRPr="00071D95" w:rsidRDefault="009B2F5A">
            <w:pPr>
              <w:pStyle w:val="VBALevel1Heading"/>
            </w:pPr>
            <w:bookmarkStart w:id="10" w:name="_Toc269888398"/>
            <w:bookmarkStart w:id="11" w:name="_Toc269888741"/>
            <w:r w:rsidRPr="00071D95">
              <w:t>Time Required</w:t>
            </w:r>
            <w:bookmarkEnd w:id="10"/>
            <w:bookmarkEnd w:id="11"/>
          </w:p>
        </w:tc>
        <w:tc>
          <w:tcPr>
            <w:tcW w:w="7224" w:type="dxa"/>
            <w:tcBorders>
              <w:top w:val="nil"/>
              <w:left w:val="nil"/>
              <w:bottom w:val="nil"/>
              <w:right w:val="nil"/>
            </w:tcBorders>
          </w:tcPr>
          <w:p w14:paraId="235F413A" w14:textId="5C4DFB56" w:rsidR="009B2F5A" w:rsidRPr="00071D95" w:rsidRDefault="005A1CE3">
            <w:pPr>
              <w:pStyle w:val="VBATimeReq"/>
              <w:rPr>
                <w:color w:val="auto"/>
              </w:rPr>
            </w:pPr>
            <w:r w:rsidRPr="00071D95">
              <w:rPr>
                <w:color w:val="auto"/>
              </w:rPr>
              <w:t>2</w:t>
            </w:r>
            <w:r w:rsidR="003D5186">
              <w:rPr>
                <w:color w:val="auto"/>
              </w:rPr>
              <w:t>.75</w:t>
            </w:r>
            <w:r w:rsidR="009B2F5A" w:rsidRPr="00071D95">
              <w:rPr>
                <w:color w:val="auto"/>
              </w:rPr>
              <w:t xml:space="preserve"> hour</w:t>
            </w:r>
            <w:r w:rsidRPr="00071D95">
              <w:rPr>
                <w:color w:val="auto"/>
              </w:rPr>
              <w:t>s</w:t>
            </w:r>
          </w:p>
        </w:tc>
      </w:tr>
      <w:tr w:rsidR="00071D95" w:rsidRPr="00071D95" w14:paraId="235F4142" w14:textId="77777777">
        <w:trPr>
          <w:trHeight w:val="80"/>
        </w:trPr>
        <w:tc>
          <w:tcPr>
            <w:tcW w:w="2348" w:type="dxa"/>
            <w:tcBorders>
              <w:top w:val="nil"/>
              <w:left w:val="nil"/>
              <w:bottom w:val="nil"/>
              <w:right w:val="nil"/>
            </w:tcBorders>
          </w:tcPr>
          <w:p w14:paraId="235F413C" w14:textId="77777777" w:rsidR="009B2F5A" w:rsidRPr="00071D95" w:rsidRDefault="009B2F5A">
            <w:pPr>
              <w:pStyle w:val="VBALevel1Heading"/>
            </w:pPr>
            <w:bookmarkStart w:id="12" w:name="_Toc269888399"/>
            <w:bookmarkStart w:id="13" w:name="_Toc269888742"/>
            <w:r w:rsidRPr="00071D95">
              <w:t>Materials/</w:t>
            </w:r>
            <w:r w:rsidRPr="00071D95">
              <w:br/>
              <w:t>TRAINING AIDS</w:t>
            </w:r>
            <w:bookmarkEnd w:id="12"/>
            <w:bookmarkEnd w:id="13"/>
          </w:p>
        </w:tc>
        <w:tc>
          <w:tcPr>
            <w:tcW w:w="7224" w:type="dxa"/>
            <w:tcBorders>
              <w:top w:val="nil"/>
              <w:left w:val="nil"/>
              <w:bottom w:val="nil"/>
              <w:right w:val="nil"/>
            </w:tcBorders>
          </w:tcPr>
          <w:p w14:paraId="235F413D" w14:textId="77777777" w:rsidR="009B2F5A" w:rsidRPr="00071D95" w:rsidRDefault="009B2F5A">
            <w:pPr>
              <w:pStyle w:val="VBABodyText"/>
              <w:rPr>
                <w:color w:val="auto"/>
              </w:rPr>
            </w:pPr>
            <w:r w:rsidRPr="00071D95">
              <w:rPr>
                <w:color w:val="auto"/>
              </w:rPr>
              <w:t>Lesson materials:</w:t>
            </w:r>
          </w:p>
          <w:p w14:paraId="235F413E" w14:textId="73728E78" w:rsidR="009B2F5A" w:rsidRPr="00071D95" w:rsidRDefault="00727A6F">
            <w:pPr>
              <w:pStyle w:val="VBAFirstLevelBullet"/>
            </w:pPr>
            <w:r w:rsidRPr="00071D95">
              <w:rPr>
                <w:iCs/>
              </w:rPr>
              <w:t>Evaluating Lay Evidence</w:t>
            </w:r>
            <w:r w:rsidRPr="00071D95">
              <w:t xml:space="preserve"> </w:t>
            </w:r>
            <w:r w:rsidR="009B2F5A" w:rsidRPr="00071D95">
              <w:t>PowerPoint Presentation</w:t>
            </w:r>
          </w:p>
          <w:p w14:paraId="235F413F" w14:textId="61552274" w:rsidR="009B2F5A" w:rsidRPr="00071D95" w:rsidRDefault="00727A6F">
            <w:pPr>
              <w:pStyle w:val="VBAFirstLevelBullet"/>
            </w:pPr>
            <w:r w:rsidRPr="00071D95">
              <w:rPr>
                <w:iCs/>
              </w:rPr>
              <w:t>Evaluating Lay Evidence</w:t>
            </w:r>
            <w:r w:rsidR="009B2F5A" w:rsidRPr="00071D95">
              <w:rPr>
                <w:iCs/>
              </w:rPr>
              <w:t xml:space="preserve"> </w:t>
            </w:r>
            <w:r w:rsidRPr="00071D95">
              <w:t>Trainee Handout</w:t>
            </w:r>
          </w:p>
          <w:p w14:paraId="235F4141" w14:textId="1A17B53A" w:rsidR="009B2F5A" w:rsidRPr="00071D95" w:rsidRDefault="009B2F5A" w:rsidP="00727A6F">
            <w:pPr>
              <w:pStyle w:val="VBAFirstLevelBullet"/>
              <w:numPr>
                <w:ilvl w:val="0"/>
                <w:numId w:val="0"/>
              </w:numPr>
              <w:ind w:left="720"/>
            </w:pPr>
          </w:p>
        </w:tc>
      </w:tr>
      <w:tr w:rsidR="00071D95" w:rsidRPr="00071D95" w14:paraId="235F4150" w14:textId="77777777">
        <w:trPr>
          <w:trHeight w:val="80"/>
        </w:trPr>
        <w:tc>
          <w:tcPr>
            <w:tcW w:w="2348" w:type="dxa"/>
            <w:tcBorders>
              <w:top w:val="nil"/>
              <w:left w:val="nil"/>
              <w:bottom w:val="nil"/>
              <w:right w:val="nil"/>
            </w:tcBorders>
          </w:tcPr>
          <w:p w14:paraId="235F4143" w14:textId="77777777" w:rsidR="009B2F5A" w:rsidRPr="00071D95" w:rsidRDefault="009B2F5A">
            <w:pPr>
              <w:pStyle w:val="VBALevel1Heading"/>
            </w:pPr>
            <w:r w:rsidRPr="00071D95">
              <w:t xml:space="preserve">Training Area/Tools </w:t>
            </w:r>
          </w:p>
        </w:tc>
        <w:tc>
          <w:tcPr>
            <w:tcW w:w="7224" w:type="dxa"/>
            <w:tcBorders>
              <w:top w:val="nil"/>
              <w:left w:val="nil"/>
              <w:bottom w:val="nil"/>
              <w:right w:val="nil"/>
            </w:tcBorders>
          </w:tcPr>
          <w:p w14:paraId="235F4144" w14:textId="77777777" w:rsidR="009B2F5A" w:rsidRPr="00071D95" w:rsidRDefault="009B2F5A">
            <w:pPr>
              <w:pStyle w:val="VBABodyText"/>
              <w:rPr>
                <w:color w:val="auto"/>
              </w:rPr>
            </w:pPr>
            <w:r w:rsidRPr="00071D95">
              <w:rPr>
                <w:color w:val="auto"/>
              </w:rPr>
              <w:t xml:space="preserve">The following are required to ensure the trainees are able to meet the lesson objectives: </w:t>
            </w:r>
          </w:p>
          <w:p w14:paraId="235F4145" w14:textId="77777777" w:rsidR="009B2F5A" w:rsidRPr="00071D95" w:rsidRDefault="009B2F5A">
            <w:pPr>
              <w:pStyle w:val="VBAFirstLevelBullet"/>
            </w:pPr>
            <w:r w:rsidRPr="00071D95">
              <w:t>Classroom or private area suitable for participatory discussions</w:t>
            </w:r>
          </w:p>
          <w:p w14:paraId="235F4146" w14:textId="77777777" w:rsidR="009B2F5A" w:rsidRPr="00071D95" w:rsidRDefault="009B2F5A">
            <w:pPr>
              <w:pStyle w:val="VBAFirstLevelBullet"/>
            </w:pPr>
            <w:r w:rsidRPr="00071D95">
              <w:t xml:space="preserve">Seating, writing materials, and writing surfaces for trainee note taking and participation </w:t>
            </w:r>
          </w:p>
          <w:p w14:paraId="235F4147" w14:textId="77777777" w:rsidR="009B2F5A" w:rsidRPr="00071D95" w:rsidRDefault="009B2F5A">
            <w:pPr>
              <w:pStyle w:val="VBAFirstLevelBullet"/>
            </w:pPr>
            <w:r w:rsidRPr="00071D95">
              <w:t>Handouts, which include a practical exercise</w:t>
            </w:r>
          </w:p>
          <w:p w14:paraId="235F4148" w14:textId="77777777" w:rsidR="009B2F5A" w:rsidRPr="00071D95" w:rsidRDefault="009B2F5A">
            <w:pPr>
              <w:pStyle w:val="VBAFirstLevelBullet"/>
            </w:pPr>
            <w:r w:rsidRPr="00071D95">
              <w:t>Large writing surface (easel pad, chalkboard, dry erase board, overhead projector, etc.) with appropriate writing materials</w:t>
            </w:r>
          </w:p>
          <w:p w14:paraId="235F4149" w14:textId="77777777" w:rsidR="009B2F5A" w:rsidRPr="00071D95" w:rsidRDefault="009B2F5A">
            <w:pPr>
              <w:pStyle w:val="VBAFirstLevelBullet"/>
            </w:pPr>
            <w:r w:rsidRPr="00071D95">
              <w:t>Computer with PowerPoint software to present the lesson material</w:t>
            </w:r>
          </w:p>
          <w:p w14:paraId="235F414A" w14:textId="77777777" w:rsidR="009B2F5A" w:rsidRPr="00071D95" w:rsidRDefault="009B2F5A">
            <w:pPr>
              <w:pStyle w:val="VBABodyText"/>
              <w:rPr>
                <w:color w:val="auto"/>
              </w:rPr>
            </w:pPr>
            <w:r w:rsidRPr="00071D95">
              <w:rPr>
                <w:color w:val="auto"/>
              </w:rPr>
              <w:t xml:space="preserve">Trainees require access to the following tools: </w:t>
            </w:r>
          </w:p>
          <w:p w14:paraId="235F414B" w14:textId="77777777" w:rsidR="009B2F5A" w:rsidRPr="00071D95" w:rsidRDefault="000F1A72">
            <w:pPr>
              <w:pStyle w:val="VBAFirstLevelBullet"/>
            </w:pPr>
            <w:r w:rsidRPr="00071D95">
              <w:t>VA T</w:t>
            </w:r>
            <w:r w:rsidR="009B2F5A" w:rsidRPr="00071D95">
              <w:t>MS to complete the assessment</w:t>
            </w:r>
          </w:p>
          <w:p w14:paraId="235F414F" w14:textId="71831E5C" w:rsidR="009B2F5A" w:rsidRPr="00071D95" w:rsidRDefault="009B2F5A" w:rsidP="00FE7BCB">
            <w:pPr>
              <w:pStyle w:val="VBAFirstLevelBullet"/>
              <w:numPr>
                <w:ilvl w:val="0"/>
                <w:numId w:val="0"/>
              </w:numPr>
              <w:ind w:left="720"/>
            </w:pPr>
          </w:p>
        </w:tc>
      </w:tr>
    </w:tbl>
    <w:p w14:paraId="772289F6" w14:textId="77777777" w:rsidR="00F4252E" w:rsidRDefault="00F4252E">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071D95" w:rsidRPr="00071D95" w14:paraId="235F415B" w14:textId="77777777">
        <w:trPr>
          <w:trHeight w:val="80"/>
        </w:trPr>
        <w:tc>
          <w:tcPr>
            <w:tcW w:w="2348" w:type="dxa"/>
            <w:tcBorders>
              <w:top w:val="nil"/>
              <w:left w:val="nil"/>
              <w:bottom w:val="nil"/>
              <w:right w:val="nil"/>
            </w:tcBorders>
          </w:tcPr>
          <w:p w14:paraId="235F4151" w14:textId="12C3A877" w:rsidR="009B2F5A" w:rsidRPr="00071D95" w:rsidRDefault="009B2F5A">
            <w:pPr>
              <w:pStyle w:val="VBALevel1Heading"/>
            </w:pPr>
            <w:r w:rsidRPr="00071D95">
              <w:lastRenderedPageBreak/>
              <w:t xml:space="preserve">Pre-Planning </w:t>
            </w:r>
          </w:p>
          <w:p w14:paraId="235F4152" w14:textId="77777777" w:rsidR="009B2F5A" w:rsidRPr="00071D95"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071D95"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071D95">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071D95" w:rsidRDefault="009B2F5A">
            <w:pPr>
              <w:pStyle w:val="VBABulletList"/>
            </w:pPr>
            <w:r w:rsidRPr="00071D95">
              <w:t xml:space="preserve">Become familiar with the content of the trainee handouts and their association to the Lesson Plan. </w:t>
            </w:r>
          </w:p>
          <w:p w14:paraId="235F4155" w14:textId="77777777" w:rsidR="009B2F5A" w:rsidRPr="00071D95" w:rsidRDefault="009B2F5A">
            <w:pPr>
              <w:pStyle w:val="VBABulletList"/>
            </w:pPr>
            <w:r w:rsidRPr="00071D95">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071D95" w:rsidRDefault="009B2F5A">
            <w:pPr>
              <w:pStyle w:val="VBABulletList"/>
            </w:pPr>
            <w:r w:rsidRPr="00071D95">
              <w:t>Ensure that there are copies of all handouts before the training session.</w:t>
            </w:r>
          </w:p>
          <w:p w14:paraId="235F4157" w14:textId="77777777" w:rsidR="009B2F5A" w:rsidRPr="00071D95" w:rsidRDefault="009B2F5A">
            <w:pPr>
              <w:pStyle w:val="VBABulletList"/>
            </w:pPr>
            <w:r w:rsidRPr="00071D95">
              <w:t>When required, reserve the training room.</w:t>
            </w:r>
          </w:p>
          <w:p w14:paraId="235F4158" w14:textId="77777777" w:rsidR="009B2F5A" w:rsidRPr="00071D95" w:rsidRDefault="009B2F5A">
            <w:pPr>
              <w:pStyle w:val="VBABulletList"/>
            </w:pPr>
            <w:r w:rsidRPr="00071D95">
              <w:t>Arrange for equipment such as flip charts, an overhead projector, and any other equipment (as needed).</w:t>
            </w:r>
          </w:p>
          <w:p w14:paraId="235F4159" w14:textId="77777777" w:rsidR="009B2F5A" w:rsidRPr="00071D95" w:rsidRDefault="009B2F5A">
            <w:pPr>
              <w:pStyle w:val="VBABulletList"/>
            </w:pPr>
            <w:r w:rsidRPr="00071D95">
              <w:t xml:space="preserve">Talk to people in your office who are most familiar with this topic to collect experiences that you can include as examples in the lesson. </w:t>
            </w:r>
          </w:p>
          <w:p w14:paraId="235F415A" w14:textId="77777777" w:rsidR="009B2F5A" w:rsidRPr="00071D95" w:rsidRDefault="009B2F5A">
            <w:pPr>
              <w:pStyle w:val="VBABulletList"/>
            </w:pPr>
            <w:r w:rsidRPr="00071D95">
              <w:t xml:space="preserve">This lesson plan belongs to you. Feel free to highlight headings, key phrases, or other information to help the instruction flow smoothly. Feel free to add any notes or information that you need in the margins. </w:t>
            </w:r>
          </w:p>
        </w:tc>
      </w:tr>
      <w:tr w:rsidR="00F4252E" w:rsidRPr="00071D95" w14:paraId="235F4164" w14:textId="77777777">
        <w:trPr>
          <w:trHeight w:val="80"/>
        </w:trPr>
        <w:tc>
          <w:tcPr>
            <w:tcW w:w="2348" w:type="dxa"/>
            <w:tcBorders>
              <w:top w:val="nil"/>
              <w:left w:val="nil"/>
              <w:bottom w:val="nil"/>
              <w:right w:val="nil"/>
            </w:tcBorders>
          </w:tcPr>
          <w:p w14:paraId="235F415C" w14:textId="77777777" w:rsidR="009B2F5A" w:rsidRPr="00071D95" w:rsidRDefault="009B2F5A">
            <w:pPr>
              <w:pStyle w:val="VBALevel1Heading"/>
            </w:pPr>
            <w:r w:rsidRPr="00071D95">
              <w:t xml:space="preserve">Training Day </w:t>
            </w:r>
          </w:p>
          <w:p w14:paraId="235F415D" w14:textId="77777777" w:rsidR="009B2F5A" w:rsidRPr="00071D95"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071D95" w:rsidRDefault="009B2F5A">
            <w:pPr>
              <w:pStyle w:val="VBABulletList"/>
            </w:pPr>
            <w:r w:rsidRPr="00071D95">
              <w:t xml:space="preserve">Arrive as early as possible to ensure access to the facility and computers. </w:t>
            </w:r>
          </w:p>
          <w:p w14:paraId="235F415F" w14:textId="77777777" w:rsidR="009B2F5A" w:rsidRPr="00071D95" w:rsidRDefault="009B2F5A">
            <w:pPr>
              <w:pStyle w:val="VBABulletList"/>
            </w:pPr>
            <w:r w:rsidRPr="00071D95">
              <w:t xml:space="preserve">Become familiar with the location of restrooms and other facilities that the trainees will require. </w:t>
            </w:r>
          </w:p>
          <w:p w14:paraId="235F4160" w14:textId="77777777" w:rsidR="009B2F5A" w:rsidRPr="00071D95" w:rsidRDefault="009B2F5A">
            <w:pPr>
              <w:pStyle w:val="VBABulletList"/>
            </w:pPr>
            <w:r w:rsidRPr="00071D95">
              <w:t xml:space="preserve">Test the computer and projector to ensure they are working properly. </w:t>
            </w:r>
          </w:p>
          <w:p w14:paraId="235F4161" w14:textId="77777777" w:rsidR="009B2F5A" w:rsidRPr="00071D95" w:rsidRDefault="009B2F5A">
            <w:pPr>
              <w:pStyle w:val="VBABulletList"/>
            </w:pPr>
            <w:r w:rsidRPr="00071D95">
              <w:t xml:space="preserve">Before class begins, open the PowerPoint presentation to the first slide. This will help to ensure the presentation is functioning properly. </w:t>
            </w:r>
          </w:p>
          <w:p w14:paraId="235F4162" w14:textId="77777777" w:rsidR="009B2F5A" w:rsidRPr="00071D95" w:rsidRDefault="009B2F5A">
            <w:pPr>
              <w:pStyle w:val="VBABulletList"/>
            </w:pPr>
            <w:r w:rsidRPr="00071D95">
              <w:t>Make sure that a whiteboard or flip chart and the associated markers are available.</w:t>
            </w:r>
          </w:p>
          <w:p w14:paraId="235F4163" w14:textId="1AE044F5" w:rsidR="009B2F5A" w:rsidRPr="00071D95" w:rsidRDefault="00B71A72">
            <w:pPr>
              <w:pStyle w:val="VBABulletList"/>
            </w:pPr>
            <w:r w:rsidRPr="00071D95">
              <w:t>The instructor completes a roll call attendance sheet or provides a sign-in sheet to the students</w:t>
            </w:r>
            <w:r w:rsidR="009B2F5A" w:rsidRPr="00071D95">
              <w:t>.</w:t>
            </w:r>
            <w:r w:rsidRPr="00071D95">
              <w:t xml:space="preserve"> The attendance records are forwarded to the Regional Office Training Managers.</w:t>
            </w:r>
            <w:r w:rsidR="009B2F5A" w:rsidRPr="00071D95">
              <w:t xml:space="preserve"> </w:t>
            </w:r>
          </w:p>
        </w:tc>
      </w:tr>
    </w:tbl>
    <w:p w14:paraId="235F4165" w14:textId="77777777" w:rsidR="009B2F5A" w:rsidRPr="00071D95" w:rsidRDefault="009B2F5A">
      <w:pPr>
        <w:spacing w:before="60" w:after="60"/>
      </w:pPr>
    </w:p>
    <w:p w14:paraId="235F4166" w14:textId="77777777" w:rsidR="009B2F5A" w:rsidRPr="00071D95" w:rsidRDefault="009B2F5A">
      <w:pPr>
        <w:pStyle w:val="Heading1"/>
        <w:rPr>
          <w:rFonts w:ascii="Times New Roman" w:hAnsi="Times New Roman"/>
        </w:rPr>
      </w:pPr>
      <w:r w:rsidRPr="00071D95">
        <w:rPr>
          <w:rFonts w:ascii="Times New Roman" w:hAnsi="Times New Roman"/>
        </w:rPr>
        <w:br w:type="page"/>
      </w:r>
    </w:p>
    <w:p w14:paraId="235F4167" w14:textId="77777777" w:rsidR="009B2F5A" w:rsidRPr="00071D95"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071D95" w:rsidRPr="00071D95" w14:paraId="235F4169" w14:textId="77777777">
        <w:trPr>
          <w:trHeight w:val="630"/>
        </w:trPr>
        <w:tc>
          <w:tcPr>
            <w:tcW w:w="9752" w:type="dxa"/>
            <w:gridSpan w:val="3"/>
            <w:tcBorders>
              <w:top w:val="nil"/>
              <w:left w:val="nil"/>
              <w:bottom w:val="nil"/>
              <w:right w:val="nil"/>
            </w:tcBorders>
            <w:vAlign w:val="center"/>
          </w:tcPr>
          <w:p w14:paraId="235F4168" w14:textId="6E038905" w:rsidR="009B2F5A" w:rsidRPr="00071D95" w:rsidRDefault="009B2F5A" w:rsidP="00FE7BCB">
            <w:pPr>
              <w:pStyle w:val="VBALessonTopicTitle"/>
              <w:rPr>
                <w:rFonts w:ascii="Times New Roman" w:hAnsi="Times New Roman"/>
                <w:color w:val="auto"/>
              </w:rPr>
            </w:pPr>
            <w:bookmarkStart w:id="21" w:name="_Toc442278445"/>
            <w:r w:rsidRPr="00071D95">
              <w:rPr>
                <w:rFonts w:ascii="Times New Roman" w:hAnsi="Times New Roman"/>
                <w:color w:val="auto"/>
              </w:rPr>
              <w:t xml:space="preserve">Introduction to </w:t>
            </w:r>
            <w:r w:rsidR="00FE7BCB" w:rsidRPr="00071D95">
              <w:rPr>
                <w:rFonts w:ascii="Times New Roman" w:hAnsi="Times New Roman"/>
                <w:color w:val="auto"/>
              </w:rPr>
              <w:t>Evaluating Lay Evidence</w:t>
            </w:r>
            <w:bookmarkEnd w:id="21"/>
          </w:p>
        </w:tc>
      </w:tr>
      <w:tr w:rsidR="00071D95" w:rsidRPr="00071D95" w14:paraId="235F416F" w14:textId="77777777">
        <w:trPr>
          <w:trHeight w:val="1003"/>
        </w:trPr>
        <w:tc>
          <w:tcPr>
            <w:tcW w:w="2528" w:type="dxa"/>
            <w:gridSpan w:val="2"/>
            <w:tcBorders>
              <w:top w:val="nil"/>
              <w:left w:val="nil"/>
              <w:bottom w:val="nil"/>
              <w:right w:val="nil"/>
            </w:tcBorders>
          </w:tcPr>
          <w:p w14:paraId="235F416A" w14:textId="77777777" w:rsidR="009B2F5A" w:rsidRPr="00071D95" w:rsidRDefault="009B2F5A">
            <w:pPr>
              <w:pStyle w:val="VBALevel1Heading"/>
            </w:pPr>
            <w:r w:rsidRPr="00071D95">
              <w:t>INSTRUCTOR INTRODUCTION</w:t>
            </w:r>
          </w:p>
        </w:tc>
        <w:tc>
          <w:tcPr>
            <w:tcW w:w="7224" w:type="dxa"/>
            <w:tcBorders>
              <w:top w:val="nil"/>
              <w:left w:val="nil"/>
              <w:bottom w:val="nil"/>
              <w:right w:val="nil"/>
            </w:tcBorders>
          </w:tcPr>
          <w:p w14:paraId="235F416B" w14:textId="77777777" w:rsidR="009B2F5A" w:rsidRPr="00071D95" w:rsidRDefault="009B2F5A">
            <w:pPr>
              <w:pStyle w:val="VBABodyText"/>
              <w:rPr>
                <w:color w:val="auto"/>
              </w:rPr>
            </w:pPr>
            <w:r w:rsidRPr="00071D95">
              <w:rPr>
                <w:color w:val="auto"/>
              </w:rPr>
              <w:t>Complete the following:</w:t>
            </w:r>
          </w:p>
          <w:p w14:paraId="235F416C" w14:textId="77777777" w:rsidR="009B2F5A" w:rsidRPr="00071D95" w:rsidRDefault="009B2F5A">
            <w:pPr>
              <w:pStyle w:val="VBAFirstLevelBullet"/>
            </w:pPr>
            <w:r w:rsidRPr="00071D95">
              <w:t>Introduce yourself</w:t>
            </w:r>
          </w:p>
          <w:p w14:paraId="235F416D" w14:textId="77777777" w:rsidR="009B2F5A" w:rsidRPr="00071D95" w:rsidRDefault="009B2F5A">
            <w:pPr>
              <w:pStyle w:val="VBAFirstLevelBullet"/>
            </w:pPr>
            <w:r w:rsidRPr="00071D95">
              <w:t>Orient learners to the facilities</w:t>
            </w:r>
          </w:p>
          <w:p w14:paraId="235F416E" w14:textId="77777777" w:rsidR="009B2F5A" w:rsidRPr="00071D95" w:rsidRDefault="009B2F5A">
            <w:pPr>
              <w:pStyle w:val="VBAFirstLevelBullet"/>
            </w:pPr>
            <w:r w:rsidRPr="00071D95">
              <w:t>Ensure that all learners have the required handouts</w:t>
            </w:r>
          </w:p>
        </w:tc>
      </w:tr>
      <w:tr w:rsidR="00071D95" w:rsidRPr="00071D95" w14:paraId="235F4172" w14:textId="77777777">
        <w:trPr>
          <w:trHeight w:val="639"/>
        </w:trPr>
        <w:tc>
          <w:tcPr>
            <w:tcW w:w="2528" w:type="dxa"/>
            <w:gridSpan w:val="2"/>
            <w:tcBorders>
              <w:top w:val="nil"/>
              <w:left w:val="nil"/>
              <w:bottom w:val="nil"/>
              <w:right w:val="nil"/>
            </w:tcBorders>
          </w:tcPr>
          <w:p w14:paraId="235F4170" w14:textId="77777777" w:rsidR="009B2F5A" w:rsidRPr="00071D95" w:rsidRDefault="009B2F5A">
            <w:pPr>
              <w:pStyle w:val="VBALevel1Heading"/>
              <w:spacing w:after="120"/>
            </w:pPr>
            <w:r w:rsidRPr="00071D95">
              <w:t>time required</w:t>
            </w:r>
          </w:p>
        </w:tc>
        <w:tc>
          <w:tcPr>
            <w:tcW w:w="7224" w:type="dxa"/>
            <w:tcBorders>
              <w:top w:val="nil"/>
              <w:left w:val="nil"/>
              <w:bottom w:val="nil"/>
              <w:right w:val="nil"/>
            </w:tcBorders>
          </w:tcPr>
          <w:p w14:paraId="235F4171" w14:textId="1D1A9388" w:rsidR="009B2F5A" w:rsidRPr="00071D95" w:rsidRDefault="007743BF">
            <w:pPr>
              <w:pStyle w:val="VBATimeReq"/>
              <w:spacing w:after="120"/>
              <w:rPr>
                <w:color w:val="auto"/>
              </w:rPr>
            </w:pPr>
            <w:r>
              <w:rPr>
                <w:color w:val="auto"/>
              </w:rPr>
              <w:t>15 minutes</w:t>
            </w:r>
          </w:p>
        </w:tc>
      </w:tr>
      <w:tr w:rsidR="00071D95" w:rsidRPr="00071D95" w14:paraId="235F417A" w14:textId="77777777" w:rsidTr="00971E44">
        <w:trPr>
          <w:trHeight w:val="1881"/>
        </w:trPr>
        <w:tc>
          <w:tcPr>
            <w:tcW w:w="2528" w:type="dxa"/>
            <w:gridSpan w:val="2"/>
            <w:tcBorders>
              <w:top w:val="nil"/>
              <w:left w:val="nil"/>
              <w:bottom w:val="nil"/>
              <w:right w:val="nil"/>
            </w:tcBorders>
          </w:tcPr>
          <w:p w14:paraId="235F4173" w14:textId="77777777" w:rsidR="009B2F5A" w:rsidRPr="00071D95" w:rsidRDefault="009B2F5A">
            <w:pPr>
              <w:pStyle w:val="VBALevel1Heading"/>
            </w:pPr>
            <w:bookmarkStart w:id="22" w:name="_Toc269888401"/>
            <w:bookmarkStart w:id="23" w:name="_Toc269888744"/>
            <w:r w:rsidRPr="00071D95">
              <w:t>Purpose of Lesson</w:t>
            </w:r>
            <w:bookmarkEnd w:id="22"/>
            <w:bookmarkEnd w:id="23"/>
          </w:p>
          <w:p w14:paraId="235F4174" w14:textId="77777777" w:rsidR="009B2F5A" w:rsidRPr="00071D95" w:rsidRDefault="009B2F5A">
            <w:pPr>
              <w:pStyle w:val="VBAInstructorExplanation"/>
              <w:rPr>
                <w:b/>
                <w:bCs/>
                <w:color w:val="auto"/>
              </w:rPr>
            </w:pPr>
            <w:r w:rsidRPr="00071D95">
              <w:rPr>
                <w:color w:val="auto"/>
              </w:rPr>
              <w:t>Explain the following:</w:t>
            </w:r>
          </w:p>
          <w:p w14:paraId="235F4175" w14:textId="77777777" w:rsidR="009B2F5A" w:rsidRPr="00071D95" w:rsidRDefault="009B2F5A">
            <w:pPr>
              <w:pStyle w:val="Header"/>
              <w:spacing w:before="240" w:after="240"/>
              <w:rPr>
                <w:bCs/>
                <w:caps/>
                <w:szCs w:val="24"/>
              </w:rPr>
            </w:pPr>
          </w:p>
        </w:tc>
        <w:tc>
          <w:tcPr>
            <w:tcW w:w="7224" w:type="dxa"/>
            <w:tcBorders>
              <w:top w:val="nil"/>
              <w:left w:val="nil"/>
              <w:bottom w:val="nil"/>
              <w:right w:val="nil"/>
            </w:tcBorders>
          </w:tcPr>
          <w:p w14:paraId="235F4176" w14:textId="499E0BBB" w:rsidR="009B2F5A" w:rsidRPr="00071D95" w:rsidRDefault="009B2F5A">
            <w:pPr>
              <w:pStyle w:val="VBABodyText"/>
              <w:rPr>
                <w:b/>
                <w:color w:val="auto"/>
              </w:rPr>
            </w:pPr>
            <w:r w:rsidRPr="00071D95">
              <w:rPr>
                <w:color w:val="auto"/>
              </w:rPr>
              <w:t xml:space="preserve">This lesson is intended to </w:t>
            </w:r>
            <w:r w:rsidR="00FE7BCB" w:rsidRPr="00071D95">
              <w:rPr>
                <w:color w:val="auto"/>
              </w:rPr>
              <w:t xml:space="preserve">teach VSRs to evaluate Lay Evidence prior to </w:t>
            </w:r>
            <w:r w:rsidR="005A24B1" w:rsidRPr="00071D95">
              <w:rPr>
                <w:color w:val="auto"/>
              </w:rPr>
              <w:t>requesting</w:t>
            </w:r>
            <w:r w:rsidR="00FE7BCB" w:rsidRPr="00071D95">
              <w:rPr>
                <w:color w:val="auto"/>
              </w:rPr>
              <w:t xml:space="preserve"> an exam.</w:t>
            </w:r>
            <w:r w:rsidRPr="00071D95">
              <w:rPr>
                <w:color w:val="auto"/>
              </w:rPr>
              <w:t xml:space="preserve"> This lesson will contain discussions and exercises that will allow you to gain a better understanding of: </w:t>
            </w:r>
          </w:p>
          <w:p w14:paraId="235F4177" w14:textId="75FADE21" w:rsidR="009B2F5A" w:rsidRPr="00071D95" w:rsidRDefault="00971E44">
            <w:pPr>
              <w:pStyle w:val="VBAFirstLevelBullet"/>
            </w:pPr>
            <w:r w:rsidRPr="00071D95">
              <w:t>What to consider when reviewing lay evidence</w:t>
            </w:r>
          </w:p>
          <w:p w14:paraId="235F4178" w14:textId="7D618E22" w:rsidR="009B2F5A" w:rsidRPr="00071D95" w:rsidRDefault="00971E44">
            <w:pPr>
              <w:pStyle w:val="VBAFirstLevelBullet"/>
            </w:pPr>
            <w:r w:rsidRPr="00071D95">
              <w:t>How to determine credibility of lay evidence</w:t>
            </w:r>
          </w:p>
          <w:p w14:paraId="770B08E7" w14:textId="01BA792C" w:rsidR="00971E44" w:rsidRPr="00071D95" w:rsidRDefault="00971E44">
            <w:pPr>
              <w:pStyle w:val="VBAFirstLevelBullet"/>
            </w:pPr>
            <w:r w:rsidRPr="00071D95">
              <w:t>Identify four critical issues about lay evidence</w:t>
            </w:r>
          </w:p>
          <w:p w14:paraId="235F4179" w14:textId="7AD88ADB" w:rsidR="009B2F5A" w:rsidRPr="00071D95" w:rsidRDefault="009B2F5A" w:rsidP="00971E44">
            <w:pPr>
              <w:pStyle w:val="VBAFirstLevelBullet"/>
              <w:numPr>
                <w:ilvl w:val="0"/>
                <w:numId w:val="0"/>
              </w:numPr>
              <w:ind w:left="360"/>
            </w:pPr>
          </w:p>
        </w:tc>
      </w:tr>
      <w:tr w:rsidR="00071D95" w:rsidRPr="00071D95" w14:paraId="235F4184" w14:textId="77777777">
        <w:trPr>
          <w:trHeight w:val="212"/>
        </w:trPr>
        <w:tc>
          <w:tcPr>
            <w:tcW w:w="2520" w:type="dxa"/>
            <w:tcBorders>
              <w:top w:val="nil"/>
              <w:left w:val="nil"/>
              <w:bottom w:val="nil"/>
              <w:right w:val="nil"/>
            </w:tcBorders>
          </w:tcPr>
          <w:p w14:paraId="235F417B" w14:textId="7E5337C8" w:rsidR="009B2F5A" w:rsidRPr="00071D95" w:rsidRDefault="009B2F5A">
            <w:pPr>
              <w:pStyle w:val="VBALevel1Heading"/>
            </w:pPr>
            <w:bookmarkStart w:id="24" w:name="_Toc269888402"/>
            <w:bookmarkStart w:id="25" w:name="_Toc269888745"/>
            <w:r w:rsidRPr="00071D95">
              <w:t>Lesson Objectives</w:t>
            </w:r>
            <w:bookmarkEnd w:id="24"/>
            <w:bookmarkEnd w:id="25"/>
          </w:p>
          <w:p w14:paraId="235F417C" w14:textId="77777777" w:rsidR="009B2F5A" w:rsidRPr="00071D95" w:rsidRDefault="009B2F5A">
            <w:pPr>
              <w:pStyle w:val="VBAInstructorExplanation"/>
              <w:rPr>
                <w:color w:val="auto"/>
              </w:rPr>
            </w:pPr>
            <w:r w:rsidRPr="00071D95">
              <w:rPr>
                <w:color w:val="auto"/>
              </w:rPr>
              <w:t>Discuss the following:</w:t>
            </w:r>
          </w:p>
          <w:p w14:paraId="235F417D" w14:textId="105F1757" w:rsidR="009B2F5A" w:rsidRPr="00071D95" w:rsidRDefault="00A22189">
            <w:pPr>
              <w:pStyle w:val="VBASlideNumber"/>
              <w:rPr>
                <w:color w:val="auto"/>
              </w:rPr>
            </w:pPr>
            <w:r w:rsidRPr="00071D95">
              <w:rPr>
                <w:color w:val="auto"/>
              </w:rPr>
              <w:t>Slide 2</w:t>
            </w:r>
          </w:p>
          <w:p w14:paraId="235F417E" w14:textId="677C3D03" w:rsidR="009B2F5A" w:rsidRPr="00071D95" w:rsidRDefault="009B2F5A" w:rsidP="00D17DC6">
            <w:pPr>
              <w:pStyle w:val="VBAHandoutNumber"/>
              <w:rPr>
                <w:color w:val="auto"/>
              </w:rPr>
            </w:pPr>
            <w:r w:rsidRPr="00071D95">
              <w:rPr>
                <w:color w:val="auto"/>
              </w:rPr>
              <w:br/>
              <w:t xml:space="preserve"> Handout  </w:t>
            </w:r>
            <w:r w:rsidR="00D17DC6" w:rsidRPr="00071D95">
              <w:rPr>
                <w:color w:val="auto"/>
              </w:rPr>
              <w:t>2</w:t>
            </w:r>
          </w:p>
        </w:tc>
        <w:tc>
          <w:tcPr>
            <w:tcW w:w="7232" w:type="dxa"/>
            <w:gridSpan w:val="2"/>
            <w:tcBorders>
              <w:top w:val="nil"/>
              <w:left w:val="nil"/>
              <w:bottom w:val="nil"/>
              <w:right w:val="nil"/>
            </w:tcBorders>
          </w:tcPr>
          <w:p w14:paraId="235F417F" w14:textId="721AC6D4" w:rsidR="009B2F5A" w:rsidRPr="00071D95" w:rsidRDefault="009B2F5A">
            <w:pPr>
              <w:pStyle w:val="VBABodyText"/>
              <w:rPr>
                <w:color w:val="auto"/>
              </w:rPr>
            </w:pPr>
            <w:r w:rsidRPr="00071D95">
              <w:rPr>
                <w:color w:val="auto"/>
              </w:rPr>
              <w:t xml:space="preserve">In order to accomplish the purpose of this lesson, the </w:t>
            </w:r>
            <w:r w:rsidR="00FE7BCB" w:rsidRPr="00071D95">
              <w:rPr>
                <w:color w:val="auto"/>
              </w:rPr>
              <w:t>VSR</w:t>
            </w:r>
            <w:r w:rsidRPr="00071D95">
              <w:rPr>
                <w:color w:val="auto"/>
              </w:rPr>
              <w:t xml:space="preserve"> will be required to accomplish the following lesson objectives.</w:t>
            </w:r>
          </w:p>
          <w:p w14:paraId="235F4180" w14:textId="3171A3A1" w:rsidR="009B2F5A" w:rsidRPr="00071D95" w:rsidRDefault="009B2F5A">
            <w:pPr>
              <w:pStyle w:val="VBABodyText"/>
              <w:rPr>
                <w:color w:val="auto"/>
              </w:rPr>
            </w:pPr>
            <w:r w:rsidRPr="00071D95">
              <w:rPr>
                <w:color w:val="auto"/>
              </w:rPr>
              <w:t>The</w:t>
            </w:r>
            <w:r w:rsidRPr="00071D95">
              <w:rPr>
                <w:b/>
                <w:color w:val="auto"/>
              </w:rPr>
              <w:t xml:space="preserve"> </w:t>
            </w:r>
            <w:r w:rsidR="00FE7BCB" w:rsidRPr="00071D95">
              <w:rPr>
                <w:color w:val="auto"/>
              </w:rPr>
              <w:t>VSR</w:t>
            </w:r>
            <w:r w:rsidRPr="00071D95">
              <w:rPr>
                <w:b/>
                <w:color w:val="auto"/>
              </w:rPr>
              <w:t xml:space="preserve"> </w:t>
            </w:r>
            <w:r w:rsidRPr="00071D95">
              <w:rPr>
                <w:color w:val="auto"/>
              </w:rPr>
              <w:t xml:space="preserve">will be able to:  </w:t>
            </w:r>
          </w:p>
          <w:p w14:paraId="1493A783" w14:textId="77777777" w:rsidR="00A22189" w:rsidRPr="00071D95" w:rsidRDefault="00A22189" w:rsidP="00A22189">
            <w:pPr>
              <w:pStyle w:val="VBAFirstLevelBullet"/>
            </w:pPr>
            <w:r w:rsidRPr="00071D95">
              <w:t>Define lay evidence</w:t>
            </w:r>
          </w:p>
          <w:p w14:paraId="235F4181" w14:textId="44AE4AE3" w:rsidR="009B2F5A" w:rsidRPr="00071D95" w:rsidRDefault="001228F9" w:rsidP="00A22189">
            <w:pPr>
              <w:pStyle w:val="VBAFirstLevelBullet"/>
            </w:pPr>
            <w:r w:rsidRPr="00071D95">
              <w:t xml:space="preserve">Identify </w:t>
            </w:r>
            <w:r w:rsidR="00971E44" w:rsidRPr="00071D95">
              <w:t xml:space="preserve">the four </w:t>
            </w:r>
            <w:r w:rsidRPr="00071D95">
              <w:t>critical points to determin</w:t>
            </w:r>
            <w:r w:rsidR="00971E44" w:rsidRPr="00071D95">
              <w:t>e</w:t>
            </w:r>
            <w:r w:rsidRPr="00071D95">
              <w:t xml:space="preserve"> the credibility of lay evidence</w:t>
            </w:r>
          </w:p>
          <w:p w14:paraId="187EF2A3" w14:textId="72204F22" w:rsidR="00A22189" w:rsidRPr="00071D95" w:rsidRDefault="00A22189" w:rsidP="00A22189">
            <w:pPr>
              <w:pStyle w:val="VBAFirstLevelBullet"/>
            </w:pPr>
            <w:r w:rsidRPr="00071D95">
              <w:t>Understand the difference between the four issues</w:t>
            </w:r>
          </w:p>
          <w:p w14:paraId="235F4183" w14:textId="5BD75A91" w:rsidR="009B2F5A" w:rsidRPr="00071D95" w:rsidRDefault="009B2F5A" w:rsidP="00A22189">
            <w:pPr>
              <w:pStyle w:val="VBAFirstLevelBullet"/>
              <w:numPr>
                <w:ilvl w:val="0"/>
                <w:numId w:val="0"/>
              </w:numPr>
              <w:ind w:left="720"/>
            </w:pPr>
          </w:p>
        </w:tc>
      </w:tr>
      <w:tr w:rsidR="00071D95" w:rsidRPr="00071D95" w14:paraId="235F4187" w14:textId="77777777">
        <w:trPr>
          <w:trHeight w:val="212"/>
        </w:trPr>
        <w:tc>
          <w:tcPr>
            <w:tcW w:w="2520" w:type="dxa"/>
            <w:tcBorders>
              <w:top w:val="nil"/>
              <w:left w:val="nil"/>
              <w:bottom w:val="nil"/>
              <w:right w:val="nil"/>
            </w:tcBorders>
          </w:tcPr>
          <w:p w14:paraId="235F4185" w14:textId="77777777" w:rsidR="009B2F5A" w:rsidRPr="00071D95" w:rsidRDefault="009B2F5A">
            <w:pPr>
              <w:pStyle w:val="VBAInstructorExplanation"/>
              <w:rPr>
                <w:color w:val="auto"/>
              </w:rPr>
            </w:pPr>
            <w:r w:rsidRPr="00071D95">
              <w:rPr>
                <w:color w:val="auto"/>
              </w:rPr>
              <w:t xml:space="preserve">Explain </w:t>
            </w:r>
            <w:r w:rsidRPr="00071D95">
              <w:rPr>
                <w:color w:val="auto"/>
                <w:szCs w:val="24"/>
              </w:rPr>
              <w:t>the</w:t>
            </w:r>
            <w:r w:rsidRPr="00071D95">
              <w:rPr>
                <w:color w:val="auto"/>
              </w:rPr>
              <w:t xml:space="preserve"> following:</w:t>
            </w:r>
          </w:p>
        </w:tc>
        <w:tc>
          <w:tcPr>
            <w:tcW w:w="7232" w:type="dxa"/>
            <w:gridSpan w:val="2"/>
            <w:tcBorders>
              <w:top w:val="nil"/>
              <w:left w:val="nil"/>
              <w:bottom w:val="nil"/>
              <w:right w:val="nil"/>
            </w:tcBorders>
          </w:tcPr>
          <w:p w14:paraId="235F4186" w14:textId="77777777" w:rsidR="009B2F5A" w:rsidRPr="00071D95" w:rsidRDefault="009B2F5A">
            <w:pPr>
              <w:pStyle w:val="VBABodyText"/>
              <w:rPr>
                <w:color w:val="auto"/>
                <w:szCs w:val="24"/>
              </w:rPr>
            </w:pPr>
            <w:r w:rsidRPr="00071D95">
              <w:rPr>
                <w:color w:val="auto"/>
              </w:rPr>
              <w:t xml:space="preserve">Each learning objective is covered in the associated topic. At the conclusion of the lesson, the learning objectives will be reviewed. </w:t>
            </w:r>
          </w:p>
        </w:tc>
      </w:tr>
      <w:tr w:rsidR="00071D95" w:rsidRPr="00071D95" w14:paraId="235F418A" w14:textId="77777777">
        <w:trPr>
          <w:trHeight w:val="212"/>
        </w:trPr>
        <w:tc>
          <w:tcPr>
            <w:tcW w:w="2520" w:type="dxa"/>
            <w:tcBorders>
              <w:top w:val="nil"/>
              <w:left w:val="nil"/>
              <w:bottom w:val="nil"/>
              <w:right w:val="nil"/>
            </w:tcBorders>
          </w:tcPr>
          <w:p w14:paraId="235F4188" w14:textId="77777777" w:rsidR="00971E44" w:rsidRPr="00071D95" w:rsidRDefault="00971E44">
            <w:pPr>
              <w:pStyle w:val="VBALevel1Heading"/>
            </w:pPr>
            <w:bookmarkStart w:id="26" w:name="_Toc269888403"/>
            <w:bookmarkStart w:id="27" w:name="_Toc269888746"/>
            <w:r w:rsidRPr="00071D95">
              <w:t>Motivation</w:t>
            </w:r>
            <w:bookmarkEnd w:id="26"/>
            <w:bookmarkEnd w:id="27"/>
          </w:p>
        </w:tc>
        <w:tc>
          <w:tcPr>
            <w:tcW w:w="7232" w:type="dxa"/>
            <w:gridSpan w:val="2"/>
            <w:tcBorders>
              <w:top w:val="nil"/>
              <w:left w:val="nil"/>
              <w:bottom w:val="nil"/>
              <w:right w:val="nil"/>
            </w:tcBorders>
          </w:tcPr>
          <w:p w14:paraId="235F4189" w14:textId="4172B18F" w:rsidR="00971E44" w:rsidRPr="00071D95" w:rsidRDefault="00971E44" w:rsidP="00AF5FAB">
            <w:pPr>
              <w:pStyle w:val="VBABodyText"/>
              <w:rPr>
                <w:color w:val="auto"/>
              </w:rPr>
            </w:pPr>
            <w:r w:rsidRPr="00071D95">
              <w:rPr>
                <w:color w:val="auto"/>
              </w:rPr>
              <w:t xml:space="preserve">The VA has the ability to determine if lay evidence is acceptable or insufficient </w:t>
            </w:r>
            <w:r w:rsidR="00AF5FAB" w:rsidRPr="00071D95">
              <w:rPr>
                <w:color w:val="auto"/>
              </w:rPr>
              <w:t xml:space="preserve">before </w:t>
            </w:r>
            <w:r w:rsidR="004B353D" w:rsidRPr="00071D95">
              <w:rPr>
                <w:color w:val="auto"/>
              </w:rPr>
              <w:t>requesting</w:t>
            </w:r>
            <w:r w:rsidR="00AF5FAB" w:rsidRPr="00071D95">
              <w:rPr>
                <w:color w:val="auto"/>
              </w:rPr>
              <w:t xml:space="preserve"> an exam</w:t>
            </w:r>
            <w:r w:rsidRPr="00071D95">
              <w:rPr>
                <w:color w:val="auto"/>
              </w:rPr>
              <w:t xml:space="preserve">. The VSR must be able to recognize </w:t>
            </w:r>
            <w:r w:rsidR="00AF5FAB" w:rsidRPr="00071D95">
              <w:rPr>
                <w:color w:val="auto"/>
              </w:rPr>
              <w:t>competent, credible evidence prior to requesting an exam.</w:t>
            </w:r>
          </w:p>
        </w:tc>
      </w:tr>
      <w:tr w:rsidR="00071D95" w:rsidRPr="00071D95" w14:paraId="235F418D" w14:textId="77777777">
        <w:trPr>
          <w:trHeight w:val="212"/>
        </w:trPr>
        <w:tc>
          <w:tcPr>
            <w:tcW w:w="2520" w:type="dxa"/>
            <w:tcBorders>
              <w:top w:val="nil"/>
              <w:left w:val="nil"/>
              <w:bottom w:val="nil"/>
              <w:right w:val="nil"/>
            </w:tcBorders>
          </w:tcPr>
          <w:p w14:paraId="235F418B" w14:textId="6DE1A2DA" w:rsidR="00AF5FAB" w:rsidRPr="00071D95" w:rsidRDefault="00AF5FAB">
            <w:pPr>
              <w:pStyle w:val="VBALevel1Heading"/>
              <w:spacing w:after="120"/>
            </w:pPr>
            <w:r w:rsidRPr="00071D95">
              <w:t>STAR Error code(s)</w:t>
            </w:r>
          </w:p>
        </w:tc>
        <w:tc>
          <w:tcPr>
            <w:tcW w:w="7232" w:type="dxa"/>
            <w:gridSpan w:val="2"/>
            <w:tcBorders>
              <w:top w:val="nil"/>
              <w:left w:val="nil"/>
              <w:bottom w:val="nil"/>
              <w:right w:val="nil"/>
            </w:tcBorders>
          </w:tcPr>
          <w:p w14:paraId="6EE41307" w14:textId="13CED1FD" w:rsidR="00AF5FAB" w:rsidRPr="00071D95" w:rsidRDefault="00AF5FAB" w:rsidP="00F32EF6">
            <w:pPr>
              <w:rPr>
                <w:szCs w:val="24"/>
              </w:rPr>
            </w:pPr>
            <w:r w:rsidRPr="00071D95">
              <w:rPr>
                <w:b/>
                <w:szCs w:val="24"/>
              </w:rPr>
              <w:t xml:space="preserve">Instructor: </w:t>
            </w:r>
            <w:r w:rsidRPr="00071D95">
              <w:rPr>
                <w:szCs w:val="24"/>
              </w:rPr>
              <w:t xml:space="preserve">The Systematic Technical Accuracy Review (STAR) Program reviews cases and considers them either “accurate” or “in error” for the purpose of measuring technical accuracy. </w:t>
            </w:r>
          </w:p>
          <w:p w14:paraId="1BFA437D" w14:textId="77777777" w:rsidR="00AF5FAB" w:rsidRPr="00071D95" w:rsidRDefault="00AF5FAB" w:rsidP="00AF5FAB">
            <w:pPr>
              <w:tabs>
                <w:tab w:val="right" w:pos="6994"/>
              </w:tabs>
              <w:rPr>
                <w:szCs w:val="24"/>
              </w:rPr>
            </w:pPr>
            <w:r w:rsidRPr="00071D95">
              <w:rPr>
                <w:szCs w:val="24"/>
              </w:rPr>
              <w:t>Please discuss common errors with the trainees.</w:t>
            </w:r>
            <w:r w:rsidRPr="00071D95">
              <w:rPr>
                <w:szCs w:val="24"/>
              </w:rPr>
              <w:tab/>
            </w:r>
          </w:p>
          <w:p w14:paraId="235F418C" w14:textId="6AFBD83E" w:rsidR="00AF5FAB" w:rsidRPr="00071D95" w:rsidRDefault="00AF5FAB" w:rsidP="00AF5FAB">
            <w:pPr>
              <w:tabs>
                <w:tab w:val="right" w:pos="6994"/>
              </w:tabs>
              <w:rPr>
                <w:szCs w:val="24"/>
              </w:rPr>
            </w:pPr>
          </w:p>
        </w:tc>
      </w:tr>
    </w:tbl>
    <w:p w14:paraId="2B67290A" w14:textId="77777777" w:rsidR="00071D95" w:rsidRDefault="00071D95">
      <w:bookmarkStart w:id="28" w:name="_Toc269888405"/>
      <w:bookmarkStart w:id="29" w:name="_Toc269888748"/>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071D95" w:rsidRPr="00071D95" w14:paraId="235F4196" w14:textId="77777777">
        <w:trPr>
          <w:trHeight w:val="212"/>
        </w:trPr>
        <w:tc>
          <w:tcPr>
            <w:tcW w:w="2520" w:type="dxa"/>
            <w:tcBorders>
              <w:top w:val="nil"/>
              <w:left w:val="nil"/>
              <w:bottom w:val="nil"/>
              <w:right w:val="nil"/>
            </w:tcBorders>
          </w:tcPr>
          <w:p w14:paraId="235F418E" w14:textId="353E203A" w:rsidR="00AF5FAB" w:rsidRPr="00071D95" w:rsidRDefault="00AF5FAB">
            <w:pPr>
              <w:pStyle w:val="VBALevel1Heading"/>
            </w:pPr>
            <w:r w:rsidRPr="00071D95">
              <w:lastRenderedPageBreak/>
              <w:t>References</w:t>
            </w:r>
            <w:bookmarkEnd w:id="28"/>
            <w:bookmarkEnd w:id="29"/>
          </w:p>
          <w:p w14:paraId="235F418F" w14:textId="0CD8E296" w:rsidR="00AF5FAB" w:rsidRPr="00071D95" w:rsidRDefault="001B1C22">
            <w:pPr>
              <w:pStyle w:val="VBASlideNumber"/>
              <w:rPr>
                <w:color w:val="auto"/>
              </w:rPr>
            </w:pPr>
            <w:r w:rsidRPr="00071D95">
              <w:rPr>
                <w:color w:val="auto"/>
              </w:rPr>
              <w:t>Slide 3</w:t>
            </w:r>
            <w:r w:rsidR="00AF5FAB" w:rsidRPr="00071D95">
              <w:rPr>
                <w:color w:val="auto"/>
              </w:rPr>
              <w:br/>
            </w:r>
          </w:p>
          <w:p w14:paraId="235F4190" w14:textId="41AD0E56" w:rsidR="00AF5FAB" w:rsidRPr="00071D95" w:rsidRDefault="00AF5FAB" w:rsidP="00D17DC6">
            <w:pPr>
              <w:pStyle w:val="VBAHandoutNumber"/>
              <w:rPr>
                <w:color w:val="auto"/>
              </w:rPr>
            </w:pPr>
            <w:r w:rsidRPr="00071D95">
              <w:rPr>
                <w:color w:val="auto"/>
              </w:rPr>
              <w:t xml:space="preserve"> Handout </w:t>
            </w:r>
            <w:r w:rsidR="00D17DC6" w:rsidRPr="00071D95">
              <w:rPr>
                <w:color w:val="auto"/>
              </w:rPr>
              <w:t>3</w:t>
            </w:r>
          </w:p>
        </w:tc>
        <w:tc>
          <w:tcPr>
            <w:tcW w:w="7232" w:type="dxa"/>
            <w:tcBorders>
              <w:top w:val="nil"/>
              <w:left w:val="nil"/>
              <w:bottom w:val="nil"/>
              <w:right w:val="nil"/>
            </w:tcBorders>
          </w:tcPr>
          <w:p w14:paraId="235F4191" w14:textId="77777777" w:rsidR="00AF5FAB" w:rsidRPr="00071D95" w:rsidRDefault="00AF5FAB">
            <w:pPr>
              <w:pStyle w:val="VBABodyText"/>
              <w:rPr>
                <w:b/>
                <w:noProof/>
                <w:color w:val="auto"/>
              </w:rPr>
            </w:pPr>
            <w:r w:rsidRPr="00071D95">
              <w:rPr>
                <w:noProof/>
                <w:color w:val="auto"/>
              </w:rPr>
              <w:t>Explain where these references are located in the workplace.</w:t>
            </w:r>
          </w:p>
          <w:p w14:paraId="235F4192" w14:textId="0E2FE79D" w:rsidR="00AF5FAB" w:rsidRPr="00071D95" w:rsidRDefault="00AF5FAB">
            <w:pPr>
              <w:pStyle w:val="VBAFirstLevelBullet"/>
            </w:pPr>
            <w:r w:rsidRPr="00071D95">
              <w:t>38 CFR 3.159, Department of Veterans Affairs assistance in developing claims</w:t>
            </w:r>
          </w:p>
          <w:p w14:paraId="4528A3AA" w14:textId="12B8FC8E" w:rsidR="000A75E0" w:rsidRPr="00071D95" w:rsidRDefault="000A75E0">
            <w:pPr>
              <w:pStyle w:val="VBAFirstLevelBullet"/>
            </w:pPr>
            <w:r w:rsidRPr="00071D95">
              <w:t>38 CFR 3.304</w:t>
            </w:r>
            <w:r w:rsidR="00D17DC6" w:rsidRPr="00071D95">
              <w:t>,</w:t>
            </w:r>
            <w:r w:rsidRPr="00071D95">
              <w:t xml:space="preserve"> Direct service connection; wartime and peacetime</w:t>
            </w:r>
          </w:p>
          <w:p w14:paraId="235F4195" w14:textId="715CFA64" w:rsidR="00AF5FAB" w:rsidRPr="00071D95" w:rsidRDefault="00AF5FAB" w:rsidP="002136FA">
            <w:pPr>
              <w:pStyle w:val="VBAFirstLevelBullet"/>
              <w:numPr>
                <w:ilvl w:val="0"/>
                <w:numId w:val="0"/>
              </w:numPr>
              <w:ind w:left="720" w:hanging="360"/>
              <w:rPr>
                <w:b/>
              </w:rPr>
            </w:pPr>
          </w:p>
        </w:tc>
      </w:tr>
    </w:tbl>
    <w:p w14:paraId="235F4197" w14:textId="77777777" w:rsidR="009B2F5A" w:rsidRPr="00071D95" w:rsidRDefault="009B2F5A">
      <w:pPr>
        <w:rPr>
          <w:b/>
        </w:rPr>
      </w:pPr>
    </w:p>
    <w:p w14:paraId="235F4198" w14:textId="77777777" w:rsidR="009B2F5A" w:rsidRPr="00071D95" w:rsidRDefault="009B2F5A">
      <w:pPr>
        <w:tabs>
          <w:tab w:val="left" w:pos="2610"/>
        </w:tabs>
        <w:rPr>
          <w:b/>
        </w:rPr>
      </w:pPr>
    </w:p>
    <w:p w14:paraId="410BB8DC" w14:textId="77777777" w:rsidR="002136FA" w:rsidRPr="00071D95" w:rsidRDefault="002136FA">
      <w:bookmarkStart w:id="30" w:name="_Toc269888406"/>
      <w:bookmarkStart w:id="31" w:name="_Toc269888749"/>
      <w:bookmarkStart w:id="32" w:name="_Toc269888789"/>
      <w:r w:rsidRPr="00071D95">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071D95" w:rsidRPr="00071D95" w14:paraId="235F419A" w14:textId="77777777">
        <w:trPr>
          <w:trHeight w:val="212"/>
        </w:trPr>
        <w:tc>
          <w:tcPr>
            <w:tcW w:w="9777" w:type="dxa"/>
            <w:gridSpan w:val="2"/>
            <w:tcBorders>
              <w:top w:val="nil"/>
              <w:left w:val="nil"/>
              <w:bottom w:val="nil"/>
              <w:right w:val="nil"/>
            </w:tcBorders>
            <w:vAlign w:val="center"/>
          </w:tcPr>
          <w:p w14:paraId="235F4199" w14:textId="3F6C83DE" w:rsidR="009B2F5A" w:rsidRPr="00071D95" w:rsidRDefault="009B2F5A" w:rsidP="00672558">
            <w:pPr>
              <w:pStyle w:val="VBALessonTopicTitle"/>
              <w:rPr>
                <w:rFonts w:ascii="Times New Roman" w:hAnsi="Times New Roman"/>
                <w:color w:val="auto"/>
              </w:rPr>
            </w:pPr>
            <w:bookmarkStart w:id="33" w:name="_Toc442278446"/>
            <w:r w:rsidRPr="00071D95">
              <w:rPr>
                <w:rFonts w:ascii="Times New Roman" w:hAnsi="Times New Roman"/>
                <w:color w:val="auto"/>
              </w:rPr>
              <w:lastRenderedPageBreak/>
              <w:t xml:space="preserve">Topic 1: </w:t>
            </w:r>
            <w:bookmarkEnd w:id="30"/>
            <w:bookmarkEnd w:id="31"/>
            <w:bookmarkEnd w:id="32"/>
            <w:r w:rsidR="00672558" w:rsidRPr="00071D95">
              <w:rPr>
                <w:rFonts w:ascii="Times New Roman" w:hAnsi="Times New Roman"/>
                <w:color w:val="auto"/>
              </w:rPr>
              <w:t>Credibility Determinations</w:t>
            </w:r>
            <w:bookmarkEnd w:id="33"/>
          </w:p>
        </w:tc>
      </w:tr>
      <w:tr w:rsidR="00071D95" w:rsidRPr="00071D95" w14:paraId="235F419D" w14:textId="77777777">
        <w:trPr>
          <w:trHeight w:val="212"/>
        </w:trPr>
        <w:tc>
          <w:tcPr>
            <w:tcW w:w="2560" w:type="dxa"/>
            <w:tcBorders>
              <w:top w:val="nil"/>
              <w:left w:val="nil"/>
              <w:bottom w:val="nil"/>
              <w:right w:val="nil"/>
            </w:tcBorders>
          </w:tcPr>
          <w:p w14:paraId="235F419B" w14:textId="77777777" w:rsidR="009B2F5A" w:rsidRPr="00071D95" w:rsidRDefault="009B2F5A">
            <w:pPr>
              <w:pStyle w:val="VBALevel1Heading"/>
            </w:pPr>
            <w:bookmarkStart w:id="34" w:name="_Toc269888407"/>
            <w:bookmarkStart w:id="35" w:name="_Toc269888750"/>
            <w:r w:rsidRPr="00071D95">
              <w:t>Introduction</w:t>
            </w:r>
            <w:bookmarkEnd w:id="34"/>
            <w:bookmarkEnd w:id="35"/>
          </w:p>
        </w:tc>
        <w:tc>
          <w:tcPr>
            <w:tcW w:w="7217" w:type="dxa"/>
            <w:tcBorders>
              <w:top w:val="nil"/>
              <w:left w:val="nil"/>
              <w:bottom w:val="nil"/>
              <w:right w:val="nil"/>
            </w:tcBorders>
          </w:tcPr>
          <w:p w14:paraId="235F419C" w14:textId="3B6169E9" w:rsidR="009B2F5A" w:rsidRPr="00071D95" w:rsidRDefault="009B2F5A" w:rsidP="002E0F36">
            <w:pPr>
              <w:pStyle w:val="VBABodyText"/>
              <w:rPr>
                <w:b/>
                <w:color w:val="auto"/>
              </w:rPr>
            </w:pPr>
            <w:r w:rsidRPr="00071D95">
              <w:rPr>
                <w:color w:val="auto"/>
              </w:rPr>
              <w:t>This topic will allow the trainee to</w:t>
            </w:r>
            <w:r w:rsidR="00C204E9" w:rsidRPr="00071D95">
              <w:rPr>
                <w:color w:val="auto"/>
              </w:rPr>
              <w:t xml:space="preserve"> </w:t>
            </w:r>
            <w:r w:rsidR="002E0F36" w:rsidRPr="00071D95">
              <w:rPr>
                <w:color w:val="auto"/>
              </w:rPr>
              <w:t>identify the issues of a credibility determination.</w:t>
            </w:r>
            <w:r w:rsidR="00C204E9" w:rsidRPr="00071D95">
              <w:rPr>
                <w:color w:val="auto"/>
              </w:rPr>
              <w:t xml:space="preserve"> </w:t>
            </w:r>
          </w:p>
        </w:tc>
      </w:tr>
      <w:tr w:rsidR="00071D95" w:rsidRPr="00071D95" w14:paraId="235F41A0" w14:textId="77777777">
        <w:trPr>
          <w:trHeight w:val="212"/>
        </w:trPr>
        <w:tc>
          <w:tcPr>
            <w:tcW w:w="2560" w:type="dxa"/>
            <w:tcBorders>
              <w:top w:val="nil"/>
              <w:left w:val="nil"/>
              <w:bottom w:val="nil"/>
              <w:right w:val="nil"/>
            </w:tcBorders>
          </w:tcPr>
          <w:p w14:paraId="235F419E" w14:textId="77777777" w:rsidR="009B2F5A" w:rsidRPr="00071D95" w:rsidRDefault="009B2F5A">
            <w:pPr>
              <w:pStyle w:val="VBALevel1Heading"/>
            </w:pPr>
            <w:bookmarkStart w:id="36" w:name="_Toc269888408"/>
            <w:bookmarkStart w:id="37" w:name="_Toc269888751"/>
            <w:r w:rsidRPr="00071D95">
              <w:t>Time Required</w:t>
            </w:r>
            <w:bookmarkEnd w:id="36"/>
            <w:bookmarkEnd w:id="37"/>
          </w:p>
        </w:tc>
        <w:tc>
          <w:tcPr>
            <w:tcW w:w="7217" w:type="dxa"/>
            <w:tcBorders>
              <w:top w:val="nil"/>
              <w:left w:val="nil"/>
              <w:bottom w:val="nil"/>
              <w:right w:val="nil"/>
            </w:tcBorders>
          </w:tcPr>
          <w:p w14:paraId="235F419F" w14:textId="246859DC" w:rsidR="009B2F5A" w:rsidRPr="00071D95" w:rsidRDefault="00D17DC6">
            <w:pPr>
              <w:pStyle w:val="VBATimeReq"/>
              <w:rPr>
                <w:color w:val="auto"/>
              </w:rPr>
            </w:pPr>
            <w:r w:rsidRPr="00071D95">
              <w:rPr>
                <w:color w:val="auto"/>
              </w:rPr>
              <w:t>30 minutes</w:t>
            </w:r>
          </w:p>
        </w:tc>
      </w:tr>
      <w:tr w:rsidR="00071D95" w:rsidRPr="00071D95" w14:paraId="235F41AB" w14:textId="77777777">
        <w:trPr>
          <w:trHeight w:val="212"/>
        </w:trPr>
        <w:tc>
          <w:tcPr>
            <w:tcW w:w="2560" w:type="dxa"/>
            <w:tcBorders>
              <w:top w:val="nil"/>
              <w:left w:val="nil"/>
              <w:bottom w:val="nil"/>
              <w:right w:val="nil"/>
            </w:tcBorders>
          </w:tcPr>
          <w:p w14:paraId="235F41A1" w14:textId="77777777" w:rsidR="009B2F5A" w:rsidRPr="00071D95" w:rsidRDefault="009B2F5A">
            <w:pPr>
              <w:pStyle w:val="VBALevel1Heading"/>
            </w:pPr>
            <w:r w:rsidRPr="00071D95">
              <w:t>OBJECTIVES/</w:t>
            </w:r>
            <w:r w:rsidRPr="00071D95">
              <w:br/>
              <w:t>Teaching Points</w:t>
            </w:r>
          </w:p>
          <w:p w14:paraId="235F41A2" w14:textId="0BCC7FDF" w:rsidR="00A22189" w:rsidRPr="00071D95" w:rsidRDefault="00A22189" w:rsidP="00A22189">
            <w:pPr>
              <w:pStyle w:val="VBALevel3Heading"/>
              <w:spacing w:after="120"/>
              <w:rPr>
                <w:color w:val="auto"/>
                <w:szCs w:val="24"/>
              </w:rPr>
            </w:pPr>
          </w:p>
        </w:tc>
        <w:tc>
          <w:tcPr>
            <w:tcW w:w="7217" w:type="dxa"/>
            <w:tcBorders>
              <w:top w:val="nil"/>
              <w:left w:val="nil"/>
              <w:bottom w:val="nil"/>
              <w:right w:val="nil"/>
            </w:tcBorders>
          </w:tcPr>
          <w:p w14:paraId="235F41A3" w14:textId="77777777" w:rsidR="009B2F5A" w:rsidRPr="00071D95" w:rsidRDefault="009B2F5A">
            <w:pPr>
              <w:tabs>
                <w:tab w:val="left" w:pos="590"/>
              </w:tabs>
              <w:spacing w:after="120"/>
              <w:rPr>
                <w:szCs w:val="24"/>
              </w:rPr>
            </w:pPr>
            <w:r w:rsidRPr="00071D95">
              <w:rPr>
                <w:szCs w:val="24"/>
              </w:rPr>
              <w:t>Topic objectives:</w:t>
            </w:r>
          </w:p>
          <w:p w14:paraId="5AF10302" w14:textId="0822953F" w:rsidR="00147615" w:rsidRPr="00071D95" w:rsidRDefault="00147615" w:rsidP="00101FBD">
            <w:pPr>
              <w:numPr>
                <w:ilvl w:val="0"/>
                <w:numId w:val="9"/>
              </w:numPr>
              <w:tabs>
                <w:tab w:val="left" w:pos="590"/>
              </w:tabs>
              <w:spacing w:before="60" w:after="60"/>
              <w:rPr>
                <w:szCs w:val="24"/>
              </w:rPr>
            </w:pPr>
            <w:r w:rsidRPr="00071D95">
              <w:rPr>
                <w:szCs w:val="24"/>
              </w:rPr>
              <w:t>Define lay evidence</w:t>
            </w:r>
          </w:p>
          <w:p w14:paraId="25D3B40D" w14:textId="4687FF23" w:rsidR="00101FBD" w:rsidRPr="00071D95" w:rsidRDefault="002E0F36" w:rsidP="00101FBD">
            <w:pPr>
              <w:numPr>
                <w:ilvl w:val="0"/>
                <w:numId w:val="9"/>
              </w:numPr>
              <w:tabs>
                <w:tab w:val="left" w:pos="590"/>
              </w:tabs>
              <w:spacing w:before="60" w:after="60"/>
              <w:rPr>
                <w:szCs w:val="24"/>
              </w:rPr>
            </w:pPr>
            <w:r w:rsidRPr="00071D95">
              <w:rPr>
                <w:szCs w:val="24"/>
              </w:rPr>
              <w:t>Identify</w:t>
            </w:r>
            <w:r w:rsidR="00101FBD" w:rsidRPr="00071D95">
              <w:rPr>
                <w:szCs w:val="24"/>
              </w:rPr>
              <w:t xml:space="preserve"> the four issues of a credibility determination</w:t>
            </w:r>
          </w:p>
          <w:p w14:paraId="292F5875" w14:textId="77777777" w:rsidR="002E0F36" w:rsidRPr="00071D95" w:rsidRDefault="002E0F36" w:rsidP="002E0F36">
            <w:pPr>
              <w:tabs>
                <w:tab w:val="left" w:pos="590"/>
              </w:tabs>
              <w:spacing w:before="60" w:after="60"/>
              <w:ind w:left="360"/>
              <w:rPr>
                <w:sz w:val="22"/>
                <w:szCs w:val="24"/>
              </w:rPr>
            </w:pPr>
          </w:p>
          <w:p w14:paraId="235F41A7" w14:textId="77777777" w:rsidR="009B2F5A" w:rsidRPr="00071D95" w:rsidRDefault="009B2F5A">
            <w:pPr>
              <w:tabs>
                <w:tab w:val="left" w:pos="590"/>
              </w:tabs>
              <w:spacing w:after="120"/>
              <w:rPr>
                <w:bCs/>
                <w:szCs w:val="24"/>
              </w:rPr>
            </w:pPr>
            <w:r w:rsidRPr="00071D95">
              <w:rPr>
                <w:szCs w:val="24"/>
              </w:rPr>
              <w:t>The following topic teaching points support the topic objectives</w:t>
            </w:r>
            <w:r w:rsidRPr="00071D95">
              <w:rPr>
                <w:bCs/>
                <w:szCs w:val="24"/>
              </w:rPr>
              <w:t xml:space="preserve">: </w:t>
            </w:r>
          </w:p>
          <w:p w14:paraId="235F41A8" w14:textId="1DB4407C" w:rsidR="009B2F5A" w:rsidRPr="00071D95" w:rsidRDefault="00544AFF">
            <w:pPr>
              <w:numPr>
                <w:ilvl w:val="0"/>
                <w:numId w:val="9"/>
              </w:numPr>
              <w:tabs>
                <w:tab w:val="left" w:pos="590"/>
              </w:tabs>
              <w:spacing w:after="60"/>
              <w:rPr>
                <w:szCs w:val="24"/>
              </w:rPr>
            </w:pPr>
            <w:r w:rsidRPr="00071D95">
              <w:rPr>
                <w:szCs w:val="24"/>
              </w:rPr>
              <w:t>What are the four issues of credibility determinations?</w:t>
            </w:r>
          </w:p>
          <w:p w14:paraId="235F41AA" w14:textId="76BD45A6" w:rsidR="009B2F5A" w:rsidRPr="00071D95" w:rsidRDefault="009B2F5A" w:rsidP="00544AFF">
            <w:pPr>
              <w:tabs>
                <w:tab w:val="left" w:pos="590"/>
              </w:tabs>
              <w:spacing w:before="60" w:after="60"/>
              <w:ind w:left="720"/>
              <w:rPr>
                <w:szCs w:val="24"/>
              </w:rPr>
            </w:pPr>
          </w:p>
        </w:tc>
      </w:tr>
      <w:tr w:rsidR="00071D95" w:rsidRPr="00071D95" w14:paraId="235F41B0" w14:textId="77777777">
        <w:trPr>
          <w:trHeight w:val="212"/>
        </w:trPr>
        <w:tc>
          <w:tcPr>
            <w:tcW w:w="2560" w:type="dxa"/>
            <w:tcBorders>
              <w:top w:val="nil"/>
              <w:left w:val="nil"/>
              <w:bottom w:val="nil"/>
              <w:right w:val="nil"/>
            </w:tcBorders>
          </w:tcPr>
          <w:p w14:paraId="31C45759" w14:textId="608399A4" w:rsidR="00147615" w:rsidRPr="00071D95" w:rsidRDefault="00147615">
            <w:pPr>
              <w:pStyle w:val="VBALevel2Heading"/>
              <w:rPr>
                <w:color w:val="auto"/>
              </w:rPr>
            </w:pPr>
            <w:r w:rsidRPr="00071D95">
              <w:rPr>
                <w:color w:val="auto"/>
              </w:rPr>
              <w:t>Definition of Lay Evidence</w:t>
            </w:r>
          </w:p>
          <w:p w14:paraId="351531A6" w14:textId="5B990449" w:rsidR="00147615" w:rsidRPr="00071D95" w:rsidRDefault="00AC3007">
            <w:pPr>
              <w:pStyle w:val="VBALevel2Heading"/>
              <w:rPr>
                <w:b w:val="0"/>
                <w:i/>
                <w:color w:val="auto"/>
              </w:rPr>
            </w:pPr>
            <w:r w:rsidRPr="00071D95">
              <w:rPr>
                <w:b w:val="0"/>
                <w:i/>
                <w:color w:val="auto"/>
              </w:rPr>
              <w:t>Slide</w:t>
            </w:r>
            <w:r w:rsidR="0009635D" w:rsidRPr="00071D95">
              <w:rPr>
                <w:b w:val="0"/>
                <w:i/>
                <w:color w:val="auto"/>
              </w:rPr>
              <w:t>s</w:t>
            </w:r>
            <w:r w:rsidRPr="00071D95">
              <w:rPr>
                <w:b w:val="0"/>
                <w:i/>
                <w:color w:val="auto"/>
              </w:rPr>
              <w:t xml:space="preserve"> 4</w:t>
            </w:r>
            <w:r w:rsidR="0009635D" w:rsidRPr="00071D95">
              <w:rPr>
                <w:b w:val="0"/>
                <w:i/>
                <w:color w:val="auto"/>
              </w:rPr>
              <w:t>-5</w:t>
            </w:r>
          </w:p>
          <w:p w14:paraId="2CB97D0B" w14:textId="31141C3D" w:rsidR="00AC3007" w:rsidRPr="00071D95" w:rsidRDefault="00AC3007">
            <w:pPr>
              <w:pStyle w:val="VBALevel2Heading"/>
              <w:rPr>
                <w:b w:val="0"/>
                <w:i/>
                <w:color w:val="auto"/>
              </w:rPr>
            </w:pPr>
            <w:r w:rsidRPr="00071D95">
              <w:rPr>
                <w:b w:val="0"/>
                <w:i/>
                <w:color w:val="auto"/>
              </w:rPr>
              <w:t xml:space="preserve">Handout </w:t>
            </w:r>
            <w:r w:rsidR="00D55C94" w:rsidRPr="00071D95">
              <w:rPr>
                <w:b w:val="0"/>
                <w:i/>
                <w:color w:val="auto"/>
              </w:rPr>
              <w:t>4</w:t>
            </w:r>
          </w:p>
          <w:p w14:paraId="1907EFB4" w14:textId="77777777" w:rsidR="00AC3007" w:rsidRPr="00071D95" w:rsidRDefault="00AC3007">
            <w:pPr>
              <w:pStyle w:val="VBALevel2Heading"/>
              <w:rPr>
                <w:b w:val="0"/>
                <w:i/>
                <w:color w:val="auto"/>
              </w:rPr>
            </w:pPr>
          </w:p>
          <w:p w14:paraId="015E8744" w14:textId="77777777" w:rsidR="0009635D" w:rsidRPr="00071D95" w:rsidRDefault="0009635D">
            <w:pPr>
              <w:pStyle w:val="VBALevel2Heading"/>
              <w:rPr>
                <w:color w:val="auto"/>
              </w:rPr>
            </w:pPr>
          </w:p>
          <w:p w14:paraId="235F41AC" w14:textId="091E8367" w:rsidR="009B2F5A" w:rsidRPr="00071D95" w:rsidRDefault="005F0993">
            <w:pPr>
              <w:pStyle w:val="VBALevel2Heading"/>
              <w:rPr>
                <w:bCs/>
                <w:i/>
                <w:color w:val="auto"/>
              </w:rPr>
            </w:pPr>
            <w:r w:rsidRPr="00071D95">
              <w:rPr>
                <w:color w:val="auto"/>
              </w:rPr>
              <w:t>Determination of credibility is a finding of fact</w:t>
            </w:r>
            <w:r w:rsidR="009B2F5A" w:rsidRPr="00071D95">
              <w:rPr>
                <w:color w:val="auto"/>
              </w:rPr>
              <w:br/>
            </w:r>
          </w:p>
          <w:p w14:paraId="235F41AD" w14:textId="136AF629" w:rsidR="009B2F5A" w:rsidRPr="00071D95" w:rsidRDefault="009B2F5A">
            <w:pPr>
              <w:pStyle w:val="VBASlideNumber"/>
              <w:rPr>
                <w:color w:val="auto"/>
              </w:rPr>
            </w:pPr>
            <w:r w:rsidRPr="00071D95">
              <w:rPr>
                <w:color w:val="auto"/>
              </w:rPr>
              <w:t xml:space="preserve">Slide </w:t>
            </w:r>
            <w:r w:rsidR="00F60DBC" w:rsidRPr="00071D95">
              <w:rPr>
                <w:color w:val="auto"/>
              </w:rPr>
              <w:t>6</w:t>
            </w:r>
            <w:r w:rsidRPr="00071D95">
              <w:rPr>
                <w:color w:val="auto"/>
              </w:rPr>
              <w:br/>
            </w:r>
          </w:p>
          <w:p w14:paraId="235F41AE" w14:textId="5982EB0E" w:rsidR="009B2F5A" w:rsidRPr="00071D95" w:rsidRDefault="009B2F5A" w:rsidP="00D55C94">
            <w:pPr>
              <w:pStyle w:val="VBAHandoutNumber"/>
              <w:rPr>
                <w:color w:val="auto"/>
              </w:rPr>
            </w:pPr>
            <w:r w:rsidRPr="00071D95">
              <w:rPr>
                <w:color w:val="auto"/>
              </w:rPr>
              <w:t xml:space="preserve">Handout </w:t>
            </w:r>
            <w:r w:rsidR="00D55C94" w:rsidRPr="00071D95">
              <w:rPr>
                <w:color w:val="auto"/>
              </w:rPr>
              <w:t>4</w:t>
            </w:r>
          </w:p>
        </w:tc>
        <w:tc>
          <w:tcPr>
            <w:tcW w:w="7217" w:type="dxa"/>
            <w:tcBorders>
              <w:top w:val="nil"/>
              <w:left w:val="nil"/>
              <w:bottom w:val="nil"/>
              <w:right w:val="nil"/>
            </w:tcBorders>
          </w:tcPr>
          <w:p w14:paraId="0FDFC3B1" w14:textId="680667C1" w:rsidR="00147615" w:rsidRPr="00071D95" w:rsidRDefault="00147615">
            <w:pPr>
              <w:pStyle w:val="VBABodyText"/>
              <w:rPr>
                <w:color w:val="auto"/>
              </w:rPr>
            </w:pPr>
            <w:r w:rsidRPr="00071D95">
              <w:rPr>
                <w:color w:val="auto"/>
              </w:rPr>
              <w:t>Explain to the trainees that Lay Evidence is evidence that does not come from a medical or other expert. It can consist of statements from the Veteran supplied with a claim.</w:t>
            </w:r>
            <w:r w:rsidR="006C4AAF">
              <w:t xml:space="preserve"> </w:t>
            </w:r>
            <w:r w:rsidR="006C4AAF" w:rsidRPr="006C4AAF">
              <w:rPr>
                <w:color w:val="auto"/>
              </w:rPr>
              <w:t>Evidence that does not come from a medical or other expert. It can consist of statements from the Veteran supplied with a claim, but also can include spouses, parents  and children of the Veteran, or even fellow Veterans who served with the Veteran.</w:t>
            </w:r>
          </w:p>
          <w:p w14:paraId="02BCE651" w14:textId="7D88BA43" w:rsidR="00147615" w:rsidRPr="00071D95" w:rsidRDefault="0009635D" w:rsidP="0009635D">
            <w:pPr>
              <w:pStyle w:val="VBABodyText"/>
              <w:spacing w:after="120"/>
              <w:rPr>
                <w:color w:val="auto"/>
              </w:rPr>
            </w:pPr>
            <w:r w:rsidRPr="00071D95">
              <w:rPr>
                <w:color w:val="auto"/>
              </w:rPr>
              <w:t>Stress to the trainees that when evaluating lay evidence, they should accept it at face value unless there is reason to question it. If there is conflicting evidence, they should weigh it all as appropriate.</w:t>
            </w:r>
          </w:p>
          <w:p w14:paraId="20646719" w14:textId="77777777" w:rsidR="00AC3007" w:rsidRPr="00071D95" w:rsidRDefault="00AC3007" w:rsidP="00AC3007">
            <w:pPr>
              <w:pStyle w:val="VBABodyText"/>
              <w:spacing w:after="120"/>
              <w:rPr>
                <w:color w:val="auto"/>
                <w:sz w:val="12"/>
              </w:rPr>
            </w:pPr>
          </w:p>
          <w:p w14:paraId="59E5A010" w14:textId="46D3EE44" w:rsidR="005F0993" w:rsidRPr="00071D95" w:rsidRDefault="005F0993" w:rsidP="00AC3007">
            <w:pPr>
              <w:pStyle w:val="VBABodyText"/>
              <w:spacing w:after="120"/>
              <w:rPr>
                <w:color w:val="auto"/>
              </w:rPr>
            </w:pPr>
            <w:r w:rsidRPr="00071D95">
              <w:rPr>
                <w:color w:val="auto"/>
              </w:rPr>
              <w:t>Explain that there are four issues that must be taken into account for credibility determinations: competent, plausible, consistent and circumstance of service. Go over each issue and how they relate to credibility.</w:t>
            </w:r>
          </w:p>
          <w:p w14:paraId="33F29EB1" w14:textId="77777777" w:rsidR="005F0993" w:rsidRPr="00071D95" w:rsidRDefault="005F0993" w:rsidP="005F0993">
            <w:pPr>
              <w:pStyle w:val="VBABodyText"/>
              <w:rPr>
                <w:color w:val="auto"/>
              </w:rPr>
            </w:pPr>
            <w:r w:rsidRPr="00071D95">
              <w:rPr>
                <w:color w:val="auto"/>
              </w:rPr>
              <w:t>Competent: Competent lay evidence means any evidence not requiring that the proponent have specialized education, training, or experience. Lay evidence is competent if it is provided by a person who has knowledge of facts or circumstances and conveys matters that can be observed and described by a lay person.</w:t>
            </w:r>
          </w:p>
          <w:p w14:paraId="09316C79" w14:textId="77777777" w:rsidR="005F0993" w:rsidRPr="00071D95" w:rsidRDefault="005F0993" w:rsidP="005F0993">
            <w:pPr>
              <w:pStyle w:val="VBABodyText"/>
              <w:rPr>
                <w:color w:val="auto"/>
              </w:rPr>
            </w:pPr>
            <w:r w:rsidRPr="00071D95">
              <w:rPr>
                <w:color w:val="auto"/>
              </w:rPr>
              <w:t>Plausible: Are the veteran’s statements regarding in-service manifestations of injury, disease, or of an event reasonable or otherwise capable of being true?</w:t>
            </w:r>
          </w:p>
          <w:p w14:paraId="33CF9DE0" w14:textId="77777777" w:rsidR="005F0993" w:rsidRPr="00071D95" w:rsidRDefault="005F0993" w:rsidP="005F0993">
            <w:pPr>
              <w:pStyle w:val="VBABodyText"/>
              <w:rPr>
                <w:color w:val="auto"/>
              </w:rPr>
            </w:pPr>
            <w:r w:rsidRPr="00071D95">
              <w:rPr>
                <w:color w:val="auto"/>
              </w:rPr>
              <w:t>Consistent: Is the Veteran consistent with their statement? Are there conflicting statements of record?</w:t>
            </w:r>
          </w:p>
          <w:p w14:paraId="235F41AF" w14:textId="6543012F" w:rsidR="005F0993" w:rsidRPr="00071D95" w:rsidRDefault="005F0993">
            <w:pPr>
              <w:pStyle w:val="VBABodyText"/>
              <w:rPr>
                <w:color w:val="auto"/>
              </w:rPr>
            </w:pPr>
            <w:r w:rsidRPr="00071D95">
              <w:rPr>
                <w:color w:val="auto"/>
              </w:rPr>
              <w:lastRenderedPageBreak/>
              <w:t>Circumstances of Service: Is the Veteran’s statement consistent with their service? The VSR, RVSR or DRO must conclude if the statement is consistent with the circumstances of service.</w:t>
            </w:r>
          </w:p>
        </w:tc>
      </w:tr>
      <w:tr w:rsidR="00071D95" w:rsidRPr="00071D95" w14:paraId="235F41CE" w14:textId="77777777" w:rsidTr="007056E7">
        <w:trPr>
          <w:trHeight w:val="212"/>
        </w:trPr>
        <w:tc>
          <w:tcPr>
            <w:tcW w:w="9777" w:type="dxa"/>
            <w:gridSpan w:val="2"/>
            <w:tcBorders>
              <w:top w:val="nil"/>
              <w:left w:val="nil"/>
              <w:bottom w:val="nil"/>
              <w:right w:val="nil"/>
            </w:tcBorders>
            <w:vAlign w:val="center"/>
          </w:tcPr>
          <w:p w14:paraId="235F41CD" w14:textId="166D5E9F" w:rsidR="002570A6" w:rsidRPr="00071D95" w:rsidRDefault="002570A6" w:rsidP="002E68E8">
            <w:pPr>
              <w:pStyle w:val="VBALessonTopicTitle"/>
              <w:rPr>
                <w:rFonts w:ascii="Times New Roman" w:hAnsi="Times New Roman"/>
                <w:color w:val="auto"/>
              </w:rPr>
            </w:pPr>
            <w:bookmarkStart w:id="38" w:name="_Toc442278447"/>
            <w:r w:rsidRPr="00071D95">
              <w:rPr>
                <w:rFonts w:ascii="Times New Roman" w:hAnsi="Times New Roman"/>
                <w:color w:val="auto"/>
              </w:rPr>
              <w:lastRenderedPageBreak/>
              <w:t xml:space="preserve">Topic 2: </w:t>
            </w:r>
            <w:r w:rsidR="002E68E8" w:rsidRPr="00071D95">
              <w:rPr>
                <w:rFonts w:ascii="Times New Roman" w:hAnsi="Times New Roman"/>
                <w:color w:val="auto"/>
              </w:rPr>
              <w:t>Competent Lay Evidence</w:t>
            </w:r>
            <w:bookmarkEnd w:id="38"/>
          </w:p>
        </w:tc>
      </w:tr>
      <w:tr w:rsidR="00071D95" w:rsidRPr="00071D95" w14:paraId="235F41D1" w14:textId="77777777" w:rsidTr="007056E7">
        <w:trPr>
          <w:trHeight w:val="212"/>
        </w:trPr>
        <w:tc>
          <w:tcPr>
            <w:tcW w:w="2560" w:type="dxa"/>
            <w:tcBorders>
              <w:top w:val="nil"/>
              <w:left w:val="nil"/>
              <w:bottom w:val="nil"/>
              <w:right w:val="nil"/>
            </w:tcBorders>
          </w:tcPr>
          <w:p w14:paraId="235F41CF" w14:textId="77777777" w:rsidR="002570A6" w:rsidRPr="00071D95" w:rsidRDefault="002570A6" w:rsidP="007056E7">
            <w:pPr>
              <w:pStyle w:val="VBALevel1Heading"/>
            </w:pPr>
            <w:r w:rsidRPr="00071D95">
              <w:t>Introduction</w:t>
            </w:r>
          </w:p>
        </w:tc>
        <w:tc>
          <w:tcPr>
            <w:tcW w:w="7217" w:type="dxa"/>
            <w:tcBorders>
              <w:top w:val="nil"/>
              <w:left w:val="nil"/>
              <w:bottom w:val="nil"/>
              <w:right w:val="nil"/>
            </w:tcBorders>
          </w:tcPr>
          <w:p w14:paraId="235F41D0" w14:textId="01ED702B" w:rsidR="002570A6" w:rsidRPr="00071D95" w:rsidRDefault="002570A6" w:rsidP="00544AFF">
            <w:pPr>
              <w:pStyle w:val="VBABodyText"/>
              <w:rPr>
                <w:b/>
                <w:color w:val="auto"/>
              </w:rPr>
            </w:pPr>
            <w:r w:rsidRPr="00071D95">
              <w:rPr>
                <w:color w:val="auto"/>
              </w:rPr>
              <w:t xml:space="preserve">This topic will allow the trainee to </w:t>
            </w:r>
            <w:r w:rsidR="00EB3488" w:rsidRPr="00071D95">
              <w:rPr>
                <w:color w:val="auto"/>
              </w:rPr>
              <w:t>identify competent lay evidence.</w:t>
            </w:r>
          </w:p>
        </w:tc>
      </w:tr>
      <w:tr w:rsidR="00071D95" w:rsidRPr="00071D95" w14:paraId="235F41D4" w14:textId="77777777" w:rsidTr="007056E7">
        <w:trPr>
          <w:trHeight w:val="212"/>
        </w:trPr>
        <w:tc>
          <w:tcPr>
            <w:tcW w:w="2560" w:type="dxa"/>
            <w:tcBorders>
              <w:top w:val="nil"/>
              <w:left w:val="nil"/>
              <w:bottom w:val="nil"/>
              <w:right w:val="nil"/>
            </w:tcBorders>
          </w:tcPr>
          <w:p w14:paraId="235F41D2" w14:textId="77777777" w:rsidR="002570A6" w:rsidRPr="00071D95" w:rsidRDefault="002570A6" w:rsidP="007056E7">
            <w:pPr>
              <w:pStyle w:val="VBALevel1Heading"/>
            </w:pPr>
            <w:r w:rsidRPr="00071D95">
              <w:t>Time Required</w:t>
            </w:r>
          </w:p>
        </w:tc>
        <w:tc>
          <w:tcPr>
            <w:tcW w:w="7217" w:type="dxa"/>
            <w:tcBorders>
              <w:top w:val="nil"/>
              <w:left w:val="nil"/>
              <w:bottom w:val="nil"/>
              <w:right w:val="nil"/>
            </w:tcBorders>
          </w:tcPr>
          <w:p w14:paraId="235F41D3" w14:textId="27B6BA86" w:rsidR="002570A6" w:rsidRPr="00071D95" w:rsidRDefault="00223C7F" w:rsidP="007056E7">
            <w:pPr>
              <w:pStyle w:val="VBATimeReq"/>
              <w:rPr>
                <w:color w:val="auto"/>
              </w:rPr>
            </w:pPr>
            <w:r>
              <w:rPr>
                <w:color w:val="auto"/>
              </w:rPr>
              <w:t>30 minutes</w:t>
            </w:r>
          </w:p>
        </w:tc>
      </w:tr>
      <w:tr w:rsidR="00071D95" w:rsidRPr="00071D95" w14:paraId="235F41DF" w14:textId="77777777" w:rsidTr="007056E7">
        <w:trPr>
          <w:trHeight w:val="212"/>
        </w:trPr>
        <w:tc>
          <w:tcPr>
            <w:tcW w:w="2560" w:type="dxa"/>
            <w:tcBorders>
              <w:top w:val="nil"/>
              <w:left w:val="nil"/>
              <w:bottom w:val="nil"/>
              <w:right w:val="nil"/>
            </w:tcBorders>
          </w:tcPr>
          <w:p w14:paraId="235F41D5" w14:textId="77777777" w:rsidR="002570A6" w:rsidRPr="00071D95" w:rsidRDefault="002570A6" w:rsidP="007056E7">
            <w:pPr>
              <w:pStyle w:val="VBALevel1Heading"/>
            </w:pPr>
            <w:r w:rsidRPr="00071D95">
              <w:t>OBJECTIVES/</w:t>
            </w:r>
            <w:r w:rsidRPr="00071D95">
              <w:br/>
              <w:t>Teaching Points</w:t>
            </w:r>
          </w:p>
          <w:p w14:paraId="235F41D6" w14:textId="77777777" w:rsidR="002570A6" w:rsidRPr="00071D95"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071D95" w:rsidRDefault="002570A6" w:rsidP="007056E7">
            <w:pPr>
              <w:tabs>
                <w:tab w:val="left" w:pos="590"/>
              </w:tabs>
              <w:spacing w:after="120"/>
              <w:rPr>
                <w:szCs w:val="24"/>
              </w:rPr>
            </w:pPr>
            <w:r w:rsidRPr="00071D95">
              <w:rPr>
                <w:szCs w:val="24"/>
              </w:rPr>
              <w:t>Topic objectives:</w:t>
            </w:r>
          </w:p>
          <w:p w14:paraId="235F41D8" w14:textId="3141EDCD" w:rsidR="002570A6" w:rsidRPr="00071D95" w:rsidRDefault="00EB3488" w:rsidP="007056E7">
            <w:pPr>
              <w:numPr>
                <w:ilvl w:val="0"/>
                <w:numId w:val="9"/>
              </w:numPr>
              <w:tabs>
                <w:tab w:val="left" w:pos="590"/>
              </w:tabs>
              <w:spacing w:before="60" w:after="60"/>
              <w:rPr>
                <w:szCs w:val="24"/>
              </w:rPr>
            </w:pPr>
            <w:r w:rsidRPr="00071D95">
              <w:rPr>
                <w:szCs w:val="24"/>
              </w:rPr>
              <w:t>Understand the definition of competent lay evidence.</w:t>
            </w:r>
          </w:p>
          <w:p w14:paraId="235F41D9" w14:textId="5EFA8F60" w:rsidR="002570A6" w:rsidRPr="00071D95" w:rsidRDefault="00EB3488" w:rsidP="007056E7">
            <w:pPr>
              <w:numPr>
                <w:ilvl w:val="0"/>
                <w:numId w:val="9"/>
              </w:numPr>
              <w:tabs>
                <w:tab w:val="left" w:pos="590"/>
              </w:tabs>
              <w:spacing w:before="60" w:after="60"/>
              <w:rPr>
                <w:szCs w:val="24"/>
              </w:rPr>
            </w:pPr>
            <w:r w:rsidRPr="00071D95">
              <w:rPr>
                <w:szCs w:val="24"/>
              </w:rPr>
              <w:t>Be able to determine what a claimant is competent or qualified to provide in a statement about their disability</w:t>
            </w:r>
          </w:p>
          <w:p w14:paraId="235F41DB" w14:textId="77777777" w:rsidR="002570A6" w:rsidRPr="00071D95" w:rsidRDefault="002570A6" w:rsidP="007056E7">
            <w:pPr>
              <w:tabs>
                <w:tab w:val="left" w:pos="590"/>
              </w:tabs>
              <w:spacing w:after="120"/>
              <w:rPr>
                <w:bCs/>
                <w:szCs w:val="24"/>
              </w:rPr>
            </w:pPr>
            <w:r w:rsidRPr="00071D95">
              <w:rPr>
                <w:szCs w:val="24"/>
              </w:rPr>
              <w:t>The following topic teaching points support the topic objectives</w:t>
            </w:r>
            <w:r w:rsidRPr="00071D95">
              <w:rPr>
                <w:bCs/>
                <w:szCs w:val="24"/>
              </w:rPr>
              <w:t xml:space="preserve">: </w:t>
            </w:r>
          </w:p>
          <w:p w14:paraId="235F41DC" w14:textId="61E3C7A8" w:rsidR="002570A6" w:rsidRPr="00071D95" w:rsidRDefault="00EB3488" w:rsidP="007056E7">
            <w:pPr>
              <w:numPr>
                <w:ilvl w:val="0"/>
                <w:numId w:val="9"/>
              </w:numPr>
              <w:tabs>
                <w:tab w:val="left" w:pos="590"/>
              </w:tabs>
              <w:spacing w:after="60"/>
              <w:rPr>
                <w:szCs w:val="24"/>
              </w:rPr>
            </w:pPr>
            <w:r w:rsidRPr="00071D95">
              <w:rPr>
                <w:szCs w:val="24"/>
              </w:rPr>
              <w:t>38 CFR 3.159(a)(2)</w:t>
            </w:r>
          </w:p>
          <w:p w14:paraId="235F41DD" w14:textId="35739617" w:rsidR="002570A6" w:rsidRPr="00071D95" w:rsidRDefault="00EB3488" w:rsidP="007056E7">
            <w:pPr>
              <w:numPr>
                <w:ilvl w:val="0"/>
                <w:numId w:val="9"/>
              </w:numPr>
              <w:tabs>
                <w:tab w:val="left" w:pos="590"/>
              </w:tabs>
              <w:spacing w:before="60" w:after="60"/>
              <w:rPr>
                <w:szCs w:val="24"/>
              </w:rPr>
            </w:pPr>
            <w:r w:rsidRPr="00071D95">
              <w:rPr>
                <w:szCs w:val="24"/>
              </w:rPr>
              <w:t>What a Veteran is competent to provide in a statement</w:t>
            </w:r>
          </w:p>
          <w:p w14:paraId="32EFD2B7" w14:textId="245EE70F" w:rsidR="00EB3488" w:rsidRPr="00071D95" w:rsidRDefault="00EB3488" w:rsidP="007056E7">
            <w:pPr>
              <w:numPr>
                <w:ilvl w:val="0"/>
                <w:numId w:val="9"/>
              </w:numPr>
              <w:tabs>
                <w:tab w:val="left" w:pos="590"/>
              </w:tabs>
              <w:spacing w:before="60" w:after="60"/>
              <w:rPr>
                <w:szCs w:val="24"/>
              </w:rPr>
            </w:pPr>
            <w:r w:rsidRPr="00071D95">
              <w:rPr>
                <w:szCs w:val="24"/>
              </w:rPr>
              <w:t>When Lay statements are considered competent or qualified</w:t>
            </w:r>
          </w:p>
          <w:p w14:paraId="235F41DE" w14:textId="4944D253" w:rsidR="002570A6" w:rsidRPr="00071D95" w:rsidRDefault="002570A6" w:rsidP="00EB3488">
            <w:pPr>
              <w:tabs>
                <w:tab w:val="left" w:pos="590"/>
              </w:tabs>
              <w:spacing w:before="60" w:after="60"/>
              <w:ind w:left="720"/>
              <w:rPr>
                <w:szCs w:val="24"/>
              </w:rPr>
            </w:pPr>
          </w:p>
        </w:tc>
      </w:tr>
      <w:tr w:rsidR="00071D95" w:rsidRPr="00071D95" w14:paraId="235F41E4" w14:textId="77777777" w:rsidTr="007056E7">
        <w:trPr>
          <w:trHeight w:val="212"/>
        </w:trPr>
        <w:tc>
          <w:tcPr>
            <w:tcW w:w="2560" w:type="dxa"/>
            <w:tcBorders>
              <w:top w:val="nil"/>
              <w:left w:val="nil"/>
              <w:bottom w:val="nil"/>
              <w:right w:val="nil"/>
            </w:tcBorders>
          </w:tcPr>
          <w:p w14:paraId="7830720E" w14:textId="4C37994A" w:rsidR="002E68E8" w:rsidRPr="00071D95" w:rsidRDefault="002E68E8" w:rsidP="00A35C2D">
            <w:pPr>
              <w:pStyle w:val="VBALevel2Heading"/>
              <w:rPr>
                <w:color w:val="auto"/>
              </w:rPr>
            </w:pPr>
            <w:r w:rsidRPr="00071D95">
              <w:rPr>
                <w:color w:val="auto"/>
              </w:rPr>
              <w:t>Definition of Competent Lay Evidence</w:t>
            </w:r>
            <w:r w:rsidR="00EB3488" w:rsidRPr="00071D95">
              <w:rPr>
                <w:color w:val="auto"/>
              </w:rPr>
              <w:t xml:space="preserve"> </w:t>
            </w:r>
            <w:r w:rsidRPr="00071D95">
              <w:rPr>
                <w:color w:val="auto"/>
              </w:rPr>
              <w:t>Regulation</w:t>
            </w:r>
            <w:r w:rsidRPr="00071D95">
              <w:rPr>
                <w:color w:val="auto"/>
              </w:rPr>
              <w:br/>
            </w:r>
          </w:p>
          <w:p w14:paraId="75946E88" w14:textId="640ADC65" w:rsidR="002E68E8" w:rsidRPr="00071D95" w:rsidRDefault="002E68E8" w:rsidP="00A35C2D">
            <w:pPr>
              <w:pStyle w:val="VBASlideNumber"/>
              <w:rPr>
                <w:color w:val="auto"/>
              </w:rPr>
            </w:pPr>
            <w:r w:rsidRPr="00071D95">
              <w:rPr>
                <w:color w:val="auto"/>
              </w:rPr>
              <w:t xml:space="preserve">Slide </w:t>
            </w:r>
            <w:r w:rsidR="00F60DBC" w:rsidRPr="00071D95">
              <w:rPr>
                <w:color w:val="auto"/>
              </w:rPr>
              <w:t>7</w:t>
            </w:r>
            <w:r w:rsidRPr="00071D95">
              <w:rPr>
                <w:color w:val="auto"/>
              </w:rPr>
              <w:br/>
            </w:r>
          </w:p>
          <w:p w14:paraId="235F41E2" w14:textId="46F4A874" w:rsidR="002E68E8" w:rsidRPr="00071D95" w:rsidRDefault="002E68E8" w:rsidP="00F4252E">
            <w:pPr>
              <w:pStyle w:val="VBAHandoutNumber"/>
              <w:rPr>
                <w:color w:val="auto"/>
              </w:rPr>
            </w:pPr>
            <w:r w:rsidRPr="00071D95">
              <w:rPr>
                <w:color w:val="auto"/>
              </w:rPr>
              <w:t xml:space="preserve">Handout </w:t>
            </w:r>
            <w:r w:rsidR="00F4252E">
              <w:rPr>
                <w:color w:val="auto"/>
              </w:rPr>
              <w:t>5</w:t>
            </w:r>
          </w:p>
        </w:tc>
        <w:tc>
          <w:tcPr>
            <w:tcW w:w="7217" w:type="dxa"/>
            <w:tcBorders>
              <w:top w:val="nil"/>
              <w:left w:val="nil"/>
              <w:bottom w:val="nil"/>
              <w:right w:val="nil"/>
            </w:tcBorders>
          </w:tcPr>
          <w:p w14:paraId="4331F496" w14:textId="007DEC43" w:rsidR="00EB3488" w:rsidRPr="00071D95" w:rsidRDefault="00EB3488" w:rsidP="00A35C2D">
            <w:r w:rsidRPr="00071D95">
              <w:t xml:space="preserve">Go over the definition of </w:t>
            </w:r>
            <w:r w:rsidR="00540E19" w:rsidRPr="00071D95">
              <w:t>competent</w:t>
            </w:r>
            <w:r w:rsidRPr="00071D95">
              <w:t xml:space="preserve"> lay evidence with the trainees.</w:t>
            </w:r>
          </w:p>
          <w:p w14:paraId="60687014" w14:textId="31632291" w:rsidR="002E68E8" w:rsidRPr="00071D95" w:rsidRDefault="002E68E8" w:rsidP="00A35C2D">
            <w:r w:rsidRPr="00071D95">
              <w:t>38 CFR §3.159</w:t>
            </w:r>
            <w:r w:rsidR="00EB3488" w:rsidRPr="00071D95">
              <w:t xml:space="preserve">(a)(2), </w:t>
            </w:r>
            <w:r w:rsidRPr="00071D95">
              <w:t xml:space="preserve">Department of Veterans Affairs </w:t>
            </w:r>
            <w:r w:rsidR="00EB3488" w:rsidRPr="00071D95">
              <w:t>assistance in developing claims states the definition of competent lay evidence as:</w:t>
            </w:r>
          </w:p>
          <w:p w14:paraId="53B4145C" w14:textId="77777777" w:rsidR="002E68E8" w:rsidRPr="00071D95" w:rsidRDefault="002E68E8" w:rsidP="00EB3488">
            <w:r w:rsidRPr="00071D95">
              <w:rPr>
                <w:i/>
                <w:iCs/>
              </w:rPr>
              <w:t>Competent lay evidence</w:t>
            </w:r>
            <w:r w:rsidRPr="00071D95">
              <w:t xml:space="preserve"> means any evidence not requiring that the proponent have specialized education, training, or experience. Lay evidence is competent if it is provided by a person who has knowledge of facts or circumstances and conveys matters that can be observed and described by a lay person.</w:t>
            </w:r>
          </w:p>
          <w:p w14:paraId="235F41E3" w14:textId="3E7DF98B" w:rsidR="00EB3488" w:rsidRPr="00071D95" w:rsidRDefault="00EB3488" w:rsidP="00EB3488"/>
        </w:tc>
      </w:tr>
      <w:tr w:rsidR="002E68E8" w:rsidRPr="00071D95" w14:paraId="235F41E9" w14:textId="77777777" w:rsidTr="007056E7">
        <w:trPr>
          <w:trHeight w:val="212"/>
        </w:trPr>
        <w:tc>
          <w:tcPr>
            <w:tcW w:w="2560" w:type="dxa"/>
            <w:tcBorders>
              <w:top w:val="nil"/>
              <w:left w:val="nil"/>
              <w:bottom w:val="nil"/>
              <w:right w:val="nil"/>
            </w:tcBorders>
          </w:tcPr>
          <w:p w14:paraId="20EB76FF" w14:textId="77777777" w:rsidR="00EB3488" w:rsidRPr="00071D95" w:rsidRDefault="00EB3488" w:rsidP="00EB3488">
            <w:pPr>
              <w:pStyle w:val="VBALevel2Heading"/>
              <w:spacing w:before="0"/>
              <w:rPr>
                <w:color w:val="auto"/>
              </w:rPr>
            </w:pPr>
          </w:p>
          <w:p w14:paraId="696B6CDE" w14:textId="0440DDC5" w:rsidR="002E68E8" w:rsidRPr="00071D95" w:rsidRDefault="002E68E8" w:rsidP="00EB3488">
            <w:pPr>
              <w:pStyle w:val="VBALevel2Heading"/>
              <w:spacing w:before="0"/>
              <w:rPr>
                <w:bCs/>
                <w:i/>
                <w:color w:val="auto"/>
              </w:rPr>
            </w:pPr>
            <w:r w:rsidRPr="00071D95">
              <w:rPr>
                <w:color w:val="auto"/>
              </w:rPr>
              <w:t>Competent Lay Statements</w:t>
            </w:r>
            <w:r w:rsidRPr="00071D95">
              <w:rPr>
                <w:color w:val="auto"/>
              </w:rPr>
              <w:br/>
            </w:r>
          </w:p>
          <w:p w14:paraId="593C6FFE" w14:textId="3F66CC0D" w:rsidR="002E68E8" w:rsidRPr="00071D95" w:rsidRDefault="00F60DBC" w:rsidP="00A35C2D">
            <w:pPr>
              <w:pStyle w:val="VBASlideNumber"/>
              <w:rPr>
                <w:color w:val="auto"/>
              </w:rPr>
            </w:pPr>
            <w:r w:rsidRPr="00071D95">
              <w:rPr>
                <w:color w:val="auto"/>
              </w:rPr>
              <w:t>Slides 8-10</w:t>
            </w:r>
            <w:r w:rsidR="002E68E8" w:rsidRPr="00071D95">
              <w:rPr>
                <w:color w:val="auto"/>
              </w:rPr>
              <w:br/>
            </w:r>
          </w:p>
          <w:p w14:paraId="235F41E7" w14:textId="062E3EC8" w:rsidR="00361ED4" w:rsidRDefault="002E68E8" w:rsidP="00EC7CBD">
            <w:pPr>
              <w:pStyle w:val="VBAHandoutNumber"/>
              <w:rPr>
                <w:color w:val="auto"/>
              </w:rPr>
            </w:pPr>
            <w:r w:rsidRPr="00071D95">
              <w:rPr>
                <w:color w:val="auto"/>
              </w:rPr>
              <w:t xml:space="preserve">Handout </w:t>
            </w:r>
            <w:r w:rsidR="00EC7CBD">
              <w:rPr>
                <w:color w:val="auto"/>
              </w:rPr>
              <w:t>5</w:t>
            </w:r>
          </w:p>
          <w:p w14:paraId="3FB24CE5" w14:textId="77777777" w:rsidR="00361ED4" w:rsidRPr="00361ED4" w:rsidRDefault="00361ED4" w:rsidP="00361ED4"/>
          <w:p w14:paraId="372B2D1D" w14:textId="363CC8AE" w:rsidR="00361ED4" w:rsidRDefault="00361ED4" w:rsidP="00361ED4"/>
          <w:p w14:paraId="54EB8CBB" w14:textId="77777777" w:rsidR="002E68E8" w:rsidRPr="00361ED4" w:rsidRDefault="002E68E8" w:rsidP="00361ED4">
            <w:pPr>
              <w:ind w:firstLine="720"/>
            </w:pPr>
          </w:p>
        </w:tc>
        <w:tc>
          <w:tcPr>
            <w:tcW w:w="7217" w:type="dxa"/>
            <w:tcBorders>
              <w:top w:val="nil"/>
              <w:left w:val="nil"/>
              <w:bottom w:val="nil"/>
              <w:right w:val="nil"/>
            </w:tcBorders>
          </w:tcPr>
          <w:p w14:paraId="0A3998A4" w14:textId="1B1FBC18" w:rsidR="002E68E8" w:rsidRPr="00071D95" w:rsidRDefault="00EB3488" w:rsidP="00A35C2D">
            <w:pPr>
              <w:spacing w:before="240" w:after="240"/>
            </w:pPr>
            <w:r w:rsidRPr="00071D95">
              <w:t xml:space="preserve">Clarify what a Veteran can provide in a lay statement. </w:t>
            </w:r>
            <w:r w:rsidR="002E68E8" w:rsidRPr="00071D95">
              <w:t xml:space="preserve">A claimant is competent (qualified) to describe </w:t>
            </w:r>
            <w:r w:rsidR="002E68E8" w:rsidRPr="00071D95">
              <w:rPr>
                <w:u w:val="single"/>
              </w:rPr>
              <w:t>symptoms</w:t>
            </w:r>
            <w:r w:rsidR="002E68E8" w:rsidRPr="00071D95">
              <w:t xml:space="preserve"> of a disability that he or she is experiencing but he or she may not be competent to </w:t>
            </w:r>
            <w:r w:rsidR="002E68E8" w:rsidRPr="00071D95">
              <w:rPr>
                <w:u w:val="single"/>
              </w:rPr>
              <w:t>diagnose</w:t>
            </w:r>
            <w:r w:rsidR="002E68E8" w:rsidRPr="00071D95">
              <w:t xml:space="preserve"> their own medical condition or offer a medical opinion.</w:t>
            </w:r>
          </w:p>
          <w:p w14:paraId="5EA1923C" w14:textId="77777777" w:rsidR="002E68E8" w:rsidRPr="00071D95" w:rsidRDefault="002E68E8" w:rsidP="00A35C2D">
            <w:pPr>
              <w:spacing w:before="240" w:after="240"/>
              <w:rPr>
                <w:bCs/>
              </w:rPr>
            </w:pPr>
            <w:r w:rsidRPr="00071D95">
              <w:rPr>
                <w:bCs/>
              </w:rPr>
              <w:t>Competent or Qualified Lay Statements are sufficient when:</w:t>
            </w:r>
          </w:p>
          <w:p w14:paraId="7773ECA6" w14:textId="77777777" w:rsidR="002E68E8" w:rsidRPr="00071D95" w:rsidRDefault="002E68E8" w:rsidP="00A35C2D">
            <w:pPr>
              <w:numPr>
                <w:ilvl w:val="0"/>
                <w:numId w:val="22"/>
              </w:numPr>
              <w:spacing w:before="240" w:after="240"/>
              <w:rPr>
                <w:bCs/>
              </w:rPr>
            </w:pPr>
            <w:r w:rsidRPr="00071D95">
              <w:rPr>
                <w:bCs/>
              </w:rPr>
              <w:t>A layperson is competent to identify the medical condition</w:t>
            </w:r>
          </w:p>
          <w:p w14:paraId="354A88E0" w14:textId="77777777" w:rsidR="002E68E8" w:rsidRPr="00071D95" w:rsidRDefault="002E68E8" w:rsidP="00A35C2D">
            <w:pPr>
              <w:numPr>
                <w:ilvl w:val="0"/>
                <w:numId w:val="22"/>
              </w:numPr>
              <w:spacing w:before="240" w:after="240"/>
              <w:rPr>
                <w:bCs/>
              </w:rPr>
            </w:pPr>
            <w:r w:rsidRPr="00071D95">
              <w:rPr>
                <w:bCs/>
              </w:rPr>
              <w:t>A layperson is reporting contemporaneous medical diagnosis</w:t>
            </w:r>
          </w:p>
          <w:p w14:paraId="0771DADC" w14:textId="77777777" w:rsidR="002E68E8" w:rsidRPr="00071D95" w:rsidRDefault="002E68E8" w:rsidP="00A35C2D">
            <w:pPr>
              <w:numPr>
                <w:ilvl w:val="0"/>
                <w:numId w:val="22"/>
              </w:numPr>
              <w:spacing w:before="240" w:after="240"/>
              <w:rPr>
                <w:bCs/>
              </w:rPr>
            </w:pPr>
            <w:r w:rsidRPr="00071D95">
              <w:rPr>
                <w:bCs/>
              </w:rPr>
              <w:t>Or, lay testimony describing symptoms at the time supports a later diagnosis by a medical professional.</w:t>
            </w:r>
          </w:p>
          <w:p w14:paraId="235F41E8" w14:textId="35E5E976" w:rsidR="002E68E8" w:rsidRPr="00071D95" w:rsidRDefault="002E68E8" w:rsidP="002E68E8">
            <w:r w:rsidRPr="00071D95">
              <w:lastRenderedPageBreak/>
              <w:t xml:space="preserve">Go over examples of competent and qualified statements, which are listed in the PowerPoint. </w:t>
            </w:r>
          </w:p>
        </w:tc>
      </w:tr>
    </w:tbl>
    <w:p w14:paraId="235F4200" w14:textId="1EC2E509" w:rsidR="002570A6" w:rsidRPr="00071D95" w:rsidRDefault="002570A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071D95" w:rsidRPr="00071D95" w14:paraId="235F4202" w14:textId="77777777" w:rsidTr="007056E7">
        <w:trPr>
          <w:trHeight w:val="212"/>
        </w:trPr>
        <w:tc>
          <w:tcPr>
            <w:tcW w:w="9777" w:type="dxa"/>
            <w:gridSpan w:val="2"/>
            <w:tcBorders>
              <w:top w:val="nil"/>
              <w:left w:val="nil"/>
              <w:bottom w:val="nil"/>
              <w:right w:val="nil"/>
            </w:tcBorders>
            <w:vAlign w:val="center"/>
          </w:tcPr>
          <w:p w14:paraId="235F4201" w14:textId="15FC8FC0" w:rsidR="002570A6" w:rsidRPr="00071D95" w:rsidRDefault="002570A6" w:rsidP="002E68E8">
            <w:pPr>
              <w:pStyle w:val="VBALessonTopicTitle"/>
              <w:rPr>
                <w:rFonts w:ascii="Times New Roman" w:hAnsi="Times New Roman"/>
                <w:color w:val="auto"/>
              </w:rPr>
            </w:pPr>
            <w:bookmarkStart w:id="39" w:name="_Toc442278448"/>
            <w:r w:rsidRPr="00071D95">
              <w:rPr>
                <w:rFonts w:ascii="Times New Roman" w:hAnsi="Times New Roman"/>
                <w:color w:val="auto"/>
              </w:rPr>
              <w:t xml:space="preserve">Topic 3: </w:t>
            </w:r>
            <w:r w:rsidR="002E68E8" w:rsidRPr="00071D95">
              <w:rPr>
                <w:rFonts w:ascii="Times New Roman" w:hAnsi="Times New Roman"/>
                <w:color w:val="auto"/>
              </w:rPr>
              <w:t>Plausibility</w:t>
            </w:r>
            <w:bookmarkEnd w:id="39"/>
          </w:p>
        </w:tc>
      </w:tr>
      <w:tr w:rsidR="00071D95" w:rsidRPr="00071D95" w14:paraId="235F4205" w14:textId="77777777" w:rsidTr="007056E7">
        <w:trPr>
          <w:trHeight w:val="212"/>
        </w:trPr>
        <w:tc>
          <w:tcPr>
            <w:tcW w:w="2560" w:type="dxa"/>
            <w:tcBorders>
              <w:top w:val="nil"/>
              <w:left w:val="nil"/>
              <w:bottom w:val="nil"/>
              <w:right w:val="nil"/>
            </w:tcBorders>
          </w:tcPr>
          <w:p w14:paraId="235F4203" w14:textId="77777777" w:rsidR="002570A6" w:rsidRPr="00071D95" w:rsidRDefault="002570A6" w:rsidP="007056E7">
            <w:pPr>
              <w:pStyle w:val="VBALevel1Heading"/>
            </w:pPr>
            <w:r w:rsidRPr="00071D95">
              <w:t>Introduction</w:t>
            </w:r>
          </w:p>
        </w:tc>
        <w:tc>
          <w:tcPr>
            <w:tcW w:w="7217" w:type="dxa"/>
            <w:tcBorders>
              <w:top w:val="nil"/>
              <w:left w:val="nil"/>
              <w:bottom w:val="nil"/>
              <w:right w:val="nil"/>
            </w:tcBorders>
          </w:tcPr>
          <w:p w14:paraId="235F4204" w14:textId="1EE161A5" w:rsidR="002570A6" w:rsidRPr="00071D95" w:rsidRDefault="002570A6" w:rsidP="004C1CC1">
            <w:pPr>
              <w:pStyle w:val="VBABodyText"/>
              <w:rPr>
                <w:b/>
                <w:color w:val="auto"/>
              </w:rPr>
            </w:pPr>
            <w:r w:rsidRPr="00071D95">
              <w:rPr>
                <w:color w:val="auto"/>
              </w:rPr>
              <w:t>This top</w:t>
            </w:r>
            <w:r w:rsidR="00730D29" w:rsidRPr="00071D95">
              <w:rPr>
                <w:color w:val="auto"/>
              </w:rPr>
              <w:t xml:space="preserve">ic will allow the trainee to determine the plausibility of a </w:t>
            </w:r>
            <w:r w:rsidR="004C1CC1" w:rsidRPr="00071D95">
              <w:rPr>
                <w:color w:val="auto"/>
              </w:rPr>
              <w:t>lay</w:t>
            </w:r>
            <w:r w:rsidR="00F81D87" w:rsidRPr="00071D95">
              <w:rPr>
                <w:color w:val="auto"/>
              </w:rPr>
              <w:t xml:space="preserve"> statement.</w:t>
            </w:r>
          </w:p>
        </w:tc>
      </w:tr>
      <w:tr w:rsidR="00071D95" w:rsidRPr="00071D95" w14:paraId="235F4208" w14:textId="77777777" w:rsidTr="007056E7">
        <w:trPr>
          <w:trHeight w:val="212"/>
        </w:trPr>
        <w:tc>
          <w:tcPr>
            <w:tcW w:w="2560" w:type="dxa"/>
            <w:tcBorders>
              <w:top w:val="nil"/>
              <w:left w:val="nil"/>
              <w:bottom w:val="nil"/>
              <w:right w:val="nil"/>
            </w:tcBorders>
          </w:tcPr>
          <w:p w14:paraId="235F4206" w14:textId="77777777" w:rsidR="002570A6" w:rsidRPr="00071D95" w:rsidRDefault="002570A6" w:rsidP="007056E7">
            <w:pPr>
              <w:pStyle w:val="VBALevel1Heading"/>
            </w:pPr>
            <w:r w:rsidRPr="00071D95">
              <w:t>Time Required</w:t>
            </w:r>
          </w:p>
        </w:tc>
        <w:tc>
          <w:tcPr>
            <w:tcW w:w="7217" w:type="dxa"/>
            <w:tcBorders>
              <w:top w:val="nil"/>
              <w:left w:val="nil"/>
              <w:bottom w:val="nil"/>
              <w:right w:val="nil"/>
            </w:tcBorders>
          </w:tcPr>
          <w:p w14:paraId="235F4207" w14:textId="768D1799" w:rsidR="002570A6" w:rsidRPr="00071D95" w:rsidRDefault="00223C7F" w:rsidP="007056E7">
            <w:pPr>
              <w:pStyle w:val="VBATimeReq"/>
              <w:rPr>
                <w:color w:val="auto"/>
              </w:rPr>
            </w:pPr>
            <w:r>
              <w:rPr>
                <w:color w:val="auto"/>
              </w:rPr>
              <w:t>30 minutes</w:t>
            </w:r>
          </w:p>
        </w:tc>
      </w:tr>
      <w:tr w:rsidR="00071D95" w:rsidRPr="00071D95" w14:paraId="235F4213" w14:textId="77777777" w:rsidTr="007056E7">
        <w:trPr>
          <w:trHeight w:val="212"/>
        </w:trPr>
        <w:tc>
          <w:tcPr>
            <w:tcW w:w="2560" w:type="dxa"/>
            <w:tcBorders>
              <w:top w:val="nil"/>
              <w:left w:val="nil"/>
              <w:bottom w:val="nil"/>
              <w:right w:val="nil"/>
            </w:tcBorders>
          </w:tcPr>
          <w:p w14:paraId="235F4209" w14:textId="77777777" w:rsidR="002570A6" w:rsidRPr="00071D95" w:rsidRDefault="002570A6" w:rsidP="007056E7">
            <w:pPr>
              <w:pStyle w:val="VBALevel1Heading"/>
            </w:pPr>
            <w:r w:rsidRPr="00071D95">
              <w:t>OBJECTIVES/</w:t>
            </w:r>
            <w:r w:rsidRPr="00071D95">
              <w:br/>
              <w:t>Teaching Points</w:t>
            </w:r>
          </w:p>
          <w:p w14:paraId="235F420A" w14:textId="77777777" w:rsidR="002570A6" w:rsidRPr="00071D95"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235F420B" w14:textId="77777777" w:rsidR="002570A6" w:rsidRPr="00071D95" w:rsidRDefault="002570A6" w:rsidP="007056E7">
            <w:pPr>
              <w:tabs>
                <w:tab w:val="left" w:pos="590"/>
              </w:tabs>
              <w:spacing w:after="120"/>
              <w:rPr>
                <w:szCs w:val="24"/>
              </w:rPr>
            </w:pPr>
            <w:r w:rsidRPr="00071D95">
              <w:rPr>
                <w:szCs w:val="24"/>
              </w:rPr>
              <w:t>Topic objectives:</w:t>
            </w:r>
          </w:p>
          <w:p w14:paraId="235F420C" w14:textId="00416C9C" w:rsidR="002570A6" w:rsidRPr="00071D95" w:rsidRDefault="004C1CC1" w:rsidP="007056E7">
            <w:pPr>
              <w:numPr>
                <w:ilvl w:val="0"/>
                <w:numId w:val="9"/>
              </w:numPr>
              <w:tabs>
                <w:tab w:val="left" w:pos="590"/>
              </w:tabs>
              <w:spacing w:before="60" w:after="60"/>
              <w:rPr>
                <w:szCs w:val="24"/>
              </w:rPr>
            </w:pPr>
            <w:r w:rsidRPr="00071D95">
              <w:rPr>
                <w:szCs w:val="24"/>
              </w:rPr>
              <w:t>Determine if a lay statement is worthy of belief</w:t>
            </w:r>
          </w:p>
          <w:p w14:paraId="235F420D" w14:textId="4A4230F3" w:rsidR="002570A6" w:rsidRPr="00071D95" w:rsidRDefault="004C1CC1" w:rsidP="007056E7">
            <w:pPr>
              <w:numPr>
                <w:ilvl w:val="0"/>
                <w:numId w:val="9"/>
              </w:numPr>
              <w:tabs>
                <w:tab w:val="left" w:pos="590"/>
              </w:tabs>
              <w:spacing w:before="60" w:after="60"/>
              <w:rPr>
                <w:szCs w:val="24"/>
              </w:rPr>
            </w:pPr>
            <w:r w:rsidRPr="00071D95">
              <w:rPr>
                <w:szCs w:val="24"/>
              </w:rPr>
              <w:t>Decide if a statement is inherently incredible</w:t>
            </w:r>
          </w:p>
          <w:p w14:paraId="235F420F" w14:textId="77777777" w:rsidR="002570A6" w:rsidRPr="00071D95" w:rsidRDefault="002570A6" w:rsidP="007056E7">
            <w:pPr>
              <w:tabs>
                <w:tab w:val="left" w:pos="590"/>
              </w:tabs>
              <w:spacing w:after="120"/>
              <w:rPr>
                <w:bCs/>
                <w:szCs w:val="24"/>
              </w:rPr>
            </w:pPr>
            <w:r w:rsidRPr="00071D95">
              <w:rPr>
                <w:szCs w:val="24"/>
              </w:rPr>
              <w:t>The following topic teaching points support the topic objectives</w:t>
            </w:r>
            <w:r w:rsidRPr="00071D95">
              <w:rPr>
                <w:bCs/>
                <w:szCs w:val="24"/>
              </w:rPr>
              <w:t xml:space="preserve">: </w:t>
            </w:r>
          </w:p>
          <w:p w14:paraId="54B27B67" w14:textId="77777777" w:rsidR="004C1CC1" w:rsidRPr="00071D95" w:rsidRDefault="004C1CC1" w:rsidP="007056E7">
            <w:pPr>
              <w:numPr>
                <w:ilvl w:val="0"/>
                <w:numId w:val="9"/>
              </w:numPr>
              <w:tabs>
                <w:tab w:val="left" w:pos="590"/>
              </w:tabs>
              <w:spacing w:after="60"/>
              <w:rPr>
                <w:szCs w:val="24"/>
              </w:rPr>
            </w:pPr>
            <w:r w:rsidRPr="00071D95">
              <w:rPr>
                <w:szCs w:val="24"/>
              </w:rPr>
              <w:t xml:space="preserve">38 CFR 3.159(d) </w:t>
            </w:r>
          </w:p>
          <w:p w14:paraId="235F4212" w14:textId="7D5D51FF" w:rsidR="002570A6" w:rsidRPr="001446A7" w:rsidRDefault="004C1CC1" w:rsidP="001446A7">
            <w:pPr>
              <w:numPr>
                <w:ilvl w:val="0"/>
                <w:numId w:val="9"/>
              </w:numPr>
              <w:tabs>
                <w:tab w:val="left" w:pos="590"/>
              </w:tabs>
              <w:spacing w:after="60"/>
              <w:rPr>
                <w:szCs w:val="24"/>
              </w:rPr>
            </w:pPr>
            <w:r w:rsidRPr="00071D95">
              <w:rPr>
                <w:szCs w:val="24"/>
              </w:rPr>
              <w:t>Authority to determine a claim’s believability</w:t>
            </w:r>
          </w:p>
        </w:tc>
      </w:tr>
      <w:tr w:rsidR="00071D95" w:rsidRPr="00071D95" w14:paraId="235F4218" w14:textId="77777777" w:rsidTr="007056E7">
        <w:trPr>
          <w:trHeight w:val="212"/>
        </w:trPr>
        <w:tc>
          <w:tcPr>
            <w:tcW w:w="2560" w:type="dxa"/>
            <w:tcBorders>
              <w:top w:val="nil"/>
              <w:left w:val="nil"/>
              <w:bottom w:val="nil"/>
              <w:right w:val="nil"/>
            </w:tcBorders>
          </w:tcPr>
          <w:p w14:paraId="7E5B3B3F" w14:textId="77777777" w:rsidR="001446A7" w:rsidRDefault="001446A7" w:rsidP="001446A7">
            <w:pPr>
              <w:pStyle w:val="VBALevel2Heading"/>
              <w:spacing w:before="0"/>
              <w:rPr>
                <w:color w:val="auto"/>
              </w:rPr>
            </w:pPr>
          </w:p>
          <w:p w14:paraId="235F4214" w14:textId="0CFCE21E" w:rsidR="002570A6" w:rsidRPr="00071D95" w:rsidRDefault="002E68E8" w:rsidP="001446A7">
            <w:pPr>
              <w:pStyle w:val="VBALevel2Heading"/>
              <w:spacing w:before="0"/>
              <w:rPr>
                <w:bCs/>
                <w:i/>
                <w:color w:val="auto"/>
              </w:rPr>
            </w:pPr>
            <w:r w:rsidRPr="00071D95">
              <w:rPr>
                <w:color w:val="auto"/>
              </w:rPr>
              <w:t>Definition of Plausibility</w:t>
            </w:r>
            <w:r w:rsidR="002570A6" w:rsidRPr="00071D95">
              <w:rPr>
                <w:color w:val="auto"/>
              </w:rPr>
              <w:br/>
            </w:r>
          </w:p>
          <w:p w14:paraId="235F4215" w14:textId="744CD549" w:rsidR="002570A6" w:rsidRPr="00071D95" w:rsidRDefault="00F60DBC" w:rsidP="001446A7">
            <w:pPr>
              <w:pStyle w:val="VBASlideNumber"/>
              <w:spacing w:before="0"/>
              <w:rPr>
                <w:color w:val="auto"/>
              </w:rPr>
            </w:pPr>
            <w:r w:rsidRPr="00071D95">
              <w:rPr>
                <w:color w:val="auto"/>
              </w:rPr>
              <w:t>Slide 11</w:t>
            </w:r>
            <w:r w:rsidR="002570A6" w:rsidRPr="00071D95">
              <w:rPr>
                <w:color w:val="auto"/>
              </w:rPr>
              <w:br/>
            </w:r>
          </w:p>
          <w:p w14:paraId="235F4216" w14:textId="7C18A80D" w:rsidR="002570A6" w:rsidRPr="00071D95" w:rsidRDefault="002570A6" w:rsidP="001446A7">
            <w:pPr>
              <w:pStyle w:val="VBAHandoutNumber"/>
              <w:spacing w:before="0"/>
              <w:rPr>
                <w:color w:val="auto"/>
              </w:rPr>
            </w:pPr>
            <w:r w:rsidRPr="00071D95">
              <w:rPr>
                <w:color w:val="auto"/>
              </w:rPr>
              <w:t xml:space="preserve">Handout </w:t>
            </w:r>
            <w:r w:rsidR="001C312C">
              <w:rPr>
                <w:color w:val="auto"/>
              </w:rPr>
              <w:t>6</w:t>
            </w:r>
          </w:p>
        </w:tc>
        <w:tc>
          <w:tcPr>
            <w:tcW w:w="7217" w:type="dxa"/>
            <w:tcBorders>
              <w:top w:val="nil"/>
              <w:left w:val="nil"/>
              <w:bottom w:val="nil"/>
              <w:right w:val="nil"/>
            </w:tcBorders>
          </w:tcPr>
          <w:p w14:paraId="02D8BDF7" w14:textId="77777777" w:rsidR="001446A7" w:rsidRDefault="001446A7" w:rsidP="001446A7">
            <w:pPr>
              <w:pStyle w:val="VBABodyText"/>
              <w:spacing w:before="0" w:after="0"/>
              <w:rPr>
                <w:color w:val="auto"/>
              </w:rPr>
            </w:pPr>
          </w:p>
          <w:p w14:paraId="26A6F9A1" w14:textId="6363D6A4" w:rsidR="002E68E8" w:rsidRPr="00071D95" w:rsidRDefault="005F2B99" w:rsidP="001446A7">
            <w:pPr>
              <w:pStyle w:val="VBABodyText"/>
              <w:spacing w:before="0" w:after="0"/>
              <w:rPr>
                <w:color w:val="auto"/>
              </w:rPr>
            </w:pPr>
            <w:r w:rsidRPr="00071D95">
              <w:rPr>
                <w:color w:val="auto"/>
              </w:rPr>
              <w:t>Explain the definition of the plausibility of a statement: A statement that is a</w:t>
            </w:r>
            <w:r w:rsidR="002E68E8" w:rsidRPr="00071D95">
              <w:rPr>
                <w:color w:val="auto"/>
              </w:rPr>
              <w:t>ppearing worthy of belief. The circumstances are reasonable and/or possible.</w:t>
            </w:r>
          </w:p>
          <w:p w14:paraId="5CD034AF" w14:textId="1D246734" w:rsidR="00582AD7" w:rsidRPr="00071D95" w:rsidRDefault="002E68E8" w:rsidP="001446A7">
            <w:pPr>
              <w:pStyle w:val="VBABodyText"/>
              <w:spacing w:before="0" w:after="0"/>
              <w:rPr>
                <w:color w:val="auto"/>
              </w:rPr>
            </w:pPr>
            <w:r w:rsidRPr="00071D95">
              <w:rPr>
                <w:color w:val="auto"/>
                <w:u w:val="single"/>
              </w:rPr>
              <w:t>Example:</w:t>
            </w:r>
            <w:r w:rsidRPr="00071D95">
              <w:rPr>
                <w:color w:val="auto"/>
              </w:rPr>
              <w:t xml:space="preserve"> “The argument was both powerful and plausible.”</w:t>
            </w:r>
          </w:p>
          <w:p w14:paraId="0EE26186" w14:textId="7168D31A" w:rsidR="00582AD7" w:rsidRPr="00071D95" w:rsidRDefault="00DF049D" w:rsidP="001446A7">
            <w:pPr>
              <w:pStyle w:val="VBABodyText"/>
              <w:spacing w:before="0" w:after="0"/>
              <w:contextualSpacing/>
              <w:rPr>
                <w:color w:val="auto"/>
              </w:rPr>
            </w:pPr>
            <w:r w:rsidRPr="00071D95">
              <w:rPr>
                <w:color w:val="auto"/>
              </w:rPr>
              <w:t>Emphasize that t</w:t>
            </w:r>
            <w:r w:rsidR="00582AD7" w:rsidRPr="00071D95">
              <w:rPr>
                <w:color w:val="auto"/>
              </w:rPr>
              <w:t>he claimed condition must be possible considering all other evidence.</w:t>
            </w:r>
          </w:p>
          <w:p w14:paraId="5D777F62" w14:textId="40784F01" w:rsidR="00DF049D" w:rsidRPr="00071D95" w:rsidRDefault="00DF049D" w:rsidP="001446A7">
            <w:pPr>
              <w:pStyle w:val="VBABodyText"/>
              <w:spacing w:before="0" w:after="0"/>
              <w:contextualSpacing/>
              <w:rPr>
                <w:color w:val="auto"/>
              </w:rPr>
            </w:pPr>
          </w:p>
          <w:p w14:paraId="6DB47EFB" w14:textId="10E1C35C" w:rsidR="00DF049D" w:rsidRPr="00071D95" w:rsidRDefault="00DF049D" w:rsidP="001446A7">
            <w:pPr>
              <w:pStyle w:val="VBABodyText"/>
              <w:spacing w:before="0" w:after="0"/>
              <w:contextualSpacing/>
              <w:rPr>
                <w:color w:val="auto"/>
              </w:rPr>
            </w:pPr>
            <w:r w:rsidRPr="00071D95">
              <w:rPr>
                <w:color w:val="auto"/>
              </w:rPr>
              <w:t xml:space="preserve">VSRs should ask themselves: </w:t>
            </w:r>
          </w:p>
          <w:p w14:paraId="1DC41D23" w14:textId="77777777" w:rsidR="00582AD7" w:rsidRPr="00071D95" w:rsidRDefault="00582AD7" w:rsidP="001446A7">
            <w:pPr>
              <w:pStyle w:val="VBABodyText"/>
              <w:spacing w:before="0" w:after="0"/>
              <w:contextualSpacing/>
              <w:rPr>
                <w:color w:val="auto"/>
              </w:rPr>
            </w:pPr>
            <w:r w:rsidRPr="00071D95">
              <w:rPr>
                <w:color w:val="auto"/>
              </w:rPr>
              <w:t>Is there medical evidence to make it possible?</w:t>
            </w:r>
          </w:p>
          <w:p w14:paraId="235F4217" w14:textId="5CEB0598" w:rsidR="002570A6" w:rsidRPr="00071D95" w:rsidRDefault="00582AD7" w:rsidP="001446A7">
            <w:pPr>
              <w:pStyle w:val="VBABodyText"/>
              <w:spacing w:before="0" w:after="0"/>
              <w:contextualSpacing/>
              <w:rPr>
                <w:color w:val="auto"/>
              </w:rPr>
            </w:pPr>
            <w:r w:rsidRPr="00071D95">
              <w:rPr>
                <w:color w:val="auto"/>
              </w:rPr>
              <w:t>Is there evidence of circumstances of service to make it possible?</w:t>
            </w:r>
          </w:p>
        </w:tc>
      </w:tr>
      <w:tr w:rsidR="00071D95" w:rsidRPr="00071D95" w14:paraId="235F421D" w14:textId="77777777" w:rsidTr="007056E7">
        <w:trPr>
          <w:trHeight w:val="212"/>
        </w:trPr>
        <w:tc>
          <w:tcPr>
            <w:tcW w:w="2560" w:type="dxa"/>
            <w:tcBorders>
              <w:top w:val="nil"/>
              <w:left w:val="nil"/>
              <w:bottom w:val="nil"/>
              <w:right w:val="nil"/>
            </w:tcBorders>
          </w:tcPr>
          <w:p w14:paraId="2F8EB274" w14:textId="77777777" w:rsidR="001446A7" w:rsidRDefault="001446A7" w:rsidP="002570A6">
            <w:pPr>
              <w:pStyle w:val="VBALevel2Heading"/>
              <w:rPr>
                <w:color w:val="auto"/>
              </w:rPr>
            </w:pPr>
          </w:p>
          <w:p w14:paraId="235F4219" w14:textId="275E0219" w:rsidR="002570A6" w:rsidRPr="00071D95" w:rsidRDefault="00582AD7" w:rsidP="002570A6">
            <w:pPr>
              <w:pStyle w:val="VBALevel2Heading"/>
              <w:rPr>
                <w:color w:val="auto"/>
              </w:rPr>
            </w:pPr>
            <w:r w:rsidRPr="00071D95">
              <w:rPr>
                <w:color w:val="auto"/>
              </w:rPr>
              <w:t>Inherently Incredible Claims Regulation</w:t>
            </w:r>
            <w:r w:rsidR="002570A6" w:rsidRPr="00071D95">
              <w:rPr>
                <w:color w:val="auto"/>
              </w:rPr>
              <w:br/>
            </w:r>
          </w:p>
          <w:p w14:paraId="235F421A" w14:textId="5A97E3AE" w:rsidR="002570A6" w:rsidRPr="00071D95" w:rsidRDefault="00F60DBC" w:rsidP="007056E7">
            <w:pPr>
              <w:pStyle w:val="VBASlideNumber"/>
              <w:rPr>
                <w:color w:val="auto"/>
              </w:rPr>
            </w:pPr>
            <w:r w:rsidRPr="00071D95">
              <w:rPr>
                <w:color w:val="auto"/>
              </w:rPr>
              <w:t>Slide 12</w:t>
            </w:r>
            <w:r w:rsidR="002570A6" w:rsidRPr="00071D95">
              <w:rPr>
                <w:color w:val="auto"/>
              </w:rPr>
              <w:br/>
            </w:r>
          </w:p>
          <w:p w14:paraId="235F421B" w14:textId="67135345" w:rsidR="002570A6" w:rsidRPr="00071D95" w:rsidRDefault="002570A6" w:rsidP="001C312C">
            <w:pPr>
              <w:pStyle w:val="VBAHandoutNumber"/>
              <w:rPr>
                <w:color w:val="auto"/>
              </w:rPr>
            </w:pPr>
            <w:r w:rsidRPr="00071D95">
              <w:rPr>
                <w:color w:val="auto"/>
              </w:rPr>
              <w:t xml:space="preserve">Handout </w:t>
            </w:r>
            <w:r w:rsidR="001C312C">
              <w:rPr>
                <w:color w:val="auto"/>
              </w:rPr>
              <w:t>6</w:t>
            </w:r>
          </w:p>
        </w:tc>
        <w:tc>
          <w:tcPr>
            <w:tcW w:w="7217" w:type="dxa"/>
            <w:tcBorders>
              <w:top w:val="nil"/>
              <w:left w:val="nil"/>
              <w:bottom w:val="nil"/>
              <w:right w:val="nil"/>
            </w:tcBorders>
          </w:tcPr>
          <w:p w14:paraId="67D6DCB4" w14:textId="77777777" w:rsidR="001446A7" w:rsidRDefault="001446A7" w:rsidP="001446A7">
            <w:pPr>
              <w:spacing w:before="0"/>
            </w:pPr>
          </w:p>
          <w:p w14:paraId="40DAED7D" w14:textId="77777777" w:rsidR="001446A7" w:rsidRDefault="001446A7" w:rsidP="001446A7">
            <w:pPr>
              <w:spacing w:before="0"/>
            </w:pPr>
          </w:p>
          <w:p w14:paraId="253A2086" w14:textId="29D59C45" w:rsidR="00582AD7" w:rsidRPr="00071D95" w:rsidRDefault="00B577B7" w:rsidP="001446A7">
            <w:pPr>
              <w:spacing w:before="0"/>
            </w:pPr>
            <w:r w:rsidRPr="00071D95">
              <w:t xml:space="preserve">According to </w:t>
            </w:r>
            <w:r w:rsidR="00582AD7" w:rsidRPr="00071D95">
              <w:t>38 CFR §3.159(d), VA will not provide assistance in obtaining evidence if a claim is inherently incredible or clearly lacks merit, even when the application itself is substantially complete.</w:t>
            </w:r>
          </w:p>
          <w:p w14:paraId="37EA26B4" w14:textId="77777777" w:rsidR="002570A6" w:rsidRPr="00071D95" w:rsidRDefault="00B577B7" w:rsidP="001446A7">
            <w:pPr>
              <w:spacing w:before="0"/>
            </w:pPr>
            <w:r w:rsidRPr="00071D95">
              <w:t xml:space="preserve">Emphasize that a </w:t>
            </w:r>
            <w:r w:rsidR="00582AD7" w:rsidRPr="00071D95">
              <w:t>VSR or RVSR has the authority to determine whether a claim is incredible or without merit.</w:t>
            </w:r>
          </w:p>
          <w:p w14:paraId="451D7B82" w14:textId="77777777" w:rsidR="007E61A5" w:rsidRPr="00071D95" w:rsidRDefault="007E61A5" w:rsidP="001446A7">
            <w:pPr>
              <w:spacing w:before="0"/>
              <w:rPr>
                <w:sz w:val="12"/>
              </w:rPr>
            </w:pPr>
          </w:p>
          <w:p w14:paraId="4AE1846E" w14:textId="73CE970B" w:rsidR="00540E19" w:rsidRPr="00071D95" w:rsidRDefault="00540E19" w:rsidP="001446A7">
            <w:pPr>
              <w:spacing w:before="0"/>
            </w:pPr>
            <w:r w:rsidRPr="00071D95">
              <w:t>Go over following examples of inherently incredible claims.</w:t>
            </w:r>
          </w:p>
          <w:p w14:paraId="33F9F42D" w14:textId="77777777" w:rsidR="00540E19" w:rsidRPr="00071D95" w:rsidRDefault="007E61A5" w:rsidP="001446A7">
            <w:pPr>
              <w:spacing w:before="0"/>
            </w:pPr>
            <w:r w:rsidRPr="00071D95">
              <w:rPr>
                <w:u w:val="single"/>
              </w:rPr>
              <w:t>Example</w:t>
            </w:r>
            <w:r w:rsidR="00540E19" w:rsidRPr="00071D95">
              <w:rPr>
                <w:u w:val="single"/>
              </w:rPr>
              <w:t>s</w:t>
            </w:r>
            <w:r w:rsidRPr="00071D95">
              <w:rPr>
                <w:u w:val="single"/>
              </w:rPr>
              <w:t>:</w:t>
            </w:r>
            <w:r w:rsidRPr="00071D95">
              <w:t xml:space="preserve"> </w:t>
            </w:r>
          </w:p>
          <w:p w14:paraId="3BE7E8FA" w14:textId="0E214E94" w:rsidR="00540E19" w:rsidRPr="00071D95" w:rsidRDefault="00540E19" w:rsidP="001446A7">
            <w:pPr>
              <w:pStyle w:val="ListParagraph"/>
              <w:numPr>
                <w:ilvl w:val="0"/>
                <w:numId w:val="26"/>
              </w:numPr>
              <w:spacing w:before="0"/>
            </w:pPr>
            <w:r w:rsidRPr="00071D95">
              <w:t>A Veteran alleges service-connected (SC) tinnitus caused hammertoes but no medical evidence to support the allegation is submitted.</w:t>
            </w:r>
          </w:p>
          <w:p w14:paraId="2ED04747" w14:textId="30D1C81B" w:rsidR="00540E19" w:rsidRPr="00071D95" w:rsidRDefault="00540E19" w:rsidP="001446A7">
            <w:pPr>
              <w:pStyle w:val="ListParagraph"/>
              <w:numPr>
                <w:ilvl w:val="0"/>
                <w:numId w:val="26"/>
              </w:numPr>
              <w:spacing w:before="0"/>
            </w:pPr>
            <w:r w:rsidRPr="00071D95">
              <w:t>A Veteran claims PTSD as a result of combat service in Vietnam, but their military records clearly show no foreign or combat service.</w:t>
            </w:r>
          </w:p>
          <w:p w14:paraId="235F421C" w14:textId="17192D34" w:rsidR="007E61A5" w:rsidRPr="00071D95" w:rsidRDefault="00F475C0" w:rsidP="001446A7">
            <w:pPr>
              <w:pStyle w:val="ListParagraph"/>
              <w:numPr>
                <w:ilvl w:val="0"/>
                <w:numId w:val="26"/>
              </w:numPr>
              <w:spacing w:before="0"/>
            </w:pPr>
            <w:r w:rsidRPr="00071D95">
              <w:t xml:space="preserve">Tree falls in a forest and the Veteran is 100 miles away. Veteran </w:t>
            </w:r>
            <w:r w:rsidRPr="00071D95">
              <w:lastRenderedPageBreak/>
              <w:t>claims the tree caused a chain reaction which caused his knee disability.</w:t>
            </w:r>
          </w:p>
        </w:tc>
      </w:tr>
      <w:tr w:rsidR="009B2F5A" w:rsidRPr="00071D95" w14:paraId="235F4239" w14:textId="77777777">
        <w:trPr>
          <w:trHeight w:val="212"/>
        </w:trPr>
        <w:tc>
          <w:tcPr>
            <w:tcW w:w="2560" w:type="dxa"/>
            <w:tcBorders>
              <w:top w:val="nil"/>
              <w:left w:val="nil"/>
              <w:bottom w:val="nil"/>
              <w:right w:val="nil"/>
            </w:tcBorders>
          </w:tcPr>
          <w:p w14:paraId="235F4234" w14:textId="074B3B86" w:rsidR="009B2F5A" w:rsidRPr="00071D95" w:rsidRDefault="009B2F5A">
            <w:pPr>
              <w:pStyle w:val="VBALevel1Heading"/>
            </w:pPr>
          </w:p>
        </w:tc>
        <w:tc>
          <w:tcPr>
            <w:tcW w:w="7217" w:type="dxa"/>
            <w:tcBorders>
              <w:top w:val="nil"/>
              <w:left w:val="nil"/>
              <w:bottom w:val="nil"/>
              <w:right w:val="nil"/>
            </w:tcBorders>
          </w:tcPr>
          <w:p w14:paraId="235F4238" w14:textId="79E8BECF" w:rsidR="009B2F5A" w:rsidRPr="00071D95" w:rsidRDefault="009B2F5A" w:rsidP="00582AD7">
            <w:pPr>
              <w:pStyle w:val="VBAFirstLevelBullet"/>
              <w:numPr>
                <w:ilvl w:val="0"/>
                <w:numId w:val="0"/>
              </w:numPr>
              <w:ind w:left="720" w:hanging="360"/>
              <w:rPr>
                <w:szCs w:val="24"/>
              </w:rP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irstColumn="0" w:lastColumn="0" w:noHBand="0" w:noVBand="0"/>
      </w:tblPr>
      <w:tblGrid>
        <w:gridCol w:w="2560"/>
        <w:gridCol w:w="7217"/>
      </w:tblGrid>
      <w:tr w:rsidR="00071D95" w:rsidRPr="00071D95" w14:paraId="0124C184" w14:textId="77777777" w:rsidTr="00A35C2D">
        <w:trPr>
          <w:trHeight w:val="212"/>
        </w:trPr>
        <w:tc>
          <w:tcPr>
            <w:tcW w:w="9777" w:type="dxa"/>
            <w:gridSpan w:val="2"/>
            <w:tcBorders>
              <w:top w:val="nil"/>
              <w:left w:val="nil"/>
              <w:bottom w:val="nil"/>
              <w:right w:val="nil"/>
            </w:tcBorders>
            <w:vAlign w:val="center"/>
          </w:tcPr>
          <w:p w14:paraId="159E9E1F" w14:textId="332DB681" w:rsidR="00582AD7" w:rsidRPr="00071D95" w:rsidRDefault="00582AD7" w:rsidP="00582AD7">
            <w:pPr>
              <w:pStyle w:val="VBALessonTopicTitle"/>
              <w:rPr>
                <w:rFonts w:ascii="Times New Roman" w:hAnsi="Times New Roman"/>
                <w:color w:val="auto"/>
              </w:rPr>
            </w:pPr>
            <w:bookmarkStart w:id="40" w:name="_Toc442278449"/>
            <w:r w:rsidRPr="00071D95">
              <w:rPr>
                <w:rFonts w:ascii="Times New Roman" w:hAnsi="Times New Roman"/>
                <w:color w:val="auto"/>
              </w:rPr>
              <w:t>Topic 4: Consistency</w:t>
            </w:r>
            <w:bookmarkEnd w:id="40"/>
          </w:p>
        </w:tc>
      </w:tr>
      <w:tr w:rsidR="00071D95" w:rsidRPr="00071D95" w14:paraId="1CB74056" w14:textId="77777777" w:rsidTr="00A35C2D">
        <w:trPr>
          <w:trHeight w:val="212"/>
        </w:trPr>
        <w:tc>
          <w:tcPr>
            <w:tcW w:w="2560" w:type="dxa"/>
            <w:tcBorders>
              <w:top w:val="nil"/>
              <w:left w:val="nil"/>
              <w:bottom w:val="nil"/>
              <w:right w:val="nil"/>
            </w:tcBorders>
          </w:tcPr>
          <w:p w14:paraId="7A20858B" w14:textId="77777777" w:rsidR="00582AD7" w:rsidRPr="00071D95" w:rsidRDefault="00582AD7" w:rsidP="00A35C2D">
            <w:pPr>
              <w:pStyle w:val="VBALevel1Heading"/>
            </w:pPr>
            <w:r w:rsidRPr="00071D95">
              <w:t>Introduction</w:t>
            </w:r>
          </w:p>
        </w:tc>
        <w:tc>
          <w:tcPr>
            <w:tcW w:w="7217" w:type="dxa"/>
            <w:tcBorders>
              <w:top w:val="nil"/>
              <w:left w:val="nil"/>
              <w:bottom w:val="nil"/>
              <w:right w:val="nil"/>
            </w:tcBorders>
          </w:tcPr>
          <w:p w14:paraId="4CB02639" w14:textId="11028D5E" w:rsidR="00582AD7" w:rsidRPr="00071D95" w:rsidRDefault="00582AD7" w:rsidP="00DB7F53">
            <w:pPr>
              <w:pStyle w:val="VBABodyText"/>
              <w:rPr>
                <w:b/>
                <w:color w:val="auto"/>
              </w:rPr>
            </w:pPr>
            <w:r w:rsidRPr="00071D95">
              <w:rPr>
                <w:color w:val="auto"/>
              </w:rPr>
              <w:t xml:space="preserve">This topic will allow the trainee to </w:t>
            </w:r>
            <w:r w:rsidR="00604852" w:rsidRPr="00071D95">
              <w:rPr>
                <w:color w:val="auto"/>
              </w:rPr>
              <w:t>determine the consistency of lay testimony.</w:t>
            </w:r>
          </w:p>
        </w:tc>
      </w:tr>
      <w:tr w:rsidR="00071D95" w:rsidRPr="00071D95" w14:paraId="1D7C3DA5" w14:textId="77777777" w:rsidTr="00A35C2D">
        <w:trPr>
          <w:trHeight w:val="212"/>
        </w:trPr>
        <w:tc>
          <w:tcPr>
            <w:tcW w:w="2560" w:type="dxa"/>
            <w:tcBorders>
              <w:top w:val="nil"/>
              <w:left w:val="nil"/>
              <w:bottom w:val="nil"/>
              <w:right w:val="nil"/>
            </w:tcBorders>
          </w:tcPr>
          <w:p w14:paraId="3D2BDEBC" w14:textId="77777777" w:rsidR="00582AD7" w:rsidRPr="00071D95" w:rsidRDefault="00582AD7" w:rsidP="00A35C2D">
            <w:pPr>
              <w:pStyle w:val="VBALevel1Heading"/>
            </w:pPr>
            <w:r w:rsidRPr="00071D95">
              <w:t>Time Required</w:t>
            </w:r>
          </w:p>
        </w:tc>
        <w:tc>
          <w:tcPr>
            <w:tcW w:w="7217" w:type="dxa"/>
            <w:tcBorders>
              <w:top w:val="nil"/>
              <w:left w:val="nil"/>
              <w:bottom w:val="nil"/>
              <w:right w:val="nil"/>
            </w:tcBorders>
          </w:tcPr>
          <w:p w14:paraId="570CB4AD" w14:textId="41648FC5" w:rsidR="00582AD7" w:rsidRPr="00071D95" w:rsidRDefault="00807FD2" w:rsidP="00A35C2D">
            <w:pPr>
              <w:pStyle w:val="VBATimeReq"/>
              <w:rPr>
                <w:color w:val="auto"/>
              </w:rPr>
            </w:pPr>
            <w:r>
              <w:rPr>
                <w:color w:val="auto"/>
              </w:rPr>
              <w:t>15 minutes</w:t>
            </w:r>
          </w:p>
        </w:tc>
      </w:tr>
      <w:tr w:rsidR="00071D95" w:rsidRPr="00071D95" w14:paraId="1DF3B921" w14:textId="77777777" w:rsidTr="00A35C2D">
        <w:trPr>
          <w:trHeight w:val="212"/>
        </w:trPr>
        <w:tc>
          <w:tcPr>
            <w:tcW w:w="2560" w:type="dxa"/>
            <w:tcBorders>
              <w:top w:val="nil"/>
              <w:left w:val="nil"/>
              <w:bottom w:val="nil"/>
              <w:right w:val="nil"/>
            </w:tcBorders>
          </w:tcPr>
          <w:p w14:paraId="4255B2E4" w14:textId="77777777" w:rsidR="00582AD7" w:rsidRPr="00071D95" w:rsidRDefault="00582AD7" w:rsidP="00A35C2D">
            <w:pPr>
              <w:pStyle w:val="VBALevel1Heading"/>
            </w:pPr>
            <w:r w:rsidRPr="00071D95">
              <w:t>OBJECTIVES/</w:t>
            </w:r>
            <w:r w:rsidRPr="00071D95">
              <w:br/>
              <w:t>Teaching Points</w:t>
            </w:r>
          </w:p>
          <w:p w14:paraId="6CBCA766" w14:textId="77777777" w:rsidR="00582AD7" w:rsidRPr="00071D95" w:rsidRDefault="00582AD7" w:rsidP="00A35C2D">
            <w:pPr>
              <w:pStyle w:val="VBALevel3Heading"/>
              <w:spacing w:after="120"/>
              <w:rPr>
                <w:i w:val="0"/>
                <w:color w:val="auto"/>
                <w:szCs w:val="24"/>
              </w:rPr>
            </w:pPr>
          </w:p>
        </w:tc>
        <w:tc>
          <w:tcPr>
            <w:tcW w:w="7217" w:type="dxa"/>
            <w:tcBorders>
              <w:top w:val="nil"/>
              <w:left w:val="nil"/>
              <w:bottom w:val="nil"/>
              <w:right w:val="nil"/>
            </w:tcBorders>
          </w:tcPr>
          <w:p w14:paraId="1C6ED457" w14:textId="77777777" w:rsidR="00582AD7" w:rsidRPr="00071D95" w:rsidRDefault="00582AD7" w:rsidP="00A35C2D">
            <w:pPr>
              <w:tabs>
                <w:tab w:val="left" w:pos="590"/>
              </w:tabs>
              <w:spacing w:after="120"/>
              <w:rPr>
                <w:szCs w:val="24"/>
              </w:rPr>
            </w:pPr>
            <w:r w:rsidRPr="00071D95">
              <w:rPr>
                <w:szCs w:val="24"/>
              </w:rPr>
              <w:t>Topic objectives:</w:t>
            </w:r>
          </w:p>
          <w:p w14:paraId="62D4D0D0" w14:textId="6B05CB62" w:rsidR="00582AD7" w:rsidRPr="00071D95" w:rsidRDefault="0062420D" w:rsidP="00A35C2D">
            <w:pPr>
              <w:numPr>
                <w:ilvl w:val="0"/>
                <w:numId w:val="9"/>
              </w:numPr>
              <w:tabs>
                <w:tab w:val="left" w:pos="590"/>
              </w:tabs>
              <w:spacing w:before="60" w:after="60"/>
              <w:rPr>
                <w:szCs w:val="24"/>
              </w:rPr>
            </w:pPr>
            <w:r w:rsidRPr="00071D95">
              <w:rPr>
                <w:szCs w:val="24"/>
              </w:rPr>
              <w:t>Determine the consistency of a lay statement</w:t>
            </w:r>
          </w:p>
          <w:p w14:paraId="50163397" w14:textId="77777777" w:rsidR="00582AD7" w:rsidRPr="00071D95" w:rsidRDefault="00582AD7" w:rsidP="00A35C2D">
            <w:pPr>
              <w:tabs>
                <w:tab w:val="left" w:pos="590"/>
              </w:tabs>
              <w:spacing w:after="120"/>
              <w:rPr>
                <w:bCs/>
                <w:szCs w:val="24"/>
              </w:rPr>
            </w:pPr>
            <w:r w:rsidRPr="00071D95">
              <w:rPr>
                <w:szCs w:val="24"/>
              </w:rPr>
              <w:t>The following topic teaching points support the topic objectives</w:t>
            </w:r>
            <w:r w:rsidRPr="00071D95">
              <w:rPr>
                <w:bCs/>
                <w:szCs w:val="24"/>
              </w:rPr>
              <w:t xml:space="preserve">: </w:t>
            </w:r>
          </w:p>
          <w:p w14:paraId="7EC60F7A" w14:textId="7B812BB5" w:rsidR="00582AD7" w:rsidRPr="00071D95" w:rsidRDefault="0062420D" w:rsidP="00A35C2D">
            <w:pPr>
              <w:numPr>
                <w:ilvl w:val="0"/>
                <w:numId w:val="9"/>
              </w:numPr>
              <w:tabs>
                <w:tab w:val="left" w:pos="590"/>
              </w:tabs>
              <w:spacing w:after="60"/>
              <w:rPr>
                <w:szCs w:val="24"/>
              </w:rPr>
            </w:pPr>
            <w:r w:rsidRPr="00071D95">
              <w:rPr>
                <w:szCs w:val="24"/>
              </w:rPr>
              <w:t>Statements are or are not consistent</w:t>
            </w:r>
          </w:p>
          <w:p w14:paraId="0EF667AB" w14:textId="69C7C417" w:rsidR="00582AD7" w:rsidRPr="00CD337F" w:rsidRDefault="00582AD7" w:rsidP="0062420D">
            <w:pPr>
              <w:tabs>
                <w:tab w:val="left" w:pos="590"/>
              </w:tabs>
              <w:spacing w:before="60" w:after="60"/>
              <w:rPr>
                <w:sz w:val="20"/>
                <w:szCs w:val="24"/>
              </w:rPr>
            </w:pPr>
          </w:p>
        </w:tc>
      </w:tr>
      <w:tr w:rsidR="00071D95" w:rsidRPr="00071D95" w14:paraId="4E049AE7" w14:textId="77777777" w:rsidTr="00A35C2D">
        <w:trPr>
          <w:trHeight w:val="212"/>
        </w:trPr>
        <w:tc>
          <w:tcPr>
            <w:tcW w:w="2560" w:type="dxa"/>
            <w:tcBorders>
              <w:top w:val="nil"/>
              <w:left w:val="nil"/>
              <w:bottom w:val="nil"/>
              <w:right w:val="nil"/>
            </w:tcBorders>
          </w:tcPr>
          <w:p w14:paraId="2A11EEB2" w14:textId="235AA209" w:rsidR="00582AD7" w:rsidRPr="00071D95" w:rsidRDefault="00582AD7" w:rsidP="00A35C2D">
            <w:pPr>
              <w:pStyle w:val="VBALevel2Heading"/>
              <w:rPr>
                <w:bCs/>
                <w:i/>
                <w:color w:val="auto"/>
              </w:rPr>
            </w:pPr>
            <w:r w:rsidRPr="00071D95">
              <w:rPr>
                <w:color w:val="auto"/>
              </w:rPr>
              <w:t xml:space="preserve">Definition of </w:t>
            </w:r>
            <w:r w:rsidR="0062420D" w:rsidRPr="00071D95">
              <w:rPr>
                <w:color w:val="auto"/>
              </w:rPr>
              <w:t>Consistency</w:t>
            </w:r>
            <w:r w:rsidRPr="00071D95">
              <w:rPr>
                <w:color w:val="auto"/>
              </w:rPr>
              <w:br/>
            </w:r>
          </w:p>
          <w:p w14:paraId="0CFEF5FD" w14:textId="15B7CC9B" w:rsidR="00582AD7" w:rsidRPr="00071D95" w:rsidRDefault="00582AD7" w:rsidP="00A35C2D">
            <w:pPr>
              <w:pStyle w:val="VBASlideNumber"/>
              <w:rPr>
                <w:color w:val="auto"/>
              </w:rPr>
            </w:pPr>
            <w:r w:rsidRPr="00071D95">
              <w:rPr>
                <w:color w:val="auto"/>
              </w:rPr>
              <w:t xml:space="preserve">Slide </w:t>
            </w:r>
            <w:r w:rsidR="00F60DBC" w:rsidRPr="00071D95">
              <w:rPr>
                <w:color w:val="auto"/>
              </w:rPr>
              <w:t>13</w:t>
            </w:r>
            <w:r w:rsidRPr="00071D95">
              <w:rPr>
                <w:color w:val="auto"/>
              </w:rPr>
              <w:br/>
            </w:r>
          </w:p>
          <w:p w14:paraId="2C2F9DCA" w14:textId="0FA3BF2C" w:rsidR="00582AD7" w:rsidRPr="00071D95" w:rsidRDefault="00582AD7" w:rsidP="001C312C">
            <w:pPr>
              <w:pStyle w:val="VBAHandoutNumber"/>
              <w:rPr>
                <w:color w:val="auto"/>
              </w:rPr>
            </w:pPr>
            <w:r w:rsidRPr="00071D95">
              <w:rPr>
                <w:color w:val="auto"/>
              </w:rPr>
              <w:t xml:space="preserve">Handout </w:t>
            </w:r>
            <w:r w:rsidR="001C312C">
              <w:rPr>
                <w:color w:val="auto"/>
              </w:rPr>
              <w:t>7</w:t>
            </w:r>
          </w:p>
        </w:tc>
        <w:tc>
          <w:tcPr>
            <w:tcW w:w="7217" w:type="dxa"/>
            <w:tcBorders>
              <w:top w:val="nil"/>
              <w:left w:val="nil"/>
              <w:bottom w:val="nil"/>
              <w:right w:val="nil"/>
            </w:tcBorders>
          </w:tcPr>
          <w:p w14:paraId="44DA337B" w14:textId="59976708" w:rsidR="00582AD7" w:rsidRPr="00071D95" w:rsidRDefault="0062420D" w:rsidP="00A35C2D">
            <w:pPr>
              <w:pStyle w:val="VBABodyText"/>
              <w:spacing w:after="120"/>
              <w:contextualSpacing/>
              <w:rPr>
                <w:color w:val="auto"/>
              </w:rPr>
            </w:pPr>
            <w:r w:rsidRPr="00071D95">
              <w:rPr>
                <w:color w:val="auto"/>
              </w:rPr>
              <w:t>Explain to trainees the definition of consistency: Always acting or behaving the same way, of the same quality and continuing to happen or develop in the same way.</w:t>
            </w:r>
          </w:p>
          <w:p w14:paraId="20588F46" w14:textId="77777777" w:rsidR="0062420D" w:rsidRPr="00071D95" w:rsidRDefault="0062420D" w:rsidP="00A35C2D">
            <w:pPr>
              <w:pStyle w:val="VBABodyText"/>
              <w:spacing w:after="120"/>
              <w:contextualSpacing/>
              <w:rPr>
                <w:color w:val="auto"/>
              </w:rPr>
            </w:pPr>
          </w:p>
          <w:p w14:paraId="792AF1A9" w14:textId="554108EE" w:rsidR="0062420D" w:rsidRPr="00071D95" w:rsidRDefault="0062420D" w:rsidP="00A35C2D">
            <w:pPr>
              <w:pStyle w:val="VBABodyText"/>
              <w:spacing w:after="120"/>
              <w:contextualSpacing/>
              <w:rPr>
                <w:color w:val="auto"/>
              </w:rPr>
            </w:pPr>
            <w:r w:rsidRPr="00071D95">
              <w:rPr>
                <w:color w:val="auto"/>
              </w:rPr>
              <w:t>Talk about how this relates to service connected disability claims.</w:t>
            </w:r>
          </w:p>
          <w:p w14:paraId="2576AFBF" w14:textId="77777777" w:rsidR="0062420D" w:rsidRPr="00071D95" w:rsidRDefault="0062420D" w:rsidP="00A35C2D">
            <w:pPr>
              <w:pStyle w:val="VBABodyText"/>
              <w:spacing w:after="120"/>
              <w:contextualSpacing/>
              <w:rPr>
                <w:color w:val="auto"/>
              </w:rPr>
            </w:pPr>
          </w:p>
          <w:p w14:paraId="282AFCB2" w14:textId="77777777" w:rsidR="00582AD7" w:rsidRPr="00071D95" w:rsidRDefault="0062420D" w:rsidP="003A5B61">
            <w:pPr>
              <w:pStyle w:val="VBABodyText"/>
              <w:spacing w:after="120"/>
              <w:contextualSpacing/>
              <w:rPr>
                <w:color w:val="auto"/>
              </w:rPr>
            </w:pPr>
            <w:r w:rsidRPr="00071D95">
              <w:rPr>
                <w:color w:val="auto"/>
                <w:u w:val="single"/>
              </w:rPr>
              <w:t>Example:</w:t>
            </w:r>
            <w:r w:rsidRPr="00071D95">
              <w:rPr>
                <w:color w:val="auto"/>
              </w:rPr>
              <w:t xml:space="preserve"> </w:t>
            </w:r>
            <w:r w:rsidR="00DA6091" w:rsidRPr="00071D95">
              <w:rPr>
                <w:color w:val="auto"/>
              </w:rPr>
              <w:t xml:space="preserve">On the Veteran’s entrance and separation exams, there is no indication or complaint of respiratory issues.  In 2015 the Veteran files a claim reporting breathing problems since boot camp. The private medical records he submits with his claim do not report any breathing issues. </w:t>
            </w:r>
          </w:p>
          <w:p w14:paraId="01F5CEA1" w14:textId="60554105" w:rsidR="00DA6091" w:rsidRPr="00071D95" w:rsidRDefault="00DA6091" w:rsidP="003A5B61">
            <w:pPr>
              <w:pStyle w:val="VBABodyText"/>
              <w:spacing w:after="120"/>
              <w:contextualSpacing/>
              <w:rPr>
                <w:color w:val="auto"/>
              </w:rPr>
            </w:pPr>
            <w:r w:rsidRPr="00071D95">
              <w:rPr>
                <w:color w:val="auto"/>
              </w:rPr>
              <w:t>This claim is not consistent throughout the Veteran’s timeline.</w:t>
            </w:r>
          </w:p>
        </w:tc>
      </w:tr>
    </w:tbl>
    <w:p w14:paraId="41B3FA0E" w14:textId="77777777" w:rsidR="00582AD7" w:rsidRPr="00071D95" w:rsidRDefault="00582AD7">
      <w:r w:rsidRPr="00071D95">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071D95" w:rsidRPr="00071D95" w14:paraId="1EB20E87" w14:textId="77777777" w:rsidTr="00A35C2D">
        <w:trPr>
          <w:trHeight w:val="212"/>
        </w:trPr>
        <w:tc>
          <w:tcPr>
            <w:tcW w:w="9777" w:type="dxa"/>
            <w:gridSpan w:val="2"/>
            <w:tcBorders>
              <w:top w:val="nil"/>
              <w:left w:val="nil"/>
              <w:bottom w:val="nil"/>
              <w:right w:val="nil"/>
            </w:tcBorders>
            <w:vAlign w:val="center"/>
          </w:tcPr>
          <w:p w14:paraId="64229B70" w14:textId="281B7DC0" w:rsidR="00582AD7" w:rsidRPr="00071D95" w:rsidRDefault="00582AD7" w:rsidP="00582AD7">
            <w:pPr>
              <w:pStyle w:val="VBALessonTopicTitle"/>
              <w:rPr>
                <w:rFonts w:ascii="Times New Roman" w:hAnsi="Times New Roman"/>
                <w:color w:val="auto"/>
              </w:rPr>
            </w:pPr>
            <w:bookmarkStart w:id="41" w:name="_Toc442278450"/>
            <w:r w:rsidRPr="00071D95">
              <w:rPr>
                <w:rFonts w:ascii="Times New Roman" w:hAnsi="Times New Roman"/>
                <w:color w:val="auto"/>
              </w:rPr>
              <w:lastRenderedPageBreak/>
              <w:t>Topic 5: Circumstances of Service</w:t>
            </w:r>
            <w:bookmarkEnd w:id="41"/>
          </w:p>
        </w:tc>
      </w:tr>
      <w:tr w:rsidR="00071D95" w:rsidRPr="00071D95" w14:paraId="56FAA9B5" w14:textId="77777777" w:rsidTr="00A35C2D">
        <w:trPr>
          <w:trHeight w:val="212"/>
        </w:trPr>
        <w:tc>
          <w:tcPr>
            <w:tcW w:w="2560" w:type="dxa"/>
            <w:tcBorders>
              <w:top w:val="nil"/>
              <w:left w:val="nil"/>
              <w:bottom w:val="nil"/>
              <w:right w:val="nil"/>
            </w:tcBorders>
          </w:tcPr>
          <w:p w14:paraId="2FE407AB" w14:textId="77777777" w:rsidR="00582AD7" w:rsidRPr="00071D95" w:rsidRDefault="00582AD7" w:rsidP="00A35C2D">
            <w:pPr>
              <w:pStyle w:val="VBALevel1Heading"/>
            </w:pPr>
            <w:r w:rsidRPr="00071D95">
              <w:t>Introduction</w:t>
            </w:r>
          </w:p>
        </w:tc>
        <w:tc>
          <w:tcPr>
            <w:tcW w:w="7217" w:type="dxa"/>
            <w:tcBorders>
              <w:top w:val="nil"/>
              <w:left w:val="nil"/>
              <w:bottom w:val="nil"/>
              <w:right w:val="nil"/>
            </w:tcBorders>
          </w:tcPr>
          <w:p w14:paraId="5A06EE8E" w14:textId="61C7355E" w:rsidR="00582AD7" w:rsidRPr="00071D95" w:rsidRDefault="00582AD7" w:rsidP="00FE6087">
            <w:pPr>
              <w:pStyle w:val="VBABodyText"/>
              <w:rPr>
                <w:b/>
                <w:color w:val="auto"/>
              </w:rPr>
            </w:pPr>
            <w:r w:rsidRPr="00071D95">
              <w:rPr>
                <w:color w:val="auto"/>
              </w:rPr>
              <w:t>This top</w:t>
            </w:r>
            <w:r w:rsidR="000235C9" w:rsidRPr="00071D95">
              <w:rPr>
                <w:color w:val="auto"/>
              </w:rPr>
              <w:t xml:space="preserve">ic will allow the trainee to </w:t>
            </w:r>
            <w:r w:rsidR="00FE6087" w:rsidRPr="00071D95">
              <w:rPr>
                <w:color w:val="auto"/>
              </w:rPr>
              <w:t>determine if lay evidence is in line with a Veteran’s circumstances of service.</w:t>
            </w:r>
          </w:p>
        </w:tc>
      </w:tr>
      <w:tr w:rsidR="00071D95" w:rsidRPr="00071D95" w14:paraId="5EF2CA34" w14:textId="77777777" w:rsidTr="00A35C2D">
        <w:trPr>
          <w:trHeight w:val="212"/>
        </w:trPr>
        <w:tc>
          <w:tcPr>
            <w:tcW w:w="2560" w:type="dxa"/>
            <w:tcBorders>
              <w:top w:val="nil"/>
              <w:left w:val="nil"/>
              <w:bottom w:val="nil"/>
              <w:right w:val="nil"/>
            </w:tcBorders>
          </w:tcPr>
          <w:p w14:paraId="694D62B6" w14:textId="77777777" w:rsidR="00582AD7" w:rsidRPr="00071D95" w:rsidRDefault="00582AD7" w:rsidP="00A35C2D">
            <w:pPr>
              <w:pStyle w:val="VBALevel1Heading"/>
            </w:pPr>
            <w:r w:rsidRPr="00071D95">
              <w:t>Time Required</w:t>
            </w:r>
          </w:p>
        </w:tc>
        <w:tc>
          <w:tcPr>
            <w:tcW w:w="7217" w:type="dxa"/>
            <w:tcBorders>
              <w:top w:val="nil"/>
              <w:left w:val="nil"/>
              <w:bottom w:val="nil"/>
              <w:right w:val="nil"/>
            </w:tcBorders>
          </w:tcPr>
          <w:p w14:paraId="58D0D7C7" w14:textId="6D591E29" w:rsidR="00582AD7" w:rsidRPr="00071D95" w:rsidRDefault="004845CC" w:rsidP="00A35C2D">
            <w:pPr>
              <w:pStyle w:val="VBATimeReq"/>
              <w:rPr>
                <w:color w:val="auto"/>
              </w:rPr>
            </w:pPr>
            <w:r>
              <w:rPr>
                <w:color w:val="auto"/>
              </w:rPr>
              <w:t>30 minutes</w:t>
            </w:r>
          </w:p>
        </w:tc>
      </w:tr>
      <w:tr w:rsidR="00071D95" w:rsidRPr="00071D95" w14:paraId="75539779" w14:textId="77777777" w:rsidTr="00FE6087">
        <w:trPr>
          <w:trHeight w:val="1908"/>
        </w:trPr>
        <w:tc>
          <w:tcPr>
            <w:tcW w:w="2560" w:type="dxa"/>
            <w:tcBorders>
              <w:top w:val="nil"/>
              <w:left w:val="nil"/>
              <w:bottom w:val="nil"/>
              <w:right w:val="nil"/>
            </w:tcBorders>
          </w:tcPr>
          <w:p w14:paraId="23440FB9" w14:textId="77777777" w:rsidR="00582AD7" w:rsidRPr="00071D95" w:rsidRDefault="00582AD7" w:rsidP="00A35C2D">
            <w:pPr>
              <w:pStyle w:val="VBALevel1Heading"/>
            </w:pPr>
            <w:r w:rsidRPr="00071D95">
              <w:t>OBJECTIVES/</w:t>
            </w:r>
            <w:r w:rsidRPr="00071D95">
              <w:br/>
              <w:t>Teaching Points</w:t>
            </w:r>
          </w:p>
          <w:p w14:paraId="051BF617" w14:textId="77777777" w:rsidR="00582AD7" w:rsidRPr="00071D95" w:rsidRDefault="00582AD7" w:rsidP="00A35C2D">
            <w:pPr>
              <w:pStyle w:val="VBALevel3Heading"/>
              <w:spacing w:after="120"/>
              <w:rPr>
                <w:i w:val="0"/>
                <w:color w:val="auto"/>
                <w:szCs w:val="24"/>
              </w:rPr>
            </w:pPr>
          </w:p>
        </w:tc>
        <w:tc>
          <w:tcPr>
            <w:tcW w:w="7217" w:type="dxa"/>
            <w:tcBorders>
              <w:top w:val="nil"/>
              <w:left w:val="nil"/>
              <w:bottom w:val="nil"/>
              <w:right w:val="nil"/>
            </w:tcBorders>
          </w:tcPr>
          <w:p w14:paraId="1CBC8795" w14:textId="77777777" w:rsidR="00582AD7" w:rsidRPr="00071D95" w:rsidRDefault="00582AD7" w:rsidP="00A35C2D">
            <w:pPr>
              <w:tabs>
                <w:tab w:val="left" w:pos="590"/>
              </w:tabs>
              <w:spacing w:after="120"/>
              <w:rPr>
                <w:szCs w:val="24"/>
              </w:rPr>
            </w:pPr>
            <w:r w:rsidRPr="00071D95">
              <w:rPr>
                <w:szCs w:val="24"/>
              </w:rPr>
              <w:t>Topic objectives:</w:t>
            </w:r>
          </w:p>
          <w:p w14:paraId="07AA0D97" w14:textId="148E2F0A" w:rsidR="00582AD7" w:rsidRDefault="001056BF" w:rsidP="00A35C2D">
            <w:pPr>
              <w:numPr>
                <w:ilvl w:val="0"/>
                <w:numId w:val="9"/>
              </w:numPr>
              <w:tabs>
                <w:tab w:val="left" w:pos="590"/>
              </w:tabs>
              <w:spacing w:before="60" w:after="60"/>
              <w:rPr>
                <w:szCs w:val="24"/>
              </w:rPr>
            </w:pPr>
            <w:r>
              <w:rPr>
                <w:szCs w:val="24"/>
              </w:rPr>
              <w:t xml:space="preserve">Understand </w:t>
            </w:r>
            <w:r w:rsidR="00383723">
              <w:rPr>
                <w:szCs w:val="24"/>
              </w:rPr>
              <w:t xml:space="preserve">how to apply a Veteran’s circumstances of service </w:t>
            </w:r>
            <w:r w:rsidR="00F13380">
              <w:rPr>
                <w:szCs w:val="24"/>
              </w:rPr>
              <w:t xml:space="preserve">or MOS </w:t>
            </w:r>
            <w:r w:rsidR="001446A7">
              <w:rPr>
                <w:szCs w:val="24"/>
              </w:rPr>
              <w:t>to their</w:t>
            </w:r>
            <w:r w:rsidR="00383723">
              <w:rPr>
                <w:szCs w:val="24"/>
              </w:rPr>
              <w:t xml:space="preserve"> lay statement</w:t>
            </w:r>
          </w:p>
          <w:p w14:paraId="57C35CE6" w14:textId="3F867EF4" w:rsidR="00383723" w:rsidRPr="00071D95" w:rsidRDefault="00D86CAA" w:rsidP="00A35C2D">
            <w:pPr>
              <w:numPr>
                <w:ilvl w:val="0"/>
                <w:numId w:val="9"/>
              </w:numPr>
              <w:tabs>
                <w:tab w:val="left" w:pos="590"/>
              </w:tabs>
              <w:spacing w:before="60" w:after="60"/>
              <w:rPr>
                <w:szCs w:val="24"/>
              </w:rPr>
            </w:pPr>
            <w:r>
              <w:rPr>
                <w:szCs w:val="24"/>
              </w:rPr>
              <w:t xml:space="preserve">Understand how to weigh evidence of Combat Veterans </w:t>
            </w:r>
          </w:p>
          <w:p w14:paraId="17D0B30B" w14:textId="77777777" w:rsidR="00582AD7" w:rsidRPr="00071D95" w:rsidRDefault="00582AD7" w:rsidP="00A35C2D">
            <w:pPr>
              <w:tabs>
                <w:tab w:val="left" w:pos="590"/>
              </w:tabs>
              <w:spacing w:after="120"/>
              <w:rPr>
                <w:bCs/>
                <w:szCs w:val="24"/>
              </w:rPr>
            </w:pPr>
            <w:r w:rsidRPr="00071D95">
              <w:rPr>
                <w:szCs w:val="24"/>
              </w:rPr>
              <w:t>The following topic teaching points support the topic objectives</w:t>
            </w:r>
            <w:r w:rsidRPr="00071D95">
              <w:rPr>
                <w:bCs/>
                <w:szCs w:val="24"/>
              </w:rPr>
              <w:t xml:space="preserve">: </w:t>
            </w:r>
          </w:p>
          <w:p w14:paraId="3BD92854" w14:textId="77777777" w:rsidR="00582AD7" w:rsidRPr="00071D95" w:rsidRDefault="00FE6087" w:rsidP="00FE6087">
            <w:pPr>
              <w:numPr>
                <w:ilvl w:val="0"/>
                <w:numId w:val="9"/>
              </w:numPr>
              <w:tabs>
                <w:tab w:val="left" w:pos="590"/>
              </w:tabs>
              <w:spacing w:after="60"/>
              <w:rPr>
                <w:szCs w:val="24"/>
              </w:rPr>
            </w:pPr>
            <w:r w:rsidRPr="00071D95">
              <w:rPr>
                <w:szCs w:val="24"/>
              </w:rPr>
              <w:t>38 CFR 3.159(a)(4)</w:t>
            </w:r>
          </w:p>
          <w:p w14:paraId="00EBE8EE" w14:textId="69C66708" w:rsidR="000A75E0" w:rsidRPr="00071D95" w:rsidRDefault="000A75E0" w:rsidP="000A75E0">
            <w:pPr>
              <w:numPr>
                <w:ilvl w:val="0"/>
                <w:numId w:val="9"/>
              </w:numPr>
              <w:tabs>
                <w:tab w:val="left" w:pos="590"/>
              </w:tabs>
              <w:spacing w:after="60"/>
              <w:rPr>
                <w:szCs w:val="24"/>
              </w:rPr>
            </w:pPr>
            <w:r w:rsidRPr="00071D95">
              <w:t>38 CFR 3.304(d)</w:t>
            </w:r>
          </w:p>
        </w:tc>
      </w:tr>
      <w:tr w:rsidR="00071D95" w:rsidRPr="00071D95" w14:paraId="2B8112A0" w14:textId="77777777" w:rsidTr="00A35C2D">
        <w:trPr>
          <w:trHeight w:val="212"/>
        </w:trPr>
        <w:tc>
          <w:tcPr>
            <w:tcW w:w="2560" w:type="dxa"/>
            <w:tcBorders>
              <w:top w:val="nil"/>
              <w:left w:val="nil"/>
              <w:bottom w:val="nil"/>
              <w:right w:val="nil"/>
            </w:tcBorders>
          </w:tcPr>
          <w:p w14:paraId="22E6F2D3" w14:textId="7CCFC46F" w:rsidR="00582AD7" w:rsidRPr="00071D95" w:rsidRDefault="007B2C52" w:rsidP="00A35C2D">
            <w:pPr>
              <w:pStyle w:val="VBALevel2Heading"/>
              <w:rPr>
                <w:bCs/>
                <w:i/>
                <w:color w:val="auto"/>
              </w:rPr>
            </w:pPr>
            <w:r w:rsidRPr="00071D95">
              <w:rPr>
                <w:color w:val="auto"/>
              </w:rPr>
              <w:t>Circumstances of Service Regulation</w:t>
            </w:r>
            <w:r w:rsidR="00582AD7" w:rsidRPr="00071D95">
              <w:rPr>
                <w:color w:val="auto"/>
              </w:rPr>
              <w:br/>
            </w:r>
          </w:p>
          <w:p w14:paraId="10FE3D08" w14:textId="2E6C0AC1" w:rsidR="00582AD7" w:rsidRPr="00071D95" w:rsidRDefault="00582AD7" w:rsidP="00A35C2D">
            <w:pPr>
              <w:pStyle w:val="VBASlideNumber"/>
              <w:rPr>
                <w:color w:val="auto"/>
              </w:rPr>
            </w:pPr>
            <w:r w:rsidRPr="00071D95">
              <w:rPr>
                <w:color w:val="auto"/>
              </w:rPr>
              <w:t>Slide</w:t>
            </w:r>
            <w:r w:rsidR="00F60DBC" w:rsidRPr="00071D95">
              <w:rPr>
                <w:color w:val="auto"/>
              </w:rPr>
              <w:t xml:space="preserve"> 14</w:t>
            </w:r>
          </w:p>
          <w:p w14:paraId="04780E1D" w14:textId="55B42849" w:rsidR="00582AD7" w:rsidRPr="00071D95" w:rsidRDefault="001C312C" w:rsidP="00A35C2D">
            <w:pPr>
              <w:pStyle w:val="VBAHandoutNumber"/>
              <w:rPr>
                <w:color w:val="auto"/>
              </w:rPr>
            </w:pPr>
            <w:r>
              <w:rPr>
                <w:color w:val="auto"/>
              </w:rPr>
              <w:t>Handout 8</w:t>
            </w:r>
          </w:p>
        </w:tc>
        <w:tc>
          <w:tcPr>
            <w:tcW w:w="7217" w:type="dxa"/>
            <w:tcBorders>
              <w:top w:val="nil"/>
              <w:left w:val="nil"/>
              <w:bottom w:val="nil"/>
              <w:right w:val="nil"/>
            </w:tcBorders>
          </w:tcPr>
          <w:p w14:paraId="4A583831" w14:textId="59E14218" w:rsidR="007B2C52" w:rsidRPr="00071D95" w:rsidRDefault="008D721F" w:rsidP="007B2C52">
            <w:pPr>
              <w:pStyle w:val="VBABodyText"/>
              <w:rPr>
                <w:color w:val="auto"/>
              </w:rPr>
            </w:pPr>
            <w:r w:rsidRPr="00071D95">
              <w:rPr>
                <w:color w:val="auto"/>
              </w:rPr>
              <w:t>Explain that the VSR, RVSR and DRO must give d</w:t>
            </w:r>
            <w:r w:rsidR="007B2C52" w:rsidRPr="00071D95">
              <w:rPr>
                <w:color w:val="auto"/>
              </w:rPr>
              <w:t>ue consideration to the places, type</w:t>
            </w:r>
            <w:r w:rsidRPr="00071D95">
              <w:rPr>
                <w:color w:val="auto"/>
              </w:rPr>
              <w:t xml:space="preserve">s, and circumstances of service when evaluating lay evidence. </w:t>
            </w:r>
          </w:p>
          <w:p w14:paraId="11956645" w14:textId="5A6F17E9" w:rsidR="00582AD7" w:rsidRPr="00071D95" w:rsidRDefault="007B2C52" w:rsidP="00A35C2D">
            <w:pPr>
              <w:pStyle w:val="VBABodyText"/>
              <w:rPr>
                <w:color w:val="auto"/>
              </w:rPr>
            </w:pPr>
            <w:r w:rsidRPr="00071D95">
              <w:rPr>
                <w:color w:val="auto"/>
              </w:rPr>
              <w:t>38 CFR §3.159 </w:t>
            </w:r>
            <w:r w:rsidR="000A0992" w:rsidRPr="00071D95">
              <w:rPr>
                <w:color w:val="auto"/>
              </w:rPr>
              <w:t>(a)(4)  states f</w:t>
            </w:r>
            <w:r w:rsidRPr="00071D95">
              <w:rPr>
                <w:color w:val="auto"/>
              </w:rPr>
              <w:t xml:space="preserve">or purposes of paragraph (c)(4)(i) of this section, </w:t>
            </w:r>
            <w:r w:rsidRPr="00071D95">
              <w:rPr>
                <w:i/>
                <w:iCs/>
                <w:color w:val="auto"/>
              </w:rPr>
              <w:t>event</w:t>
            </w:r>
            <w:r w:rsidRPr="00071D95">
              <w:rPr>
                <w:color w:val="auto"/>
              </w:rPr>
              <w:t xml:space="preserve"> means one or more incidents associated with places, types, and circumstances of service giving rise to disability.</w:t>
            </w:r>
          </w:p>
        </w:tc>
      </w:tr>
      <w:tr w:rsidR="00071D95" w:rsidRPr="00071D95" w14:paraId="20C3B8E3" w14:textId="77777777" w:rsidTr="00A35C2D">
        <w:trPr>
          <w:trHeight w:val="212"/>
        </w:trPr>
        <w:tc>
          <w:tcPr>
            <w:tcW w:w="2560" w:type="dxa"/>
            <w:tcBorders>
              <w:top w:val="nil"/>
              <w:left w:val="nil"/>
              <w:bottom w:val="nil"/>
              <w:right w:val="nil"/>
            </w:tcBorders>
          </w:tcPr>
          <w:p w14:paraId="0C447C10" w14:textId="65CE8C10" w:rsidR="005A1903" w:rsidRPr="00071D95" w:rsidRDefault="007B2C52" w:rsidP="00A35C2D">
            <w:pPr>
              <w:pStyle w:val="VBALevel2Heading"/>
              <w:rPr>
                <w:color w:val="auto"/>
                <w:sz w:val="16"/>
              </w:rPr>
            </w:pPr>
            <w:r w:rsidRPr="00071D95">
              <w:rPr>
                <w:color w:val="auto"/>
              </w:rPr>
              <w:t>Service Lay Statements</w:t>
            </w:r>
            <w:r w:rsidR="00582AD7" w:rsidRPr="00071D95">
              <w:rPr>
                <w:color w:val="auto"/>
              </w:rPr>
              <w:br/>
            </w:r>
          </w:p>
          <w:p w14:paraId="4C49C3A6" w14:textId="03305A32" w:rsidR="00582AD7" w:rsidRPr="00071D95" w:rsidRDefault="00F60DBC" w:rsidP="00A35C2D">
            <w:pPr>
              <w:pStyle w:val="VBASlideNumber"/>
              <w:rPr>
                <w:color w:val="auto"/>
              </w:rPr>
            </w:pPr>
            <w:r w:rsidRPr="00071D95">
              <w:rPr>
                <w:color w:val="auto"/>
              </w:rPr>
              <w:t>Slide 15</w:t>
            </w:r>
          </w:p>
          <w:p w14:paraId="073290CD" w14:textId="77EA74FA" w:rsidR="0044390B" w:rsidRPr="00071D95" w:rsidRDefault="001C312C" w:rsidP="00A35C2D">
            <w:pPr>
              <w:pStyle w:val="VBAHandoutNumber"/>
              <w:rPr>
                <w:color w:val="auto"/>
              </w:rPr>
            </w:pPr>
            <w:r>
              <w:rPr>
                <w:color w:val="auto"/>
              </w:rPr>
              <w:t>Handout 8</w:t>
            </w:r>
          </w:p>
          <w:p w14:paraId="70581A78" w14:textId="77777777" w:rsidR="005A1903" w:rsidRPr="00071D95" w:rsidRDefault="005A1903" w:rsidP="00A35C2D">
            <w:pPr>
              <w:pStyle w:val="VBAHandoutNumber"/>
              <w:rPr>
                <w:color w:val="auto"/>
              </w:rPr>
            </w:pPr>
          </w:p>
          <w:p w14:paraId="1AA6F84A" w14:textId="77777777" w:rsidR="007B2C52" w:rsidRPr="00071D95" w:rsidRDefault="007B2C52" w:rsidP="00A35C2D">
            <w:pPr>
              <w:pStyle w:val="VBAHandoutNumber"/>
              <w:rPr>
                <w:b/>
                <w:i w:val="0"/>
                <w:color w:val="auto"/>
              </w:rPr>
            </w:pPr>
            <w:r w:rsidRPr="00071D95">
              <w:rPr>
                <w:b/>
                <w:i w:val="0"/>
                <w:color w:val="auto"/>
              </w:rPr>
              <w:t>Military Occupations Specialty</w:t>
            </w:r>
          </w:p>
          <w:p w14:paraId="353F1158" w14:textId="77777777" w:rsidR="007B2C52" w:rsidRPr="00071D95" w:rsidRDefault="007B2C52" w:rsidP="00A35C2D">
            <w:pPr>
              <w:pStyle w:val="VBAHandoutNumber"/>
              <w:rPr>
                <w:b/>
                <w:i w:val="0"/>
                <w:color w:val="auto"/>
              </w:rPr>
            </w:pPr>
          </w:p>
          <w:p w14:paraId="67B51BEE" w14:textId="77777777" w:rsidR="00B35E3D" w:rsidRPr="00B35E3D" w:rsidRDefault="00B35E3D" w:rsidP="00A35C2D">
            <w:pPr>
              <w:pStyle w:val="VBAHandoutNumber"/>
              <w:rPr>
                <w:b/>
                <w:i w:val="0"/>
                <w:color w:val="auto"/>
                <w:sz w:val="10"/>
              </w:rPr>
            </w:pPr>
          </w:p>
          <w:p w14:paraId="34DD13B9" w14:textId="29FD7924" w:rsidR="007B2C52" w:rsidRPr="00071D95" w:rsidRDefault="007B2C52" w:rsidP="00A35C2D">
            <w:pPr>
              <w:pStyle w:val="VBAHandoutNumber"/>
              <w:rPr>
                <w:b/>
                <w:i w:val="0"/>
                <w:color w:val="auto"/>
              </w:rPr>
            </w:pPr>
            <w:r w:rsidRPr="00071D95">
              <w:rPr>
                <w:b/>
                <w:i w:val="0"/>
                <w:color w:val="auto"/>
              </w:rPr>
              <w:t xml:space="preserve">Combat Veterans Regulation </w:t>
            </w:r>
          </w:p>
          <w:p w14:paraId="64CB896F" w14:textId="77777777" w:rsidR="007B2C52" w:rsidRPr="00B35E3D" w:rsidRDefault="007B2C52" w:rsidP="00A35C2D">
            <w:pPr>
              <w:pStyle w:val="VBAHandoutNumber"/>
              <w:rPr>
                <w:b/>
                <w:i w:val="0"/>
                <w:color w:val="auto"/>
                <w:sz w:val="20"/>
              </w:rPr>
            </w:pPr>
          </w:p>
          <w:p w14:paraId="7100CF42" w14:textId="0F95EED2" w:rsidR="00F60DBC" w:rsidRPr="00071D95" w:rsidRDefault="00F60DBC" w:rsidP="00A35C2D">
            <w:pPr>
              <w:pStyle w:val="VBAHandoutNumber"/>
              <w:rPr>
                <w:color w:val="auto"/>
              </w:rPr>
            </w:pPr>
            <w:r w:rsidRPr="00071D95">
              <w:rPr>
                <w:color w:val="auto"/>
              </w:rPr>
              <w:t>Slide 16</w:t>
            </w:r>
          </w:p>
          <w:p w14:paraId="44E38E4C" w14:textId="76CDE6DD" w:rsidR="007B2C52" w:rsidRPr="00C978DC" w:rsidRDefault="00C978DC" w:rsidP="00A35C2D">
            <w:pPr>
              <w:pStyle w:val="VBAHandoutNumber"/>
              <w:rPr>
                <w:color w:val="auto"/>
              </w:rPr>
            </w:pPr>
            <w:r w:rsidRPr="00C978DC">
              <w:rPr>
                <w:color w:val="auto"/>
              </w:rPr>
              <w:t>Handout 8</w:t>
            </w:r>
          </w:p>
        </w:tc>
        <w:tc>
          <w:tcPr>
            <w:tcW w:w="7217" w:type="dxa"/>
            <w:tcBorders>
              <w:top w:val="nil"/>
              <w:left w:val="nil"/>
              <w:bottom w:val="nil"/>
              <w:right w:val="nil"/>
            </w:tcBorders>
          </w:tcPr>
          <w:p w14:paraId="75692536" w14:textId="6EDD13CB" w:rsidR="00624948" w:rsidRPr="00071D95" w:rsidRDefault="000235C9" w:rsidP="007B2C52">
            <w:r w:rsidRPr="00071D95">
              <w:t>A claimant is competent (qualified) to describe events, places and circumstances of their service.</w:t>
            </w:r>
            <w:r w:rsidR="007B2C52" w:rsidRPr="00071D95">
              <w:t xml:space="preserve"> </w:t>
            </w:r>
            <w:r w:rsidRPr="00071D95">
              <w:t>However, in most cases the circumstances of service must be corroborated.</w:t>
            </w:r>
          </w:p>
          <w:p w14:paraId="6F9B151D" w14:textId="77777777" w:rsidR="0044390B" w:rsidRPr="00071D95" w:rsidRDefault="0044390B" w:rsidP="007B2C52"/>
          <w:p w14:paraId="654BC9C7" w14:textId="77777777" w:rsidR="0044390B" w:rsidRPr="00071D95" w:rsidRDefault="0044390B" w:rsidP="007B2C52"/>
          <w:p w14:paraId="36A3A159" w14:textId="77777777" w:rsidR="005A1903" w:rsidRPr="00071D95" w:rsidRDefault="005A1903" w:rsidP="007B2C52"/>
          <w:p w14:paraId="0C99EE20" w14:textId="2788B554" w:rsidR="007B2C52" w:rsidRPr="00071D95" w:rsidRDefault="007B2C52" w:rsidP="007B2C52">
            <w:r w:rsidRPr="00071D95">
              <w:t xml:space="preserve">The service records, to include a Military Occupation Specialty (MOS), of a Veteran can establish the “event” in service if the service treatment records themselves do not show an event occurred. </w:t>
            </w:r>
          </w:p>
          <w:p w14:paraId="48533476" w14:textId="77777777" w:rsidR="007B2C52" w:rsidRPr="00071D95" w:rsidRDefault="007B2C52" w:rsidP="007B2C52"/>
          <w:p w14:paraId="32ABD474" w14:textId="56CF6EF4" w:rsidR="00B35E3D" w:rsidRDefault="00B35E3D" w:rsidP="00B35E3D">
            <w:pPr>
              <w:spacing w:before="0"/>
            </w:pPr>
            <w:r>
              <w:t>Explain to trainees that C</w:t>
            </w:r>
            <w:r w:rsidRPr="00071D95">
              <w:t xml:space="preserve">ombat Status is an adjudicative determination, which may involve weighing evidence. </w:t>
            </w:r>
          </w:p>
          <w:p w14:paraId="40429EB5" w14:textId="77777777" w:rsidR="00B35E3D" w:rsidRPr="00071D95" w:rsidRDefault="00B35E3D" w:rsidP="00B35E3D">
            <w:pPr>
              <w:spacing w:before="0"/>
            </w:pPr>
          </w:p>
          <w:p w14:paraId="5A76953B" w14:textId="05023BB6" w:rsidR="007B2C52" w:rsidRPr="00071D95" w:rsidRDefault="00B35E3D" w:rsidP="00B35E3D">
            <w:pPr>
              <w:spacing w:before="0"/>
            </w:pPr>
            <w:r w:rsidRPr="00071D95">
              <w:t xml:space="preserve"> </w:t>
            </w:r>
            <w:r w:rsidR="007B2C52" w:rsidRPr="00071D95">
              <w:t>38 CFR §3.304(d)</w:t>
            </w:r>
            <w:r w:rsidR="007B2C52" w:rsidRPr="00071D95">
              <w:rPr>
                <w:i/>
              </w:rPr>
              <w:t xml:space="preserve"> Combat</w:t>
            </w:r>
            <w:r w:rsidR="007B2C52" w:rsidRPr="00071D95">
              <w:t xml:space="preserve">. Satisfactory lay or other evidence that an injury or disease was incurred or aggravated in combat will be accepted as sufficient proof of service connection if the evidence is consistent with the circumstances, conditions or hardships of such service even though there is no official record of such incurrence or aggravation. (Authority: 38 U.S.C. 1154(b)) </w:t>
            </w:r>
          </w:p>
          <w:p w14:paraId="2A8E25BC" w14:textId="77777777" w:rsidR="00186FC2" w:rsidRPr="00071D95" w:rsidRDefault="00186FC2" w:rsidP="005A0277">
            <w:pPr>
              <w:spacing w:before="0"/>
            </w:pPr>
          </w:p>
          <w:p w14:paraId="582F119E" w14:textId="6EC31230" w:rsidR="007B2C52" w:rsidRPr="00071D95" w:rsidRDefault="007B2C52" w:rsidP="00B35E3D">
            <w:pPr>
              <w:spacing w:before="0"/>
            </w:pPr>
          </w:p>
        </w:tc>
      </w:tr>
      <w:tr w:rsidR="00582AD7" w:rsidRPr="00071D95" w14:paraId="086F5C1F" w14:textId="77777777" w:rsidTr="00582AD7">
        <w:trPr>
          <w:trHeight w:val="212"/>
        </w:trPr>
        <w:tc>
          <w:tcPr>
            <w:tcW w:w="2560" w:type="dxa"/>
            <w:tcBorders>
              <w:top w:val="nil"/>
              <w:left w:val="nil"/>
              <w:bottom w:val="nil"/>
              <w:right w:val="nil"/>
            </w:tcBorders>
          </w:tcPr>
          <w:p w14:paraId="51C6F58F" w14:textId="77777777" w:rsidR="00582AD7" w:rsidRPr="00071D95" w:rsidRDefault="00582AD7" w:rsidP="00582AD7">
            <w:pPr>
              <w:pStyle w:val="VBANOTES"/>
            </w:pPr>
            <w:r w:rsidRPr="00071D95">
              <w:lastRenderedPageBreak/>
              <w:t>Regional Office Specific Topics</w:t>
            </w:r>
          </w:p>
        </w:tc>
        <w:tc>
          <w:tcPr>
            <w:tcW w:w="7217" w:type="dxa"/>
            <w:tcBorders>
              <w:top w:val="nil"/>
              <w:left w:val="nil"/>
              <w:bottom w:val="nil"/>
              <w:right w:val="nil"/>
            </w:tcBorders>
          </w:tcPr>
          <w:p w14:paraId="7256E6FF" w14:textId="77777777" w:rsidR="00582AD7" w:rsidRPr="00071D95" w:rsidRDefault="00582AD7" w:rsidP="00582AD7">
            <w:pPr>
              <w:pStyle w:val="VBABodyText"/>
              <w:rPr>
                <w:color w:val="auto"/>
              </w:rPr>
            </w:pPr>
            <w:r w:rsidRPr="00071D95">
              <w:rPr>
                <w:color w:val="auto"/>
              </w:rPr>
              <w:t>At this time add any information pertaining to:</w:t>
            </w:r>
          </w:p>
          <w:p w14:paraId="0AE8C524" w14:textId="77777777" w:rsidR="00582AD7" w:rsidRPr="00071D95" w:rsidRDefault="00582AD7" w:rsidP="00A35C2D">
            <w:pPr>
              <w:pStyle w:val="VBAFirstLevelBullet"/>
            </w:pPr>
            <w:r w:rsidRPr="00071D95">
              <w:t>Station quality issues with this lesson</w:t>
            </w:r>
          </w:p>
          <w:p w14:paraId="1EDFBD56" w14:textId="77777777" w:rsidR="00582AD7" w:rsidRPr="00071D95" w:rsidRDefault="00582AD7" w:rsidP="00A35C2D">
            <w:pPr>
              <w:pStyle w:val="VBAFirstLevelBullet"/>
            </w:pPr>
            <w:r w:rsidRPr="00071D95">
              <w:t>Additional State specific programs/guidance on this lesson</w:t>
            </w:r>
          </w:p>
        </w:tc>
      </w:tr>
    </w:tbl>
    <w:p w14:paraId="235F423B" w14:textId="77777777" w:rsidR="009B2F5A" w:rsidRPr="00071D95" w:rsidRDefault="009B2F5A" w:rsidP="00582AD7">
      <w:pPr>
        <w:pStyle w:val="Heading1"/>
        <w:jc w:val="left"/>
        <w:rPr>
          <w:rFonts w:ascii="Times New Roman" w:hAnsi="Times New Roman"/>
        </w:rPr>
      </w:pPr>
    </w:p>
    <w:p w14:paraId="235F424D" w14:textId="6E930595" w:rsidR="009B2F5A" w:rsidRPr="00071D95" w:rsidRDefault="009B2F5A" w:rsidP="005A1903">
      <w:pPr>
        <w:pStyle w:val="Heading1"/>
        <w:jc w:val="left"/>
        <w:rPr>
          <w:rFonts w:ascii="Times New Roman" w:hAnsi="Times New Roman"/>
          <w:szCs w:val="24"/>
        </w:rPr>
      </w:pPr>
      <w:r w:rsidRPr="00071D95">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071D95" w:rsidRPr="00071D95" w14:paraId="235F424F" w14:textId="77777777">
        <w:trPr>
          <w:trHeight w:val="212"/>
        </w:trPr>
        <w:tc>
          <w:tcPr>
            <w:tcW w:w="9527" w:type="dxa"/>
            <w:gridSpan w:val="2"/>
            <w:tcBorders>
              <w:top w:val="nil"/>
              <w:left w:val="nil"/>
              <w:bottom w:val="nil"/>
              <w:right w:val="nil"/>
            </w:tcBorders>
          </w:tcPr>
          <w:p w14:paraId="235F424E" w14:textId="77777777" w:rsidR="009B2F5A" w:rsidRPr="00071D95" w:rsidRDefault="009B2F5A">
            <w:pPr>
              <w:pStyle w:val="Heading1"/>
              <w:rPr>
                <w:rFonts w:ascii="Times New Roman" w:hAnsi="Times New Roman"/>
              </w:rPr>
            </w:pPr>
            <w:bookmarkStart w:id="42" w:name="_Toc269888426"/>
            <w:bookmarkStart w:id="43" w:name="_Toc269888769"/>
            <w:bookmarkStart w:id="44" w:name="_Toc269888792"/>
            <w:bookmarkStart w:id="45" w:name="_Toc442278451"/>
            <w:r w:rsidRPr="00071D95">
              <w:rPr>
                <w:rFonts w:ascii="Times New Roman" w:hAnsi="Times New Roman"/>
              </w:rPr>
              <w:lastRenderedPageBreak/>
              <w:t>Lesson Review, Assessment, and Wrap-up</w:t>
            </w:r>
            <w:bookmarkEnd w:id="42"/>
            <w:bookmarkEnd w:id="43"/>
            <w:bookmarkEnd w:id="44"/>
            <w:bookmarkEnd w:id="45"/>
          </w:p>
        </w:tc>
      </w:tr>
      <w:tr w:rsidR="00071D95" w:rsidRPr="00071D95" w14:paraId="235F4254" w14:textId="77777777">
        <w:trPr>
          <w:trHeight w:val="1651"/>
        </w:trPr>
        <w:tc>
          <w:tcPr>
            <w:tcW w:w="2553" w:type="dxa"/>
            <w:tcBorders>
              <w:top w:val="nil"/>
              <w:left w:val="nil"/>
              <w:bottom w:val="nil"/>
              <w:right w:val="nil"/>
            </w:tcBorders>
          </w:tcPr>
          <w:p w14:paraId="235F4250" w14:textId="77777777" w:rsidR="009B2F5A" w:rsidRPr="00071D95" w:rsidRDefault="009B2F5A">
            <w:pPr>
              <w:pStyle w:val="VBALevel1Heading"/>
            </w:pPr>
            <w:bookmarkStart w:id="46" w:name="_Toc269888427"/>
            <w:bookmarkStart w:id="47" w:name="_Toc269888770"/>
            <w:r w:rsidRPr="00071D95">
              <w:t>Introduction</w:t>
            </w:r>
            <w:bookmarkEnd w:id="46"/>
            <w:bookmarkEnd w:id="47"/>
          </w:p>
          <w:p w14:paraId="235F4251" w14:textId="77777777" w:rsidR="009B2F5A" w:rsidRPr="00071D95" w:rsidRDefault="009B2F5A">
            <w:pPr>
              <w:pStyle w:val="VBAInstructorExplanation"/>
              <w:rPr>
                <w:color w:val="auto"/>
              </w:rPr>
            </w:pPr>
            <w:r w:rsidRPr="00071D95">
              <w:rPr>
                <w:color w:val="auto"/>
              </w:rPr>
              <w:t>Discuss the following:</w:t>
            </w:r>
          </w:p>
        </w:tc>
        <w:tc>
          <w:tcPr>
            <w:tcW w:w="6974" w:type="dxa"/>
            <w:tcBorders>
              <w:top w:val="nil"/>
              <w:left w:val="nil"/>
              <w:bottom w:val="nil"/>
              <w:right w:val="nil"/>
            </w:tcBorders>
          </w:tcPr>
          <w:p w14:paraId="235F4252" w14:textId="7E2B4693" w:rsidR="009B2F5A" w:rsidRPr="00071D95" w:rsidRDefault="009B2F5A">
            <w:pPr>
              <w:pStyle w:val="VBABodyText"/>
              <w:rPr>
                <w:color w:val="auto"/>
              </w:rPr>
            </w:pPr>
            <w:r w:rsidRPr="00071D95">
              <w:rPr>
                <w:color w:val="auto"/>
              </w:rPr>
              <w:t xml:space="preserve">The </w:t>
            </w:r>
            <w:r w:rsidR="005A1903" w:rsidRPr="00071D95">
              <w:rPr>
                <w:color w:val="auto"/>
              </w:rPr>
              <w:t>Evaluating Lay Evidence</w:t>
            </w:r>
            <w:r w:rsidRPr="00071D95">
              <w:rPr>
                <w:color w:val="auto"/>
              </w:rPr>
              <w:t xml:space="preserve"> lesson is complete. </w:t>
            </w:r>
          </w:p>
          <w:p w14:paraId="235F4253" w14:textId="77777777" w:rsidR="009B2F5A" w:rsidRPr="00071D95" w:rsidRDefault="009B2F5A">
            <w:pPr>
              <w:pStyle w:val="VBABodyText"/>
              <w:spacing w:after="120"/>
              <w:rPr>
                <w:color w:val="auto"/>
              </w:rPr>
            </w:pPr>
            <w:r w:rsidRPr="00071D95">
              <w:rPr>
                <w:color w:val="auto"/>
              </w:rPr>
              <w:t>Review each lesson objective and ask the trainees for any questions or comments.</w:t>
            </w:r>
          </w:p>
        </w:tc>
      </w:tr>
      <w:tr w:rsidR="00071D95" w:rsidRPr="00071D95" w14:paraId="235F4257" w14:textId="77777777">
        <w:tc>
          <w:tcPr>
            <w:tcW w:w="2553" w:type="dxa"/>
            <w:tcBorders>
              <w:top w:val="nil"/>
              <w:left w:val="nil"/>
              <w:bottom w:val="nil"/>
              <w:right w:val="nil"/>
            </w:tcBorders>
          </w:tcPr>
          <w:p w14:paraId="235F4255" w14:textId="77777777" w:rsidR="009B2F5A" w:rsidRPr="00071D95" w:rsidRDefault="009B2F5A">
            <w:pPr>
              <w:pStyle w:val="VBALevel1Heading"/>
            </w:pPr>
            <w:bookmarkStart w:id="48" w:name="_Toc269888428"/>
            <w:bookmarkStart w:id="49" w:name="_Toc269888771"/>
            <w:r w:rsidRPr="00071D95">
              <w:t>Time Required</w:t>
            </w:r>
            <w:bookmarkEnd w:id="48"/>
            <w:bookmarkEnd w:id="49"/>
          </w:p>
        </w:tc>
        <w:tc>
          <w:tcPr>
            <w:tcW w:w="6974" w:type="dxa"/>
            <w:tcBorders>
              <w:top w:val="nil"/>
              <w:left w:val="nil"/>
              <w:bottom w:val="nil"/>
              <w:right w:val="nil"/>
            </w:tcBorders>
          </w:tcPr>
          <w:p w14:paraId="235F4256" w14:textId="019CDCDA" w:rsidR="009B2F5A" w:rsidRPr="00071D95" w:rsidRDefault="00CB03C1">
            <w:pPr>
              <w:pStyle w:val="VBABodyText"/>
              <w:spacing w:after="120"/>
              <w:rPr>
                <w:b/>
                <w:color w:val="auto"/>
              </w:rPr>
            </w:pPr>
            <w:r w:rsidRPr="00071D95">
              <w:rPr>
                <w:bCs/>
                <w:color w:val="auto"/>
              </w:rPr>
              <w:t>15 minutes</w:t>
            </w:r>
          </w:p>
        </w:tc>
      </w:tr>
      <w:tr w:rsidR="00071D95" w:rsidRPr="00071D95" w14:paraId="235F425E" w14:textId="77777777">
        <w:trPr>
          <w:trHeight w:val="212"/>
        </w:trPr>
        <w:tc>
          <w:tcPr>
            <w:tcW w:w="2553" w:type="dxa"/>
            <w:tcBorders>
              <w:top w:val="nil"/>
              <w:left w:val="nil"/>
              <w:bottom w:val="nil"/>
              <w:right w:val="nil"/>
            </w:tcBorders>
          </w:tcPr>
          <w:p w14:paraId="235F4258" w14:textId="77777777" w:rsidR="009B2F5A" w:rsidRPr="00071D95" w:rsidRDefault="009B2F5A">
            <w:pPr>
              <w:pStyle w:val="VBALevel1Heading"/>
            </w:pPr>
            <w:bookmarkStart w:id="50" w:name="_Toc269888429"/>
            <w:bookmarkStart w:id="51" w:name="_Toc269888772"/>
            <w:r w:rsidRPr="00071D95">
              <w:t>Lesson Objectives</w:t>
            </w:r>
            <w:bookmarkEnd w:id="50"/>
            <w:bookmarkEnd w:id="51"/>
          </w:p>
        </w:tc>
        <w:tc>
          <w:tcPr>
            <w:tcW w:w="6974" w:type="dxa"/>
            <w:tcBorders>
              <w:top w:val="nil"/>
              <w:left w:val="nil"/>
              <w:bottom w:val="nil"/>
              <w:right w:val="nil"/>
            </w:tcBorders>
          </w:tcPr>
          <w:p w14:paraId="235F4259" w14:textId="4219966B" w:rsidR="009B2F5A" w:rsidRPr="00071D95" w:rsidRDefault="009B2F5A">
            <w:pPr>
              <w:spacing w:after="120"/>
            </w:pPr>
            <w:r w:rsidRPr="00071D95">
              <w:t>You have completed the</w:t>
            </w:r>
            <w:r w:rsidR="00051147" w:rsidRPr="00071D95">
              <w:t xml:space="preserve"> Evaluating Lay Evidence l</w:t>
            </w:r>
            <w:r w:rsidRPr="00071D95">
              <w:t xml:space="preserve"> lesson. </w:t>
            </w:r>
          </w:p>
          <w:p w14:paraId="235F425A" w14:textId="77777777" w:rsidR="009B2F5A" w:rsidRPr="00071D95" w:rsidRDefault="009B2F5A">
            <w:pPr>
              <w:spacing w:after="120"/>
            </w:pPr>
            <w:r w:rsidRPr="00071D95">
              <w:t xml:space="preserve">The trainee should be able to:  </w:t>
            </w:r>
          </w:p>
          <w:p w14:paraId="5FD5C26A" w14:textId="77777777" w:rsidR="007914F7" w:rsidRPr="00071D95" w:rsidRDefault="007914F7" w:rsidP="007914F7">
            <w:pPr>
              <w:pStyle w:val="VBAFirstLevelBullet"/>
              <w:numPr>
                <w:ilvl w:val="0"/>
                <w:numId w:val="19"/>
              </w:numPr>
            </w:pPr>
            <w:r w:rsidRPr="00071D95">
              <w:t>Define lay evidence</w:t>
            </w:r>
          </w:p>
          <w:p w14:paraId="26905212" w14:textId="77777777" w:rsidR="007914F7" w:rsidRPr="00071D95" w:rsidRDefault="007914F7" w:rsidP="007914F7">
            <w:pPr>
              <w:pStyle w:val="VBAFirstLevelBullet"/>
              <w:numPr>
                <w:ilvl w:val="0"/>
                <w:numId w:val="19"/>
              </w:numPr>
            </w:pPr>
            <w:r w:rsidRPr="00071D95">
              <w:t>Identify the four critical points to determine the credibility of lay evidence</w:t>
            </w:r>
          </w:p>
          <w:p w14:paraId="09A95628" w14:textId="77777777" w:rsidR="007914F7" w:rsidRPr="00071D95" w:rsidRDefault="007914F7" w:rsidP="007914F7">
            <w:pPr>
              <w:pStyle w:val="VBAFirstLevelBullet"/>
              <w:numPr>
                <w:ilvl w:val="0"/>
                <w:numId w:val="19"/>
              </w:numPr>
            </w:pPr>
            <w:r w:rsidRPr="00071D95">
              <w:t>Understand the difference between the four issues</w:t>
            </w:r>
          </w:p>
          <w:p w14:paraId="235F425D" w14:textId="22BA4AD6" w:rsidR="009B2F5A" w:rsidRPr="00071D95" w:rsidRDefault="009B2F5A" w:rsidP="007914F7">
            <w:pPr>
              <w:spacing w:before="60" w:after="60"/>
            </w:pPr>
          </w:p>
        </w:tc>
      </w:tr>
      <w:tr w:rsidR="00071D95" w:rsidRPr="00071D95" w14:paraId="235F4263" w14:textId="77777777">
        <w:trPr>
          <w:trHeight w:val="212"/>
        </w:trPr>
        <w:tc>
          <w:tcPr>
            <w:tcW w:w="2553" w:type="dxa"/>
            <w:tcBorders>
              <w:top w:val="nil"/>
              <w:left w:val="nil"/>
              <w:bottom w:val="nil"/>
              <w:right w:val="nil"/>
            </w:tcBorders>
          </w:tcPr>
          <w:p w14:paraId="235F425F" w14:textId="77777777" w:rsidR="009B2F5A" w:rsidRPr="00071D95" w:rsidRDefault="009B2F5A">
            <w:pPr>
              <w:pStyle w:val="VBALevel1Heading"/>
              <w:spacing w:after="120"/>
            </w:pPr>
            <w:r w:rsidRPr="00071D95">
              <w:t xml:space="preserve">Assessment </w:t>
            </w:r>
          </w:p>
          <w:p w14:paraId="235F4260" w14:textId="77777777" w:rsidR="009B2F5A" w:rsidRPr="00071D95"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071D95" w:rsidRDefault="009B2F5A">
            <w:pPr>
              <w:pStyle w:val="VBABodyText"/>
              <w:spacing w:after="120"/>
              <w:rPr>
                <w:color w:val="auto"/>
              </w:rPr>
            </w:pPr>
            <w:r w:rsidRPr="00071D95">
              <w:rPr>
                <w:color w:val="auto"/>
              </w:rPr>
              <w:t>Remind the trainees to complete the on-line assessment in TMS to receive credit for completion of the course.</w:t>
            </w:r>
          </w:p>
          <w:p w14:paraId="235F4262" w14:textId="77777777" w:rsidR="009B2F5A" w:rsidRPr="00071D95" w:rsidRDefault="009B2F5A">
            <w:pPr>
              <w:pStyle w:val="VBABodyText"/>
              <w:spacing w:after="120"/>
              <w:rPr>
                <w:b/>
                <w:color w:val="auto"/>
              </w:rPr>
            </w:pPr>
            <w:r w:rsidRPr="00071D95">
              <w:rPr>
                <w:color w:val="auto"/>
              </w:rPr>
              <w:t>The assessment will allow the participants to demonstrate their understanding of the information presented in this lesson.</w:t>
            </w:r>
          </w:p>
        </w:tc>
      </w:tr>
    </w:tbl>
    <w:p w14:paraId="235F4264" w14:textId="77777777" w:rsidR="009B2F5A" w:rsidRPr="00071D95" w:rsidRDefault="009B2F5A">
      <w:pPr>
        <w:tabs>
          <w:tab w:val="left" w:pos="240"/>
        </w:tabs>
        <w:rPr>
          <w:b/>
        </w:rPr>
      </w:pPr>
      <w:r w:rsidRPr="00071D95">
        <w:tab/>
      </w:r>
    </w:p>
    <w:sectPr w:rsidR="009B2F5A" w:rsidRPr="00071D95">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B160A" w14:textId="77777777" w:rsidR="00342131" w:rsidRDefault="00342131">
      <w:r>
        <w:separator/>
      </w:r>
    </w:p>
  </w:endnote>
  <w:endnote w:type="continuationSeparator" w:id="0">
    <w:p w14:paraId="6B5F0E2A" w14:textId="77777777" w:rsidR="00342131" w:rsidRDefault="0034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9" w14:textId="43819919" w:rsidR="009B2F5A" w:rsidRDefault="007914F7">
    <w:pPr>
      <w:pStyle w:val="VBAFooter"/>
      <w:widowControl w:val="0"/>
      <w:tabs>
        <w:tab w:val="center" w:pos="4320"/>
        <w:tab w:val="right" w:pos="8640"/>
      </w:tabs>
      <w:rPr>
        <w:color w:val="auto"/>
      </w:rPr>
    </w:pPr>
    <w:r>
      <w:rPr>
        <w:color w:val="auto"/>
      </w:rPr>
      <w:t>February</w:t>
    </w:r>
    <w:r w:rsidR="00FE7BCB">
      <w:rPr>
        <w:color w:val="auto"/>
      </w:rPr>
      <w:t xml:space="preserve"> 2016</w:t>
    </w:r>
    <w:r w:rsidR="009B2F5A">
      <w:rPr>
        <w:color w:val="auto"/>
      </w:rPr>
      <w:tab/>
    </w:r>
    <w:r w:rsidR="009B2F5A">
      <w:rPr>
        <w:color w:val="auto"/>
      </w:rPr>
      <w:tab/>
    </w:r>
    <w:r w:rsidR="00FE7BCB" w:rsidRPr="00FE7BCB">
      <w:rPr>
        <w:color w:val="auto"/>
      </w:rPr>
      <w:t xml:space="preserve">Page </w:t>
    </w:r>
    <w:r w:rsidR="00FE7BCB" w:rsidRPr="00FE7BCB">
      <w:rPr>
        <w:color w:val="auto"/>
      </w:rPr>
      <w:fldChar w:fldCharType="begin"/>
    </w:r>
    <w:r w:rsidR="00FE7BCB" w:rsidRPr="00FE7BCB">
      <w:rPr>
        <w:color w:val="auto"/>
      </w:rPr>
      <w:instrText xml:space="preserve"> PAGE  \* Arabic  \* MERGEFORMAT </w:instrText>
    </w:r>
    <w:r w:rsidR="00FE7BCB" w:rsidRPr="00FE7BCB">
      <w:rPr>
        <w:color w:val="auto"/>
      </w:rPr>
      <w:fldChar w:fldCharType="separate"/>
    </w:r>
    <w:r w:rsidR="00832F67">
      <w:rPr>
        <w:noProof/>
        <w:color w:val="auto"/>
      </w:rPr>
      <w:t>12</w:t>
    </w:r>
    <w:r w:rsidR="00FE7BCB" w:rsidRPr="00FE7BCB">
      <w:rPr>
        <w:color w:val="auto"/>
      </w:rPr>
      <w:fldChar w:fldCharType="end"/>
    </w:r>
    <w:r w:rsidR="00FE7BCB" w:rsidRPr="00FE7BCB">
      <w:rPr>
        <w:color w:val="auto"/>
      </w:rPr>
      <w:t xml:space="preserve"> of </w:t>
    </w:r>
    <w:r w:rsidR="00FE7BCB" w:rsidRPr="00FE7BCB">
      <w:rPr>
        <w:color w:val="auto"/>
      </w:rPr>
      <w:fldChar w:fldCharType="begin"/>
    </w:r>
    <w:r w:rsidR="00FE7BCB" w:rsidRPr="00FE7BCB">
      <w:rPr>
        <w:color w:val="auto"/>
      </w:rPr>
      <w:instrText xml:space="preserve"> NUMPAGES  \* Arabic  \* MERGEFORMAT </w:instrText>
    </w:r>
    <w:r w:rsidR="00FE7BCB" w:rsidRPr="00FE7BCB">
      <w:rPr>
        <w:color w:val="auto"/>
      </w:rPr>
      <w:fldChar w:fldCharType="separate"/>
    </w:r>
    <w:r w:rsidR="00832F67">
      <w:rPr>
        <w:noProof/>
        <w:color w:val="auto"/>
      </w:rPr>
      <w:t>12</w:t>
    </w:r>
    <w:r w:rsidR="00FE7BCB" w:rsidRPr="00FE7BCB">
      <w:rPr>
        <w:color w:val="auto"/>
      </w:rPr>
      <w:fldChar w:fldCharType="end"/>
    </w:r>
    <w:r w:rsidR="009B2F5A" w:rsidRPr="00FE7BCB">
      <w:rPr>
        <w:color w:val="auto"/>
      </w:rPr>
      <w:tab/>
    </w:r>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081CB" w14:textId="77777777" w:rsidR="00342131" w:rsidRDefault="00342131">
      <w:r>
        <w:separator/>
      </w:r>
    </w:p>
  </w:footnote>
  <w:footnote w:type="continuationSeparator" w:id="0">
    <w:p w14:paraId="656FE65D" w14:textId="77777777" w:rsidR="00342131" w:rsidRDefault="00342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659E"/>
    <w:multiLevelType w:val="hybridMultilevel"/>
    <w:tmpl w:val="32A41DA2"/>
    <w:lvl w:ilvl="0" w:tplc="41468E8E">
      <w:start w:val="1"/>
      <w:numFmt w:val="bullet"/>
      <w:lvlText w:val=""/>
      <w:lvlJc w:val="left"/>
      <w:pPr>
        <w:tabs>
          <w:tab w:val="num" w:pos="720"/>
        </w:tabs>
        <w:ind w:left="720" w:hanging="360"/>
      </w:pPr>
      <w:rPr>
        <w:rFonts w:ascii="Wingdings" w:hAnsi="Wingdings" w:hint="default"/>
      </w:rPr>
    </w:lvl>
    <w:lvl w:ilvl="1" w:tplc="5F42F24E" w:tentative="1">
      <w:start w:val="1"/>
      <w:numFmt w:val="bullet"/>
      <w:lvlText w:val=""/>
      <w:lvlJc w:val="left"/>
      <w:pPr>
        <w:tabs>
          <w:tab w:val="num" w:pos="1440"/>
        </w:tabs>
        <w:ind w:left="1440" w:hanging="360"/>
      </w:pPr>
      <w:rPr>
        <w:rFonts w:ascii="Wingdings" w:hAnsi="Wingdings" w:hint="default"/>
      </w:rPr>
    </w:lvl>
    <w:lvl w:ilvl="2" w:tplc="281E5A58" w:tentative="1">
      <w:start w:val="1"/>
      <w:numFmt w:val="bullet"/>
      <w:lvlText w:val=""/>
      <w:lvlJc w:val="left"/>
      <w:pPr>
        <w:tabs>
          <w:tab w:val="num" w:pos="2160"/>
        </w:tabs>
        <w:ind w:left="2160" w:hanging="360"/>
      </w:pPr>
      <w:rPr>
        <w:rFonts w:ascii="Wingdings" w:hAnsi="Wingdings" w:hint="default"/>
      </w:rPr>
    </w:lvl>
    <w:lvl w:ilvl="3" w:tplc="59DCACCA" w:tentative="1">
      <w:start w:val="1"/>
      <w:numFmt w:val="bullet"/>
      <w:lvlText w:val=""/>
      <w:lvlJc w:val="left"/>
      <w:pPr>
        <w:tabs>
          <w:tab w:val="num" w:pos="2880"/>
        </w:tabs>
        <w:ind w:left="2880" w:hanging="360"/>
      </w:pPr>
      <w:rPr>
        <w:rFonts w:ascii="Wingdings" w:hAnsi="Wingdings" w:hint="default"/>
      </w:rPr>
    </w:lvl>
    <w:lvl w:ilvl="4" w:tplc="3FBA3754" w:tentative="1">
      <w:start w:val="1"/>
      <w:numFmt w:val="bullet"/>
      <w:lvlText w:val=""/>
      <w:lvlJc w:val="left"/>
      <w:pPr>
        <w:tabs>
          <w:tab w:val="num" w:pos="3600"/>
        </w:tabs>
        <w:ind w:left="3600" w:hanging="360"/>
      </w:pPr>
      <w:rPr>
        <w:rFonts w:ascii="Wingdings" w:hAnsi="Wingdings" w:hint="default"/>
      </w:rPr>
    </w:lvl>
    <w:lvl w:ilvl="5" w:tplc="F1C60340" w:tentative="1">
      <w:start w:val="1"/>
      <w:numFmt w:val="bullet"/>
      <w:lvlText w:val=""/>
      <w:lvlJc w:val="left"/>
      <w:pPr>
        <w:tabs>
          <w:tab w:val="num" w:pos="4320"/>
        </w:tabs>
        <w:ind w:left="4320" w:hanging="360"/>
      </w:pPr>
      <w:rPr>
        <w:rFonts w:ascii="Wingdings" w:hAnsi="Wingdings" w:hint="default"/>
      </w:rPr>
    </w:lvl>
    <w:lvl w:ilvl="6" w:tplc="F260E024" w:tentative="1">
      <w:start w:val="1"/>
      <w:numFmt w:val="bullet"/>
      <w:lvlText w:val=""/>
      <w:lvlJc w:val="left"/>
      <w:pPr>
        <w:tabs>
          <w:tab w:val="num" w:pos="5040"/>
        </w:tabs>
        <w:ind w:left="5040" w:hanging="360"/>
      </w:pPr>
      <w:rPr>
        <w:rFonts w:ascii="Wingdings" w:hAnsi="Wingdings" w:hint="default"/>
      </w:rPr>
    </w:lvl>
    <w:lvl w:ilvl="7" w:tplc="632A9AD8" w:tentative="1">
      <w:start w:val="1"/>
      <w:numFmt w:val="bullet"/>
      <w:lvlText w:val=""/>
      <w:lvlJc w:val="left"/>
      <w:pPr>
        <w:tabs>
          <w:tab w:val="num" w:pos="5760"/>
        </w:tabs>
        <w:ind w:left="5760" w:hanging="360"/>
      </w:pPr>
      <w:rPr>
        <w:rFonts w:ascii="Wingdings" w:hAnsi="Wingdings" w:hint="default"/>
      </w:rPr>
    </w:lvl>
    <w:lvl w:ilvl="8" w:tplc="ED56B92E" w:tentative="1">
      <w:start w:val="1"/>
      <w:numFmt w:val="bullet"/>
      <w:lvlText w:val=""/>
      <w:lvlJc w:val="left"/>
      <w:pPr>
        <w:tabs>
          <w:tab w:val="num" w:pos="6480"/>
        </w:tabs>
        <w:ind w:left="6480" w:hanging="360"/>
      </w:pPr>
      <w:rPr>
        <w:rFonts w:ascii="Wingdings" w:hAnsi="Wingdings" w:hint="default"/>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7763A"/>
    <w:multiLevelType w:val="hybridMultilevel"/>
    <w:tmpl w:val="9E4673BA"/>
    <w:lvl w:ilvl="0" w:tplc="37066144">
      <w:start w:val="1"/>
      <w:numFmt w:val="bullet"/>
      <w:lvlText w:val=""/>
      <w:lvlJc w:val="left"/>
      <w:pPr>
        <w:tabs>
          <w:tab w:val="num" w:pos="720"/>
        </w:tabs>
        <w:ind w:left="720" w:hanging="360"/>
      </w:pPr>
      <w:rPr>
        <w:rFonts w:ascii="Wingdings" w:hAnsi="Wingdings" w:hint="default"/>
      </w:rPr>
    </w:lvl>
    <w:lvl w:ilvl="1" w:tplc="C56097D4" w:tentative="1">
      <w:start w:val="1"/>
      <w:numFmt w:val="bullet"/>
      <w:lvlText w:val=""/>
      <w:lvlJc w:val="left"/>
      <w:pPr>
        <w:tabs>
          <w:tab w:val="num" w:pos="1440"/>
        </w:tabs>
        <w:ind w:left="1440" w:hanging="360"/>
      </w:pPr>
      <w:rPr>
        <w:rFonts w:ascii="Wingdings" w:hAnsi="Wingdings" w:hint="default"/>
      </w:rPr>
    </w:lvl>
    <w:lvl w:ilvl="2" w:tplc="1C4CDDCA" w:tentative="1">
      <w:start w:val="1"/>
      <w:numFmt w:val="bullet"/>
      <w:lvlText w:val=""/>
      <w:lvlJc w:val="left"/>
      <w:pPr>
        <w:tabs>
          <w:tab w:val="num" w:pos="2160"/>
        </w:tabs>
        <w:ind w:left="2160" w:hanging="360"/>
      </w:pPr>
      <w:rPr>
        <w:rFonts w:ascii="Wingdings" w:hAnsi="Wingdings" w:hint="default"/>
      </w:rPr>
    </w:lvl>
    <w:lvl w:ilvl="3" w:tplc="3DB6D4A4" w:tentative="1">
      <w:start w:val="1"/>
      <w:numFmt w:val="bullet"/>
      <w:lvlText w:val=""/>
      <w:lvlJc w:val="left"/>
      <w:pPr>
        <w:tabs>
          <w:tab w:val="num" w:pos="2880"/>
        </w:tabs>
        <w:ind w:left="2880" w:hanging="360"/>
      </w:pPr>
      <w:rPr>
        <w:rFonts w:ascii="Wingdings" w:hAnsi="Wingdings" w:hint="default"/>
      </w:rPr>
    </w:lvl>
    <w:lvl w:ilvl="4" w:tplc="260876F8" w:tentative="1">
      <w:start w:val="1"/>
      <w:numFmt w:val="bullet"/>
      <w:lvlText w:val=""/>
      <w:lvlJc w:val="left"/>
      <w:pPr>
        <w:tabs>
          <w:tab w:val="num" w:pos="3600"/>
        </w:tabs>
        <w:ind w:left="3600" w:hanging="360"/>
      </w:pPr>
      <w:rPr>
        <w:rFonts w:ascii="Wingdings" w:hAnsi="Wingdings" w:hint="default"/>
      </w:rPr>
    </w:lvl>
    <w:lvl w:ilvl="5" w:tplc="65EECABC" w:tentative="1">
      <w:start w:val="1"/>
      <w:numFmt w:val="bullet"/>
      <w:lvlText w:val=""/>
      <w:lvlJc w:val="left"/>
      <w:pPr>
        <w:tabs>
          <w:tab w:val="num" w:pos="4320"/>
        </w:tabs>
        <w:ind w:left="4320" w:hanging="360"/>
      </w:pPr>
      <w:rPr>
        <w:rFonts w:ascii="Wingdings" w:hAnsi="Wingdings" w:hint="default"/>
      </w:rPr>
    </w:lvl>
    <w:lvl w:ilvl="6" w:tplc="2752FBBA" w:tentative="1">
      <w:start w:val="1"/>
      <w:numFmt w:val="bullet"/>
      <w:lvlText w:val=""/>
      <w:lvlJc w:val="left"/>
      <w:pPr>
        <w:tabs>
          <w:tab w:val="num" w:pos="5040"/>
        </w:tabs>
        <w:ind w:left="5040" w:hanging="360"/>
      </w:pPr>
      <w:rPr>
        <w:rFonts w:ascii="Wingdings" w:hAnsi="Wingdings" w:hint="default"/>
      </w:rPr>
    </w:lvl>
    <w:lvl w:ilvl="7" w:tplc="AD820772" w:tentative="1">
      <w:start w:val="1"/>
      <w:numFmt w:val="bullet"/>
      <w:lvlText w:val=""/>
      <w:lvlJc w:val="left"/>
      <w:pPr>
        <w:tabs>
          <w:tab w:val="num" w:pos="5760"/>
        </w:tabs>
        <w:ind w:left="5760" w:hanging="360"/>
      </w:pPr>
      <w:rPr>
        <w:rFonts w:ascii="Wingdings" w:hAnsi="Wingdings" w:hint="default"/>
      </w:rPr>
    </w:lvl>
    <w:lvl w:ilvl="8" w:tplc="001A5DB2" w:tentative="1">
      <w:start w:val="1"/>
      <w:numFmt w:val="bullet"/>
      <w:lvlText w:val=""/>
      <w:lvlJc w:val="left"/>
      <w:pPr>
        <w:tabs>
          <w:tab w:val="num" w:pos="6480"/>
        </w:tabs>
        <w:ind w:left="6480" w:hanging="360"/>
      </w:pPr>
      <w:rPr>
        <w:rFonts w:ascii="Wingdings" w:hAnsi="Wingdings" w:hint="default"/>
      </w:rPr>
    </w:lvl>
  </w:abstractNum>
  <w:abstractNum w:abstractNumId="6">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1">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2">
    <w:nsid w:val="5F190093"/>
    <w:multiLevelType w:val="hybridMultilevel"/>
    <w:tmpl w:val="7402E7DC"/>
    <w:lvl w:ilvl="0" w:tplc="65ACE6FE">
      <w:start w:val="1"/>
      <w:numFmt w:val="bullet"/>
      <w:lvlText w:val=""/>
      <w:lvlJc w:val="left"/>
      <w:pPr>
        <w:tabs>
          <w:tab w:val="num" w:pos="720"/>
        </w:tabs>
        <w:ind w:left="720" w:hanging="360"/>
      </w:pPr>
      <w:rPr>
        <w:rFonts w:ascii="Wingdings" w:hAnsi="Wingdings" w:hint="default"/>
      </w:rPr>
    </w:lvl>
    <w:lvl w:ilvl="1" w:tplc="275A34B0" w:tentative="1">
      <w:start w:val="1"/>
      <w:numFmt w:val="bullet"/>
      <w:lvlText w:val=""/>
      <w:lvlJc w:val="left"/>
      <w:pPr>
        <w:tabs>
          <w:tab w:val="num" w:pos="1440"/>
        </w:tabs>
        <w:ind w:left="1440" w:hanging="360"/>
      </w:pPr>
      <w:rPr>
        <w:rFonts w:ascii="Wingdings" w:hAnsi="Wingdings" w:hint="default"/>
      </w:rPr>
    </w:lvl>
    <w:lvl w:ilvl="2" w:tplc="9F70FB72" w:tentative="1">
      <w:start w:val="1"/>
      <w:numFmt w:val="bullet"/>
      <w:lvlText w:val=""/>
      <w:lvlJc w:val="left"/>
      <w:pPr>
        <w:tabs>
          <w:tab w:val="num" w:pos="2160"/>
        </w:tabs>
        <w:ind w:left="2160" w:hanging="360"/>
      </w:pPr>
      <w:rPr>
        <w:rFonts w:ascii="Wingdings" w:hAnsi="Wingdings" w:hint="default"/>
      </w:rPr>
    </w:lvl>
    <w:lvl w:ilvl="3" w:tplc="CEFE7210" w:tentative="1">
      <w:start w:val="1"/>
      <w:numFmt w:val="bullet"/>
      <w:lvlText w:val=""/>
      <w:lvlJc w:val="left"/>
      <w:pPr>
        <w:tabs>
          <w:tab w:val="num" w:pos="2880"/>
        </w:tabs>
        <w:ind w:left="2880" w:hanging="360"/>
      </w:pPr>
      <w:rPr>
        <w:rFonts w:ascii="Wingdings" w:hAnsi="Wingdings" w:hint="default"/>
      </w:rPr>
    </w:lvl>
    <w:lvl w:ilvl="4" w:tplc="6F3CAF52" w:tentative="1">
      <w:start w:val="1"/>
      <w:numFmt w:val="bullet"/>
      <w:lvlText w:val=""/>
      <w:lvlJc w:val="left"/>
      <w:pPr>
        <w:tabs>
          <w:tab w:val="num" w:pos="3600"/>
        </w:tabs>
        <w:ind w:left="3600" w:hanging="360"/>
      </w:pPr>
      <w:rPr>
        <w:rFonts w:ascii="Wingdings" w:hAnsi="Wingdings" w:hint="default"/>
      </w:rPr>
    </w:lvl>
    <w:lvl w:ilvl="5" w:tplc="6DD87B96" w:tentative="1">
      <w:start w:val="1"/>
      <w:numFmt w:val="bullet"/>
      <w:lvlText w:val=""/>
      <w:lvlJc w:val="left"/>
      <w:pPr>
        <w:tabs>
          <w:tab w:val="num" w:pos="4320"/>
        </w:tabs>
        <w:ind w:left="4320" w:hanging="360"/>
      </w:pPr>
      <w:rPr>
        <w:rFonts w:ascii="Wingdings" w:hAnsi="Wingdings" w:hint="default"/>
      </w:rPr>
    </w:lvl>
    <w:lvl w:ilvl="6" w:tplc="BB4A9CB4" w:tentative="1">
      <w:start w:val="1"/>
      <w:numFmt w:val="bullet"/>
      <w:lvlText w:val=""/>
      <w:lvlJc w:val="left"/>
      <w:pPr>
        <w:tabs>
          <w:tab w:val="num" w:pos="5040"/>
        </w:tabs>
        <w:ind w:left="5040" w:hanging="360"/>
      </w:pPr>
      <w:rPr>
        <w:rFonts w:ascii="Wingdings" w:hAnsi="Wingdings" w:hint="default"/>
      </w:rPr>
    </w:lvl>
    <w:lvl w:ilvl="7" w:tplc="52CA60E2" w:tentative="1">
      <w:start w:val="1"/>
      <w:numFmt w:val="bullet"/>
      <w:lvlText w:val=""/>
      <w:lvlJc w:val="left"/>
      <w:pPr>
        <w:tabs>
          <w:tab w:val="num" w:pos="5760"/>
        </w:tabs>
        <w:ind w:left="5760" w:hanging="360"/>
      </w:pPr>
      <w:rPr>
        <w:rFonts w:ascii="Wingdings" w:hAnsi="Wingdings" w:hint="default"/>
      </w:rPr>
    </w:lvl>
    <w:lvl w:ilvl="8" w:tplc="3B023B0C" w:tentative="1">
      <w:start w:val="1"/>
      <w:numFmt w:val="bullet"/>
      <w:lvlText w:val=""/>
      <w:lvlJc w:val="left"/>
      <w:pPr>
        <w:tabs>
          <w:tab w:val="num" w:pos="6480"/>
        </w:tabs>
        <w:ind w:left="6480" w:hanging="360"/>
      </w:pPr>
      <w:rPr>
        <w:rFonts w:ascii="Wingdings" w:hAnsi="Wingdings" w:hint="default"/>
      </w:rPr>
    </w:lvl>
  </w:abstractNum>
  <w:abstractNum w:abstractNumId="13">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A261F7"/>
    <w:multiLevelType w:val="hybridMultilevel"/>
    <w:tmpl w:val="F6CA53EA"/>
    <w:lvl w:ilvl="0" w:tplc="B1825686">
      <w:start w:val="1"/>
      <w:numFmt w:val="bullet"/>
      <w:lvlText w:val=""/>
      <w:lvlJc w:val="left"/>
      <w:pPr>
        <w:tabs>
          <w:tab w:val="num" w:pos="720"/>
        </w:tabs>
        <w:ind w:left="720" w:hanging="360"/>
      </w:pPr>
      <w:rPr>
        <w:rFonts w:ascii="Wingdings" w:hAnsi="Wingdings" w:hint="default"/>
      </w:rPr>
    </w:lvl>
    <w:lvl w:ilvl="1" w:tplc="AC9EDFA6" w:tentative="1">
      <w:start w:val="1"/>
      <w:numFmt w:val="bullet"/>
      <w:lvlText w:val=""/>
      <w:lvlJc w:val="left"/>
      <w:pPr>
        <w:tabs>
          <w:tab w:val="num" w:pos="1440"/>
        </w:tabs>
        <w:ind w:left="1440" w:hanging="360"/>
      </w:pPr>
      <w:rPr>
        <w:rFonts w:ascii="Wingdings" w:hAnsi="Wingdings" w:hint="default"/>
      </w:rPr>
    </w:lvl>
    <w:lvl w:ilvl="2" w:tplc="802A5B80" w:tentative="1">
      <w:start w:val="1"/>
      <w:numFmt w:val="bullet"/>
      <w:lvlText w:val=""/>
      <w:lvlJc w:val="left"/>
      <w:pPr>
        <w:tabs>
          <w:tab w:val="num" w:pos="2160"/>
        </w:tabs>
        <w:ind w:left="2160" w:hanging="360"/>
      </w:pPr>
      <w:rPr>
        <w:rFonts w:ascii="Wingdings" w:hAnsi="Wingdings" w:hint="default"/>
      </w:rPr>
    </w:lvl>
    <w:lvl w:ilvl="3" w:tplc="C59A39BA" w:tentative="1">
      <w:start w:val="1"/>
      <w:numFmt w:val="bullet"/>
      <w:lvlText w:val=""/>
      <w:lvlJc w:val="left"/>
      <w:pPr>
        <w:tabs>
          <w:tab w:val="num" w:pos="2880"/>
        </w:tabs>
        <w:ind w:left="2880" w:hanging="360"/>
      </w:pPr>
      <w:rPr>
        <w:rFonts w:ascii="Wingdings" w:hAnsi="Wingdings" w:hint="default"/>
      </w:rPr>
    </w:lvl>
    <w:lvl w:ilvl="4" w:tplc="1C147046" w:tentative="1">
      <w:start w:val="1"/>
      <w:numFmt w:val="bullet"/>
      <w:lvlText w:val=""/>
      <w:lvlJc w:val="left"/>
      <w:pPr>
        <w:tabs>
          <w:tab w:val="num" w:pos="3600"/>
        </w:tabs>
        <w:ind w:left="3600" w:hanging="360"/>
      </w:pPr>
      <w:rPr>
        <w:rFonts w:ascii="Wingdings" w:hAnsi="Wingdings" w:hint="default"/>
      </w:rPr>
    </w:lvl>
    <w:lvl w:ilvl="5" w:tplc="9F762012" w:tentative="1">
      <w:start w:val="1"/>
      <w:numFmt w:val="bullet"/>
      <w:lvlText w:val=""/>
      <w:lvlJc w:val="left"/>
      <w:pPr>
        <w:tabs>
          <w:tab w:val="num" w:pos="4320"/>
        </w:tabs>
        <w:ind w:left="4320" w:hanging="360"/>
      </w:pPr>
      <w:rPr>
        <w:rFonts w:ascii="Wingdings" w:hAnsi="Wingdings" w:hint="default"/>
      </w:rPr>
    </w:lvl>
    <w:lvl w:ilvl="6" w:tplc="CFACA5A4" w:tentative="1">
      <w:start w:val="1"/>
      <w:numFmt w:val="bullet"/>
      <w:lvlText w:val=""/>
      <w:lvlJc w:val="left"/>
      <w:pPr>
        <w:tabs>
          <w:tab w:val="num" w:pos="5040"/>
        </w:tabs>
        <w:ind w:left="5040" w:hanging="360"/>
      </w:pPr>
      <w:rPr>
        <w:rFonts w:ascii="Wingdings" w:hAnsi="Wingdings" w:hint="default"/>
      </w:rPr>
    </w:lvl>
    <w:lvl w:ilvl="7" w:tplc="0DBE79B2" w:tentative="1">
      <w:start w:val="1"/>
      <w:numFmt w:val="bullet"/>
      <w:lvlText w:val=""/>
      <w:lvlJc w:val="left"/>
      <w:pPr>
        <w:tabs>
          <w:tab w:val="num" w:pos="5760"/>
        </w:tabs>
        <w:ind w:left="5760" w:hanging="360"/>
      </w:pPr>
      <w:rPr>
        <w:rFonts w:ascii="Wingdings" w:hAnsi="Wingdings" w:hint="default"/>
      </w:rPr>
    </w:lvl>
    <w:lvl w:ilvl="8" w:tplc="291C884E" w:tentative="1">
      <w:start w:val="1"/>
      <w:numFmt w:val="bullet"/>
      <w:lvlText w:val=""/>
      <w:lvlJc w:val="left"/>
      <w:pPr>
        <w:tabs>
          <w:tab w:val="num" w:pos="6480"/>
        </w:tabs>
        <w:ind w:left="6480" w:hanging="360"/>
      </w:pPr>
      <w:rPr>
        <w:rFonts w:ascii="Wingdings" w:hAnsi="Wingdings" w:hint="default"/>
      </w:rPr>
    </w:lvl>
  </w:abstractNum>
  <w:abstractNum w:abstractNumId="15">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8972DE"/>
    <w:multiLevelType w:val="hybridMultilevel"/>
    <w:tmpl w:val="36BA0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19">
    <w:nsid w:val="7AF55EC3"/>
    <w:multiLevelType w:val="hybridMultilevel"/>
    <w:tmpl w:val="76C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16"/>
  </w:num>
  <w:num w:numId="5">
    <w:abstractNumId w:val="9"/>
  </w:num>
  <w:num w:numId="6">
    <w:abstractNumId w:val="7"/>
  </w:num>
  <w:num w:numId="7">
    <w:abstractNumId w:val="2"/>
  </w:num>
  <w:num w:numId="8">
    <w:abstractNumId w:val="4"/>
  </w:num>
  <w:num w:numId="9">
    <w:abstractNumId w:val="11"/>
  </w:num>
  <w:num w:numId="10">
    <w:abstractNumId w:val="8"/>
  </w:num>
  <w:num w:numId="11">
    <w:abstractNumId w:val="6"/>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3"/>
  </w:num>
  <w:num w:numId="20">
    <w:abstractNumId w:val="15"/>
  </w:num>
  <w:num w:numId="21">
    <w:abstractNumId w:val="5"/>
  </w:num>
  <w:num w:numId="22">
    <w:abstractNumId w:val="14"/>
  </w:num>
  <w:num w:numId="23">
    <w:abstractNumId w:val="17"/>
  </w:num>
  <w:num w:numId="24">
    <w:abstractNumId w:val="0"/>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235C9"/>
    <w:rsid w:val="00044279"/>
    <w:rsid w:val="00051147"/>
    <w:rsid w:val="00071D95"/>
    <w:rsid w:val="0009635D"/>
    <w:rsid w:val="000A0992"/>
    <w:rsid w:val="000A75E0"/>
    <w:rsid w:val="000F1A72"/>
    <w:rsid w:val="000F78B6"/>
    <w:rsid w:val="00101FBD"/>
    <w:rsid w:val="00105190"/>
    <w:rsid w:val="001056BF"/>
    <w:rsid w:val="001228F9"/>
    <w:rsid w:val="001446A7"/>
    <w:rsid w:val="00147615"/>
    <w:rsid w:val="00155B56"/>
    <w:rsid w:val="0018093F"/>
    <w:rsid w:val="00186FC2"/>
    <w:rsid w:val="001B1C22"/>
    <w:rsid w:val="001C312C"/>
    <w:rsid w:val="002136FA"/>
    <w:rsid w:val="00220AA3"/>
    <w:rsid w:val="00223C7F"/>
    <w:rsid w:val="002413B4"/>
    <w:rsid w:val="002570A6"/>
    <w:rsid w:val="002675A2"/>
    <w:rsid w:val="002939D1"/>
    <w:rsid w:val="002B7C4D"/>
    <w:rsid w:val="002E0F36"/>
    <w:rsid w:val="002E68E8"/>
    <w:rsid w:val="0033273E"/>
    <w:rsid w:val="00342131"/>
    <w:rsid w:val="00361ED4"/>
    <w:rsid w:val="00383723"/>
    <w:rsid w:val="003A5B61"/>
    <w:rsid w:val="003D5186"/>
    <w:rsid w:val="003F7003"/>
    <w:rsid w:val="00412933"/>
    <w:rsid w:val="0044390B"/>
    <w:rsid w:val="00477FA6"/>
    <w:rsid w:val="004845CC"/>
    <w:rsid w:val="004B353D"/>
    <w:rsid w:val="004C1CC1"/>
    <w:rsid w:val="00540E19"/>
    <w:rsid w:val="00544AFF"/>
    <w:rsid w:val="005534B0"/>
    <w:rsid w:val="00582AD7"/>
    <w:rsid w:val="005A0277"/>
    <w:rsid w:val="005A1903"/>
    <w:rsid w:val="005A1CE3"/>
    <w:rsid w:val="005A24B1"/>
    <w:rsid w:val="005F0993"/>
    <w:rsid w:val="005F2B99"/>
    <w:rsid w:val="00604852"/>
    <w:rsid w:val="0062420D"/>
    <w:rsid w:val="00624948"/>
    <w:rsid w:val="00672558"/>
    <w:rsid w:val="00682F4F"/>
    <w:rsid w:val="006C4AAF"/>
    <w:rsid w:val="00727A6F"/>
    <w:rsid w:val="00730D29"/>
    <w:rsid w:val="007743BF"/>
    <w:rsid w:val="007914F7"/>
    <w:rsid w:val="007B2C52"/>
    <w:rsid w:val="007E61A5"/>
    <w:rsid w:val="00807FD2"/>
    <w:rsid w:val="00832F67"/>
    <w:rsid w:val="00844FCC"/>
    <w:rsid w:val="0088434D"/>
    <w:rsid w:val="008D721F"/>
    <w:rsid w:val="0091333E"/>
    <w:rsid w:val="00935829"/>
    <w:rsid w:val="00971E44"/>
    <w:rsid w:val="009B2F5A"/>
    <w:rsid w:val="00A22189"/>
    <w:rsid w:val="00A81ECE"/>
    <w:rsid w:val="00AC3007"/>
    <w:rsid w:val="00AF5FAB"/>
    <w:rsid w:val="00AF7580"/>
    <w:rsid w:val="00B35E3D"/>
    <w:rsid w:val="00B50204"/>
    <w:rsid w:val="00B577B7"/>
    <w:rsid w:val="00B71A72"/>
    <w:rsid w:val="00B93BC9"/>
    <w:rsid w:val="00BC17E4"/>
    <w:rsid w:val="00C204E9"/>
    <w:rsid w:val="00C6169C"/>
    <w:rsid w:val="00C63EEC"/>
    <w:rsid w:val="00C8092F"/>
    <w:rsid w:val="00C978DC"/>
    <w:rsid w:val="00CB03C1"/>
    <w:rsid w:val="00CD337F"/>
    <w:rsid w:val="00CE4401"/>
    <w:rsid w:val="00D05714"/>
    <w:rsid w:val="00D17DC6"/>
    <w:rsid w:val="00D55C94"/>
    <w:rsid w:val="00D86CAA"/>
    <w:rsid w:val="00DA6091"/>
    <w:rsid w:val="00DB4FA0"/>
    <w:rsid w:val="00DB7F53"/>
    <w:rsid w:val="00DF049D"/>
    <w:rsid w:val="00DF348A"/>
    <w:rsid w:val="00E46583"/>
    <w:rsid w:val="00E93036"/>
    <w:rsid w:val="00EA632F"/>
    <w:rsid w:val="00EB3488"/>
    <w:rsid w:val="00EC029E"/>
    <w:rsid w:val="00EC7230"/>
    <w:rsid w:val="00EC7CBD"/>
    <w:rsid w:val="00EF587B"/>
    <w:rsid w:val="00F13380"/>
    <w:rsid w:val="00F4252E"/>
    <w:rsid w:val="00F475C0"/>
    <w:rsid w:val="00F60DBC"/>
    <w:rsid w:val="00F81D87"/>
    <w:rsid w:val="00F831E9"/>
    <w:rsid w:val="00FE6087"/>
    <w:rsid w:val="00FE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7113">
      <w:bodyDiv w:val="1"/>
      <w:marLeft w:val="0"/>
      <w:marRight w:val="0"/>
      <w:marTop w:val="0"/>
      <w:marBottom w:val="0"/>
      <w:divBdr>
        <w:top w:val="none" w:sz="0" w:space="0" w:color="auto"/>
        <w:left w:val="none" w:sz="0" w:space="0" w:color="auto"/>
        <w:bottom w:val="none" w:sz="0" w:space="0" w:color="auto"/>
        <w:right w:val="none" w:sz="0" w:space="0" w:color="auto"/>
      </w:divBdr>
      <w:divsChild>
        <w:div w:id="98184078">
          <w:marLeft w:val="634"/>
          <w:marRight w:val="0"/>
          <w:marTop w:val="200"/>
          <w:marBottom w:val="0"/>
          <w:divBdr>
            <w:top w:val="none" w:sz="0" w:space="0" w:color="auto"/>
            <w:left w:val="none" w:sz="0" w:space="0" w:color="auto"/>
            <w:bottom w:val="none" w:sz="0" w:space="0" w:color="auto"/>
            <w:right w:val="none" w:sz="0" w:space="0" w:color="auto"/>
          </w:divBdr>
        </w:div>
      </w:divsChild>
    </w:div>
    <w:div w:id="58948126">
      <w:bodyDiv w:val="1"/>
      <w:marLeft w:val="0"/>
      <w:marRight w:val="0"/>
      <w:marTop w:val="0"/>
      <w:marBottom w:val="0"/>
      <w:divBdr>
        <w:top w:val="none" w:sz="0" w:space="0" w:color="auto"/>
        <w:left w:val="none" w:sz="0" w:space="0" w:color="auto"/>
        <w:bottom w:val="none" w:sz="0" w:space="0" w:color="auto"/>
        <w:right w:val="none" w:sz="0" w:space="0" w:color="auto"/>
      </w:divBdr>
    </w:div>
    <w:div w:id="189732912">
      <w:bodyDiv w:val="1"/>
      <w:marLeft w:val="0"/>
      <w:marRight w:val="0"/>
      <w:marTop w:val="0"/>
      <w:marBottom w:val="0"/>
      <w:divBdr>
        <w:top w:val="none" w:sz="0" w:space="0" w:color="auto"/>
        <w:left w:val="none" w:sz="0" w:space="0" w:color="auto"/>
        <w:bottom w:val="none" w:sz="0" w:space="0" w:color="auto"/>
        <w:right w:val="none" w:sz="0" w:space="0" w:color="auto"/>
      </w:divBdr>
      <w:divsChild>
        <w:div w:id="1559779914">
          <w:marLeft w:val="907"/>
          <w:marRight w:val="0"/>
          <w:marTop w:val="0"/>
          <w:marBottom w:val="0"/>
          <w:divBdr>
            <w:top w:val="none" w:sz="0" w:space="0" w:color="auto"/>
            <w:left w:val="none" w:sz="0" w:space="0" w:color="auto"/>
            <w:bottom w:val="none" w:sz="0" w:space="0" w:color="auto"/>
            <w:right w:val="none" w:sz="0" w:space="0" w:color="auto"/>
          </w:divBdr>
        </w:div>
        <w:div w:id="1229615326">
          <w:marLeft w:val="907"/>
          <w:marRight w:val="0"/>
          <w:marTop w:val="0"/>
          <w:marBottom w:val="0"/>
          <w:divBdr>
            <w:top w:val="none" w:sz="0" w:space="0" w:color="auto"/>
            <w:left w:val="none" w:sz="0" w:space="0" w:color="auto"/>
            <w:bottom w:val="none" w:sz="0" w:space="0" w:color="auto"/>
            <w:right w:val="none" w:sz="0" w:space="0" w:color="auto"/>
          </w:divBdr>
        </w:div>
        <w:div w:id="666061105">
          <w:marLeft w:val="907"/>
          <w:marRight w:val="0"/>
          <w:marTop w:val="0"/>
          <w:marBottom w:val="0"/>
          <w:divBdr>
            <w:top w:val="none" w:sz="0" w:space="0" w:color="auto"/>
            <w:left w:val="none" w:sz="0" w:space="0" w:color="auto"/>
            <w:bottom w:val="none" w:sz="0" w:space="0" w:color="auto"/>
            <w:right w:val="none" w:sz="0" w:space="0" w:color="auto"/>
          </w:divBdr>
        </w:div>
      </w:divsChild>
    </w:div>
    <w:div w:id="390231514">
      <w:bodyDiv w:val="1"/>
      <w:marLeft w:val="0"/>
      <w:marRight w:val="0"/>
      <w:marTop w:val="0"/>
      <w:marBottom w:val="0"/>
      <w:divBdr>
        <w:top w:val="none" w:sz="0" w:space="0" w:color="auto"/>
        <w:left w:val="none" w:sz="0" w:space="0" w:color="auto"/>
        <w:bottom w:val="none" w:sz="0" w:space="0" w:color="auto"/>
        <w:right w:val="none" w:sz="0" w:space="0" w:color="auto"/>
      </w:divBdr>
      <w:divsChild>
        <w:div w:id="1452551521">
          <w:marLeft w:val="907"/>
          <w:marRight w:val="0"/>
          <w:marTop w:val="0"/>
          <w:marBottom w:val="0"/>
          <w:divBdr>
            <w:top w:val="none" w:sz="0" w:space="0" w:color="auto"/>
            <w:left w:val="none" w:sz="0" w:space="0" w:color="auto"/>
            <w:bottom w:val="none" w:sz="0" w:space="0" w:color="auto"/>
            <w:right w:val="none" w:sz="0" w:space="0" w:color="auto"/>
          </w:divBdr>
        </w:div>
        <w:div w:id="1751652700">
          <w:marLeft w:val="907"/>
          <w:marRight w:val="0"/>
          <w:marTop w:val="0"/>
          <w:marBottom w:val="0"/>
          <w:divBdr>
            <w:top w:val="none" w:sz="0" w:space="0" w:color="auto"/>
            <w:left w:val="none" w:sz="0" w:space="0" w:color="auto"/>
            <w:bottom w:val="none" w:sz="0" w:space="0" w:color="auto"/>
            <w:right w:val="none" w:sz="0" w:space="0" w:color="auto"/>
          </w:divBdr>
        </w:div>
        <w:div w:id="992178768">
          <w:marLeft w:val="907"/>
          <w:marRight w:val="0"/>
          <w:marTop w:val="0"/>
          <w:marBottom w:val="0"/>
          <w:divBdr>
            <w:top w:val="none" w:sz="0" w:space="0" w:color="auto"/>
            <w:left w:val="none" w:sz="0" w:space="0" w:color="auto"/>
            <w:bottom w:val="none" w:sz="0" w:space="0" w:color="auto"/>
            <w:right w:val="none" w:sz="0" w:space="0" w:color="auto"/>
          </w:divBdr>
        </w:div>
      </w:divsChild>
    </w:div>
    <w:div w:id="446971245">
      <w:bodyDiv w:val="1"/>
      <w:marLeft w:val="0"/>
      <w:marRight w:val="0"/>
      <w:marTop w:val="0"/>
      <w:marBottom w:val="0"/>
      <w:divBdr>
        <w:top w:val="none" w:sz="0" w:space="0" w:color="auto"/>
        <w:left w:val="none" w:sz="0" w:space="0" w:color="auto"/>
        <w:bottom w:val="none" w:sz="0" w:space="0" w:color="auto"/>
        <w:right w:val="none" w:sz="0" w:space="0" w:color="auto"/>
      </w:divBdr>
    </w:div>
    <w:div w:id="484929387">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36281403">
      <w:bodyDiv w:val="1"/>
      <w:marLeft w:val="0"/>
      <w:marRight w:val="0"/>
      <w:marTop w:val="0"/>
      <w:marBottom w:val="0"/>
      <w:divBdr>
        <w:top w:val="none" w:sz="0" w:space="0" w:color="auto"/>
        <w:left w:val="none" w:sz="0" w:space="0" w:color="auto"/>
        <w:bottom w:val="none" w:sz="0" w:space="0" w:color="auto"/>
        <w:right w:val="none" w:sz="0" w:space="0" w:color="auto"/>
      </w:divBdr>
    </w:div>
    <w:div w:id="638073776">
      <w:bodyDiv w:val="1"/>
      <w:marLeft w:val="0"/>
      <w:marRight w:val="0"/>
      <w:marTop w:val="0"/>
      <w:marBottom w:val="0"/>
      <w:divBdr>
        <w:top w:val="none" w:sz="0" w:space="0" w:color="auto"/>
        <w:left w:val="none" w:sz="0" w:space="0" w:color="auto"/>
        <w:bottom w:val="none" w:sz="0" w:space="0" w:color="auto"/>
        <w:right w:val="none" w:sz="0" w:space="0" w:color="auto"/>
      </w:divBdr>
    </w:div>
    <w:div w:id="768041082">
      <w:bodyDiv w:val="1"/>
      <w:marLeft w:val="0"/>
      <w:marRight w:val="0"/>
      <w:marTop w:val="0"/>
      <w:marBottom w:val="0"/>
      <w:divBdr>
        <w:top w:val="none" w:sz="0" w:space="0" w:color="auto"/>
        <w:left w:val="none" w:sz="0" w:space="0" w:color="auto"/>
        <w:bottom w:val="none" w:sz="0" w:space="0" w:color="auto"/>
        <w:right w:val="none" w:sz="0" w:space="0" w:color="auto"/>
      </w:divBdr>
    </w:div>
    <w:div w:id="850334264">
      <w:bodyDiv w:val="1"/>
      <w:marLeft w:val="0"/>
      <w:marRight w:val="0"/>
      <w:marTop w:val="0"/>
      <w:marBottom w:val="0"/>
      <w:divBdr>
        <w:top w:val="none" w:sz="0" w:space="0" w:color="auto"/>
        <w:left w:val="none" w:sz="0" w:space="0" w:color="auto"/>
        <w:bottom w:val="none" w:sz="0" w:space="0" w:color="auto"/>
        <w:right w:val="none" w:sz="0" w:space="0" w:color="auto"/>
      </w:divBdr>
      <w:divsChild>
        <w:div w:id="1352535499">
          <w:marLeft w:val="634"/>
          <w:marRight w:val="0"/>
          <w:marTop w:val="200"/>
          <w:marBottom w:val="0"/>
          <w:divBdr>
            <w:top w:val="none" w:sz="0" w:space="0" w:color="auto"/>
            <w:left w:val="none" w:sz="0" w:space="0" w:color="auto"/>
            <w:bottom w:val="none" w:sz="0" w:space="0" w:color="auto"/>
            <w:right w:val="none" w:sz="0" w:space="0" w:color="auto"/>
          </w:divBdr>
        </w:div>
      </w:divsChild>
    </w:div>
    <w:div w:id="1071388045">
      <w:bodyDiv w:val="1"/>
      <w:marLeft w:val="0"/>
      <w:marRight w:val="0"/>
      <w:marTop w:val="0"/>
      <w:marBottom w:val="0"/>
      <w:divBdr>
        <w:top w:val="none" w:sz="0" w:space="0" w:color="auto"/>
        <w:left w:val="none" w:sz="0" w:space="0" w:color="auto"/>
        <w:bottom w:val="none" w:sz="0" w:space="0" w:color="auto"/>
        <w:right w:val="none" w:sz="0" w:space="0" w:color="auto"/>
      </w:divBdr>
    </w:div>
    <w:div w:id="1132022771">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861369">
      <w:bodyDiv w:val="1"/>
      <w:marLeft w:val="0"/>
      <w:marRight w:val="0"/>
      <w:marTop w:val="0"/>
      <w:marBottom w:val="0"/>
      <w:divBdr>
        <w:top w:val="none" w:sz="0" w:space="0" w:color="auto"/>
        <w:left w:val="none" w:sz="0" w:space="0" w:color="auto"/>
        <w:bottom w:val="none" w:sz="0" w:space="0" w:color="auto"/>
        <w:right w:val="none" w:sz="0" w:space="0" w:color="auto"/>
      </w:divBdr>
    </w:div>
    <w:div w:id="1380008377">
      <w:bodyDiv w:val="1"/>
      <w:marLeft w:val="0"/>
      <w:marRight w:val="0"/>
      <w:marTop w:val="0"/>
      <w:marBottom w:val="0"/>
      <w:divBdr>
        <w:top w:val="none" w:sz="0" w:space="0" w:color="auto"/>
        <w:left w:val="none" w:sz="0" w:space="0" w:color="auto"/>
        <w:bottom w:val="none" w:sz="0" w:space="0" w:color="auto"/>
        <w:right w:val="none" w:sz="0" w:space="0" w:color="auto"/>
      </w:divBdr>
    </w:div>
    <w:div w:id="1456559357">
      <w:bodyDiv w:val="1"/>
      <w:marLeft w:val="0"/>
      <w:marRight w:val="0"/>
      <w:marTop w:val="0"/>
      <w:marBottom w:val="0"/>
      <w:divBdr>
        <w:top w:val="none" w:sz="0" w:space="0" w:color="auto"/>
        <w:left w:val="none" w:sz="0" w:space="0" w:color="auto"/>
        <w:bottom w:val="none" w:sz="0" w:space="0" w:color="auto"/>
        <w:right w:val="none" w:sz="0" w:space="0" w:color="auto"/>
      </w:divBdr>
      <w:divsChild>
        <w:div w:id="849415352">
          <w:marLeft w:val="360"/>
          <w:marRight w:val="0"/>
          <w:marTop w:val="0"/>
          <w:marBottom w:val="101"/>
          <w:divBdr>
            <w:top w:val="none" w:sz="0" w:space="0" w:color="auto"/>
            <w:left w:val="none" w:sz="0" w:space="0" w:color="auto"/>
            <w:bottom w:val="none" w:sz="0" w:space="0" w:color="auto"/>
            <w:right w:val="none" w:sz="0" w:space="0" w:color="auto"/>
          </w:divBdr>
        </w:div>
        <w:div w:id="1502353481">
          <w:marLeft w:val="360"/>
          <w:marRight w:val="0"/>
          <w:marTop w:val="0"/>
          <w:marBottom w:val="101"/>
          <w:divBdr>
            <w:top w:val="none" w:sz="0" w:space="0" w:color="auto"/>
            <w:left w:val="none" w:sz="0" w:space="0" w:color="auto"/>
            <w:bottom w:val="none" w:sz="0" w:space="0" w:color="auto"/>
            <w:right w:val="none" w:sz="0" w:space="0" w:color="auto"/>
          </w:divBdr>
        </w:div>
        <w:div w:id="1891914677">
          <w:marLeft w:val="360"/>
          <w:marRight w:val="0"/>
          <w:marTop w:val="0"/>
          <w:marBottom w:val="101"/>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31758098">
      <w:bodyDiv w:val="1"/>
      <w:marLeft w:val="0"/>
      <w:marRight w:val="0"/>
      <w:marTop w:val="0"/>
      <w:marBottom w:val="0"/>
      <w:divBdr>
        <w:top w:val="none" w:sz="0" w:space="0" w:color="auto"/>
        <w:left w:val="none" w:sz="0" w:space="0" w:color="auto"/>
        <w:bottom w:val="none" w:sz="0" w:space="0" w:color="auto"/>
        <w:right w:val="none" w:sz="0" w:space="0" w:color="auto"/>
      </w:divBdr>
    </w:div>
    <w:div w:id="206525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3E4851CD-A546-4832-AB64-D3B082A7B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27B736-6C5B-4D60-BDBE-E97A2344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1237</TotalTime>
  <Pages>12</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Evaluating Lay Evidence Lesson Plan</vt:lpstr>
    </vt:vector>
  </TitlesOfParts>
  <Company>Veterans Benefits Administration</Company>
  <LinksUpToDate>false</LinksUpToDate>
  <CharactersWithSpaces>15561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Lay Evidence Lesson Plan</dc:title>
  <dc:subject>VSR</dc:subject>
  <dc:creator>Department of Veterans Affairs, Veterans Benefits Administration, Compensation Service, STAFF</dc:creator>
  <cp:keywords>Lay evidence; competent; credible; plausible; consistent; circumstances of service</cp:keywords>
  <dc:description>This lesson is intended to teach VSRs to evaluate Lay Evidence prior to requesting an exam.</dc:description>
  <cp:lastModifiedBy>Sochar, Lisa</cp:lastModifiedBy>
  <cp:revision>60</cp:revision>
  <cp:lastPrinted>2010-09-08T15:08:00Z</cp:lastPrinted>
  <dcterms:created xsi:type="dcterms:W3CDTF">2016-01-20T15:11:00Z</dcterms:created>
  <dcterms:modified xsi:type="dcterms:W3CDTF">2016-02-24T15:48:00Z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