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74A41" w14:textId="77777777" w:rsidR="007A5600" w:rsidRPr="001A1AB1" w:rsidRDefault="00617116">
      <w:pPr>
        <w:pStyle w:val="VBALessonPlanName"/>
        <w:rPr>
          <w:rFonts w:ascii="Times New Roman" w:hAnsi="Times New Roman"/>
          <w:color w:val="auto"/>
        </w:rPr>
      </w:pPr>
      <w:bookmarkStart w:id="0" w:name="_GoBack"/>
      <w:bookmarkEnd w:id="0"/>
      <w:r w:rsidRPr="001A1AB1">
        <w:rPr>
          <w:rFonts w:ascii="Times New Roman" w:hAnsi="Times New Roman"/>
          <w:color w:val="auto"/>
        </w:rPr>
        <w:t>Evaluating Lay Evidence</w:t>
      </w:r>
    </w:p>
    <w:p w14:paraId="0BB74A42" w14:textId="77777777" w:rsidR="007A5600" w:rsidRPr="001A1AB1" w:rsidRDefault="007A5600">
      <w:pPr>
        <w:pStyle w:val="VBALessonPlanTitle"/>
        <w:rPr>
          <w:rFonts w:ascii="Times New Roman" w:hAnsi="Times New Roman"/>
          <w:color w:val="auto"/>
        </w:rPr>
      </w:pPr>
      <w:bookmarkStart w:id="1" w:name="_Toc276556863"/>
      <w:r w:rsidRPr="001A1AB1">
        <w:rPr>
          <w:rFonts w:ascii="Times New Roman" w:hAnsi="Times New Roman"/>
          <w:color w:val="auto"/>
        </w:rPr>
        <w:t>Trainee Handout</w:t>
      </w:r>
      <w:bookmarkEnd w:id="1"/>
    </w:p>
    <w:p w14:paraId="0BB74A43" w14:textId="77777777" w:rsidR="007A5600" w:rsidRPr="001A1AB1" w:rsidRDefault="007A5600">
      <w:pPr>
        <w:pStyle w:val="VBATopicHeading1"/>
        <w:rPr>
          <w:rFonts w:ascii="Times New Roman" w:hAnsi="Times New Roman"/>
        </w:rPr>
      </w:pPr>
      <w:bookmarkStart w:id="2" w:name="_Toc276556864"/>
    </w:p>
    <w:p w14:paraId="0BB74A44" w14:textId="77777777" w:rsidR="007A5600" w:rsidRPr="001A1AB1" w:rsidRDefault="007A5600">
      <w:pPr>
        <w:jc w:val="center"/>
        <w:textAlignment w:val="baseline"/>
        <w:rPr>
          <w:b/>
          <w:sz w:val="28"/>
          <w:szCs w:val="28"/>
        </w:rPr>
      </w:pPr>
      <w:r w:rsidRPr="001A1AB1">
        <w:rPr>
          <w:b/>
          <w:sz w:val="28"/>
          <w:szCs w:val="28"/>
        </w:rPr>
        <w:t>Table of Contents</w:t>
      </w:r>
      <w:bookmarkEnd w:id="2"/>
    </w:p>
    <w:p w14:paraId="0BB74A45" w14:textId="77777777" w:rsidR="007A5600" w:rsidRPr="001A1AB1" w:rsidRDefault="007A5600"/>
    <w:p w14:paraId="25DAB80E" w14:textId="77777777" w:rsidR="00602E06" w:rsidRDefault="007A5600">
      <w:pPr>
        <w:pStyle w:val="TOC1"/>
        <w:rPr>
          <w:rFonts w:asciiTheme="minorHAnsi" w:eastAsiaTheme="minorEastAsia" w:hAnsiTheme="minorHAnsi" w:cstheme="minorBidi"/>
          <w:sz w:val="22"/>
        </w:rPr>
      </w:pPr>
      <w:r w:rsidRPr="001A1AB1">
        <w:rPr>
          <w:rStyle w:val="Hyperlink"/>
          <w:color w:val="auto"/>
          <w:szCs w:val="24"/>
        </w:rPr>
        <w:fldChar w:fldCharType="begin"/>
      </w:r>
      <w:r w:rsidRPr="001A1AB1">
        <w:rPr>
          <w:rStyle w:val="Hyperlink"/>
          <w:color w:val="auto"/>
          <w:szCs w:val="24"/>
        </w:rPr>
        <w:instrText xml:space="preserve"> TOC \o "1-1" \h \z \u </w:instrText>
      </w:r>
      <w:r w:rsidRPr="001A1AB1">
        <w:rPr>
          <w:rStyle w:val="Hyperlink"/>
          <w:color w:val="auto"/>
          <w:szCs w:val="24"/>
        </w:rPr>
        <w:fldChar w:fldCharType="separate"/>
      </w:r>
      <w:hyperlink w:anchor="_Toc442342638" w:history="1">
        <w:r w:rsidR="00602E06" w:rsidRPr="00331C16">
          <w:rPr>
            <w:rStyle w:val="Hyperlink"/>
          </w:rPr>
          <w:t>Objectives</w:t>
        </w:r>
        <w:r w:rsidR="00602E06">
          <w:rPr>
            <w:webHidden/>
          </w:rPr>
          <w:tab/>
        </w:r>
        <w:r w:rsidR="00602E06">
          <w:rPr>
            <w:webHidden/>
          </w:rPr>
          <w:fldChar w:fldCharType="begin"/>
        </w:r>
        <w:r w:rsidR="00602E06">
          <w:rPr>
            <w:webHidden/>
          </w:rPr>
          <w:instrText xml:space="preserve"> PAGEREF _Toc442342638 \h </w:instrText>
        </w:r>
        <w:r w:rsidR="00602E06">
          <w:rPr>
            <w:webHidden/>
          </w:rPr>
        </w:r>
        <w:r w:rsidR="00602E06">
          <w:rPr>
            <w:webHidden/>
          </w:rPr>
          <w:fldChar w:fldCharType="separate"/>
        </w:r>
        <w:r w:rsidR="00602E06">
          <w:rPr>
            <w:webHidden/>
          </w:rPr>
          <w:t>2</w:t>
        </w:r>
        <w:r w:rsidR="00602E06">
          <w:rPr>
            <w:webHidden/>
          </w:rPr>
          <w:fldChar w:fldCharType="end"/>
        </w:r>
      </w:hyperlink>
    </w:p>
    <w:p w14:paraId="52D3B891" w14:textId="77777777" w:rsidR="00602E06" w:rsidRDefault="009045E6">
      <w:pPr>
        <w:pStyle w:val="TOC1"/>
        <w:rPr>
          <w:rFonts w:asciiTheme="minorHAnsi" w:eastAsiaTheme="minorEastAsia" w:hAnsiTheme="minorHAnsi" w:cstheme="minorBidi"/>
          <w:sz w:val="22"/>
        </w:rPr>
      </w:pPr>
      <w:hyperlink w:anchor="_Toc442342639" w:history="1">
        <w:r w:rsidR="00602E06" w:rsidRPr="00331C16">
          <w:rPr>
            <w:rStyle w:val="Hyperlink"/>
          </w:rPr>
          <w:t>References</w:t>
        </w:r>
        <w:r w:rsidR="00602E06">
          <w:rPr>
            <w:webHidden/>
          </w:rPr>
          <w:tab/>
        </w:r>
        <w:r w:rsidR="00602E06">
          <w:rPr>
            <w:webHidden/>
          </w:rPr>
          <w:fldChar w:fldCharType="begin"/>
        </w:r>
        <w:r w:rsidR="00602E06">
          <w:rPr>
            <w:webHidden/>
          </w:rPr>
          <w:instrText xml:space="preserve"> PAGEREF _Toc442342639 \h </w:instrText>
        </w:r>
        <w:r w:rsidR="00602E06">
          <w:rPr>
            <w:webHidden/>
          </w:rPr>
        </w:r>
        <w:r w:rsidR="00602E06">
          <w:rPr>
            <w:webHidden/>
          </w:rPr>
          <w:fldChar w:fldCharType="separate"/>
        </w:r>
        <w:r w:rsidR="00602E06">
          <w:rPr>
            <w:webHidden/>
          </w:rPr>
          <w:t>3</w:t>
        </w:r>
        <w:r w:rsidR="00602E06">
          <w:rPr>
            <w:webHidden/>
          </w:rPr>
          <w:fldChar w:fldCharType="end"/>
        </w:r>
      </w:hyperlink>
    </w:p>
    <w:p w14:paraId="1F5C7775" w14:textId="77777777" w:rsidR="00602E06" w:rsidRDefault="009045E6">
      <w:pPr>
        <w:pStyle w:val="TOC1"/>
        <w:rPr>
          <w:rFonts w:asciiTheme="minorHAnsi" w:eastAsiaTheme="minorEastAsia" w:hAnsiTheme="minorHAnsi" w:cstheme="minorBidi"/>
          <w:sz w:val="22"/>
        </w:rPr>
      </w:pPr>
      <w:hyperlink w:anchor="_Toc442342640" w:history="1">
        <w:r w:rsidR="00602E06" w:rsidRPr="00331C16">
          <w:rPr>
            <w:rStyle w:val="Hyperlink"/>
          </w:rPr>
          <w:t>Topic 1: Credibility Determinations</w:t>
        </w:r>
        <w:r w:rsidR="00602E06">
          <w:rPr>
            <w:webHidden/>
          </w:rPr>
          <w:tab/>
        </w:r>
        <w:r w:rsidR="00602E06">
          <w:rPr>
            <w:webHidden/>
          </w:rPr>
          <w:fldChar w:fldCharType="begin"/>
        </w:r>
        <w:r w:rsidR="00602E06">
          <w:rPr>
            <w:webHidden/>
          </w:rPr>
          <w:instrText xml:space="preserve"> PAGEREF _Toc442342640 \h </w:instrText>
        </w:r>
        <w:r w:rsidR="00602E06">
          <w:rPr>
            <w:webHidden/>
          </w:rPr>
        </w:r>
        <w:r w:rsidR="00602E06">
          <w:rPr>
            <w:webHidden/>
          </w:rPr>
          <w:fldChar w:fldCharType="separate"/>
        </w:r>
        <w:r w:rsidR="00602E06">
          <w:rPr>
            <w:webHidden/>
          </w:rPr>
          <w:t>4</w:t>
        </w:r>
        <w:r w:rsidR="00602E06">
          <w:rPr>
            <w:webHidden/>
          </w:rPr>
          <w:fldChar w:fldCharType="end"/>
        </w:r>
      </w:hyperlink>
    </w:p>
    <w:p w14:paraId="395F82BE" w14:textId="77777777" w:rsidR="00602E06" w:rsidRDefault="009045E6">
      <w:pPr>
        <w:pStyle w:val="TOC1"/>
        <w:rPr>
          <w:rFonts w:asciiTheme="minorHAnsi" w:eastAsiaTheme="minorEastAsia" w:hAnsiTheme="minorHAnsi" w:cstheme="minorBidi"/>
          <w:sz w:val="22"/>
        </w:rPr>
      </w:pPr>
      <w:hyperlink w:anchor="_Toc442342641" w:history="1">
        <w:r w:rsidR="00602E06" w:rsidRPr="00331C16">
          <w:rPr>
            <w:rStyle w:val="Hyperlink"/>
          </w:rPr>
          <w:t>Topic 2: Competent Lay Evidence</w:t>
        </w:r>
        <w:r w:rsidR="00602E06">
          <w:rPr>
            <w:webHidden/>
          </w:rPr>
          <w:tab/>
        </w:r>
        <w:r w:rsidR="00602E06">
          <w:rPr>
            <w:webHidden/>
          </w:rPr>
          <w:fldChar w:fldCharType="begin"/>
        </w:r>
        <w:r w:rsidR="00602E06">
          <w:rPr>
            <w:webHidden/>
          </w:rPr>
          <w:instrText xml:space="preserve"> PAGEREF _Toc442342641 \h </w:instrText>
        </w:r>
        <w:r w:rsidR="00602E06">
          <w:rPr>
            <w:webHidden/>
          </w:rPr>
        </w:r>
        <w:r w:rsidR="00602E06">
          <w:rPr>
            <w:webHidden/>
          </w:rPr>
          <w:fldChar w:fldCharType="separate"/>
        </w:r>
        <w:r w:rsidR="00602E06">
          <w:rPr>
            <w:webHidden/>
          </w:rPr>
          <w:t>5</w:t>
        </w:r>
        <w:r w:rsidR="00602E06">
          <w:rPr>
            <w:webHidden/>
          </w:rPr>
          <w:fldChar w:fldCharType="end"/>
        </w:r>
      </w:hyperlink>
    </w:p>
    <w:p w14:paraId="2027988E" w14:textId="77777777" w:rsidR="00602E06" w:rsidRDefault="009045E6">
      <w:pPr>
        <w:pStyle w:val="TOC1"/>
        <w:rPr>
          <w:rFonts w:asciiTheme="minorHAnsi" w:eastAsiaTheme="minorEastAsia" w:hAnsiTheme="minorHAnsi" w:cstheme="minorBidi"/>
          <w:sz w:val="22"/>
        </w:rPr>
      </w:pPr>
      <w:hyperlink w:anchor="_Toc442342642" w:history="1">
        <w:r w:rsidR="00602E06" w:rsidRPr="00331C16">
          <w:rPr>
            <w:rStyle w:val="Hyperlink"/>
          </w:rPr>
          <w:t>Topic 3: Plausibility</w:t>
        </w:r>
        <w:r w:rsidR="00602E06">
          <w:rPr>
            <w:webHidden/>
          </w:rPr>
          <w:tab/>
        </w:r>
        <w:r w:rsidR="00602E06">
          <w:rPr>
            <w:webHidden/>
          </w:rPr>
          <w:fldChar w:fldCharType="begin"/>
        </w:r>
        <w:r w:rsidR="00602E06">
          <w:rPr>
            <w:webHidden/>
          </w:rPr>
          <w:instrText xml:space="preserve"> PAGEREF _Toc442342642 \h </w:instrText>
        </w:r>
        <w:r w:rsidR="00602E06">
          <w:rPr>
            <w:webHidden/>
          </w:rPr>
        </w:r>
        <w:r w:rsidR="00602E06">
          <w:rPr>
            <w:webHidden/>
          </w:rPr>
          <w:fldChar w:fldCharType="separate"/>
        </w:r>
        <w:r w:rsidR="00602E06">
          <w:rPr>
            <w:webHidden/>
          </w:rPr>
          <w:t>6</w:t>
        </w:r>
        <w:r w:rsidR="00602E06">
          <w:rPr>
            <w:webHidden/>
          </w:rPr>
          <w:fldChar w:fldCharType="end"/>
        </w:r>
      </w:hyperlink>
    </w:p>
    <w:p w14:paraId="2A1437C9" w14:textId="77777777" w:rsidR="00602E06" w:rsidRDefault="009045E6">
      <w:pPr>
        <w:pStyle w:val="TOC1"/>
        <w:rPr>
          <w:rFonts w:asciiTheme="minorHAnsi" w:eastAsiaTheme="minorEastAsia" w:hAnsiTheme="minorHAnsi" w:cstheme="minorBidi"/>
          <w:sz w:val="22"/>
        </w:rPr>
      </w:pPr>
      <w:hyperlink w:anchor="_Toc442342643" w:history="1">
        <w:r w:rsidR="00602E06" w:rsidRPr="00331C16">
          <w:rPr>
            <w:rStyle w:val="Hyperlink"/>
          </w:rPr>
          <w:t>Topic 4: Consistency</w:t>
        </w:r>
        <w:r w:rsidR="00602E06">
          <w:rPr>
            <w:webHidden/>
          </w:rPr>
          <w:tab/>
        </w:r>
        <w:r w:rsidR="00602E06">
          <w:rPr>
            <w:webHidden/>
          </w:rPr>
          <w:fldChar w:fldCharType="begin"/>
        </w:r>
        <w:r w:rsidR="00602E06">
          <w:rPr>
            <w:webHidden/>
          </w:rPr>
          <w:instrText xml:space="preserve"> PAGEREF _Toc442342643 \h </w:instrText>
        </w:r>
        <w:r w:rsidR="00602E06">
          <w:rPr>
            <w:webHidden/>
          </w:rPr>
        </w:r>
        <w:r w:rsidR="00602E06">
          <w:rPr>
            <w:webHidden/>
          </w:rPr>
          <w:fldChar w:fldCharType="separate"/>
        </w:r>
        <w:r w:rsidR="00602E06">
          <w:rPr>
            <w:webHidden/>
          </w:rPr>
          <w:t>7</w:t>
        </w:r>
        <w:r w:rsidR="00602E06">
          <w:rPr>
            <w:webHidden/>
          </w:rPr>
          <w:fldChar w:fldCharType="end"/>
        </w:r>
      </w:hyperlink>
    </w:p>
    <w:p w14:paraId="64ACD656" w14:textId="77777777" w:rsidR="00602E06" w:rsidRDefault="009045E6">
      <w:pPr>
        <w:pStyle w:val="TOC1"/>
        <w:rPr>
          <w:rFonts w:asciiTheme="minorHAnsi" w:eastAsiaTheme="minorEastAsia" w:hAnsiTheme="minorHAnsi" w:cstheme="minorBidi"/>
          <w:sz w:val="22"/>
        </w:rPr>
      </w:pPr>
      <w:hyperlink w:anchor="_Toc442342644" w:history="1">
        <w:r w:rsidR="00602E06" w:rsidRPr="00331C16">
          <w:rPr>
            <w:rStyle w:val="Hyperlink"/>
          </w:rPr>
          <w:t>Topic 4: Circumstances of Service</w:t>
        </w:r>
        <w:r w:rsidR="00602E06">
          <w:rPr>
            <w:webHidden/>
          </w:rPr>
          <w:tab/>
        </w:r>
        <w:r w:rsidR="00602E06">
          <w:rPr>
            <w:webHidden/>
          </w:rPr>
          <w:fldChar w:fldCharType="begin"/>
        </w:r>
        <w:r w:rsidR="00602E06">
          <w:rPr>
            <w:webHidden/>
          </w:rPr>
          <w:instrText xml:space="preserve"> PAGEREF _Toc442342644 \h </w:instrText>
        </w:r>
        <w:r w:rsidR="00602E06">
          <w:rPr>
            <w:webHidden/>
          </w:rPr>
        </w:r>
        <w:r w:rsidR="00602E06">
          <w:rPr>
            <w:webHidden/>
          </w:rPr>
          <w:fldChar w:fldCharType="separate"/>
        </w:r>
        <w:r w:rsidR="00602E06">
          <w:rPr>
            <w:webHidden/>
          </w:rPr>
          <w:t>8</w:t>
        </w:r>
        <w:r w:rsidR="00602E06">
          <w:rPr>
            <w:webHidden/>
          </w:rPr>
          <w:fldChar w:fldCharType="end"/>
        </w:r>
      </w:hyperlink>
    </w:p>
    <w:p w14:paraId="55A7838C" w14:textId="77777777" w:rsidR="00602E06" w:rsidRDefault="009045E6">
      <w:pPr>
        <w:pStyle w:val="TOC1"/>
        <w:rPr>
          <w:rFonts w:asciiTheme="minorHAnsi" w:eastAsiaTheme="minorEastAsia" w:hAnsiTheme="minorHAnsi" w:cstheme="minorBidi"/>
          <w:sz w:val="22"/>
        </w:rPr>
      </w:pPr>
      <w:hyperlink w:anchor="_Toc442342645" w:history="1">
        <w:r w:rsidR="00602E06" w:rsidRPr="00331C16">
          <w:rPr>
            <w:rStyle w:val="Hyperlink"/>
          </w:rPr>
          <w:t>Practical Exercise</w:t>
        </w:r>
        <w:r w:rsidR="00602E06">
          <w:rPr>
            <w:webHidden/>
          </w:rPr>
          <w:tab/>
        </w:r>
        <w:r w:rsidR="00602E06">
          <w:rPr>
            <w:webHidden/>
          </w:rPr>
          <w:fldChar w:fldCharType="begin"/>
        </w:r>
        <w:r w:rsidR="00602E06">
          <w:rPr>
            <w:webHidden/>
          </w:rPr>
          <w:instrText xml:space="preserve"> PAGEREF _Toc442342645 \h </w:instrText>
        </w:r>
        <w:r w:rsidR="00602E06">
          <w:rPr>
            <w:webHidden/>
          </w:rPr>
        </w:r>
        <w:r w:rsidR="00602E06">
          <w:rPr>
            <w:webHidden/>
          </w:rPr>
          <w:fldChar w:fldCharType="separate"/>
        </w:r>
        <w:r w:rsidR="00602E06">
          <w:rPr>
            <w:webHidden/>
          </w:rPr>
          <w:t>9</w:t>
        </w:r>
        <w:r w:rsidR="00602E06">
          <w:rPr>
            <w:webHidden/>
          </w:rPr>
          <w:fldChar w:fldCharType="end"/>
        </w:r>
      </w:hyperlink>
    </w:p>
    <w:p w14:paraId="0BB74A4B" w14:textId="77777777" w:rsidR="007A5600" w:rsidRPr="001A1AB1" w:rsidRDefault="007A5600">
      <w:pPr>
        <w:pStyle w:val="VBATopicHeading1"/>
        <w:rPr>
          <w:rFonts w:ascii="Times New Roman" w:hAnsi="Times New Roman"/>
          <w:sz w:val="24"/>
        </w:rPr>
      </w:pPr>
      <w:r w:rsidRPr="001A1AB1">
        <w:rPr>
          <w:rStyle w:val="Hyperlink"/>
          <w:bCs/>
          <w:color w:val="auto"/>
          <w:szCs w:val="24"/>
        </w:rPr>
        <w:fldChar w:fldCharType="end"/>
      </w:r>
    </w:p>
    <w:p w14:paraId="0BB74A4C" w14:textId="77777777" w:rsidR="007A5600" w:rsidRPr="001A1AB1" w:rsidRDefault="007A5600"/>
    <w:p w14:paraId="0BB74A4D" w14:textId="77777777" w:rsidR="007A5600" w:rsidRPr="001A1AB1" w:rsidRDefault="007A5600"/>
    <w:p w14:paraId="0BB74A4E" w14:textId="77777777" w:rsidR="007A5600" w:rsidRPr="001A1AB1" w:rsidRDefault="007A5600"/>
    <w:p w14:paraId="0BB74A4F" w14:textId="77777777" w:rsidR="007A5600" w:rsidRPr="001A1AB1" w:rsidRDefault="007A5600"/>
    <w:p w14:paraId="0BB74A50" w14:textId="77777777" w:rsidR="007A5600" w:rsidRPr="001A1AB1" w:rsidRDefault="007A5600"/>
    <w:p w14:paraId="0BB74A51" w14:textId="77777777" w:rsidR="007A5600" w:rsidRPr="001A1AB1" w:rsidRDefault="007A5600"/>
    <w:p w14:paraId="0BB74A52" w14:textId="77777777" w:rsidR="007A5600" w:rsidRPr="001A1AB1" w:rsidRDefault="007A5600"/>
    <w:p w14:paraId="0BB74A53" w14:textId="77777777" w:rsidR="007A5600" w:rsidRPr="001A1AB1" w:rsidRDefault="007A5600"/>
    <w:p w14:paraId="0BB74A54" w14:textId="77777777" w:rsidR="007A5600" w:rsidRPr="001A1AB1" w:rsidRDefault="007A5600">
      <w:pPr>
        <w:overflowPunct/>
        <w:autoSpaceDE/>
        <w:autoSpaceDN/>
        <w:adjustRightInd/>
        <w:spacing w:before="0"/>
      </w:pPr>
      <w:r w:rsidRPr="001A1AB1">
        <w:br w:type="page"/>
      </w:r>
    </w:p>
    <w:p w14:paraId="0BB74A55" w14:textId="77777777" w:rsidR="007A5600" w:rsidRPr="001A1AB1" w:rsidRDefault="007A5600">
      <w:pPr>
        <w:pStyle w:val="VBATopicHeading1"/>
        <w:rPr>
          <w:rFonts w:ascii="Times New Roman" w:hAnsi="Times New Roman"/>
        </w:rPr>
      </w:pPr>
      <w:bookmarkStart w:id="3" w:name="_Toc442342638"/>
      <w:bookmarkStart w:id="4" w:name="_Toc269888405"/>
      <w:bookmarkStart w:id="5" w:name="_Toc269888748"/>
      <w:bookmarkStart w:id="6" w:name="_Toc278291133"/>
      <w:r w:rsidRPr="001A1AB1">
        <w:rPr>
          <w:rFonts w:ascii="Times New Roman" w:hAnsi="Times New Roman"/>
        </w:rPr>
        <w:lastRenderedPageBreak/>
        <w:t>Objectives</w:t>
      </w:r>
      <w:bookmarkEnd w:id="3"/>
    </w:p>
    <w:p w14:paraId="76D202E6" w14:textId="77777777" w:rsidR="005D77F7" w:rsidRPr="001A1AB1" w:rsidRDefault="005D77F7" w:rsidP="005D77F7">
      <w:pPr>
        <w:pStyle w:val="VBAFirstLevelBullet"/>
      </w:pPr>
      <w:r w:rsidRPr="001A1AB1">
        <w:t>Define lay evidence</w:t>
      </w:r>
    </w:p>
    <w:p w14:paraId="71C621DF" w14:textId="77777777" w:rsidR="005D77F7" w:rsidRPr="001A1AB1" w:rsidRDefault="005D77F7" w:rsidP="005D77F7">
      <w:pPr>
        <w:pStyle w:val="VBAFirstLevelBullet"/>
      </w:pPr>
      <w:r w:rsidRPr="001A1AB1">
        <w:t>Identify the four critical points to determine the credibility of lay evidence</w:t>
      </w:r>
    </w:p>
    <w:p w14:paraId="590E4CA4" w14:textId="77777777" w:rsidR="005D77F7" w:rsidRPr="001A1AB1" w:rsidRDefault="005D77F7" w:rsidP="005D77F7">
      <w:pPr>
        <w:pStyle w:val="VBAFirstLevelBullet"/>
      </w:pPr>
      <w:r w:rsidRPr="001A1AB1">
        <w:t>Understand the difference between the four issues</w:t>
      </w:r>
    </w:p>
    <w:p w14:paraId="0BB74A57" w14:textId="77777777" w:rsidR="007A5600" w:rsidRPr="001A1AB1" w:rsidRDefault="007A5600">
      <w:pPr>
        <w:pStyle w:val="VBATopicHeading1"/>
        <w:rPr>
          <w:rFonts w:ascii="Times New Roman" w:hAnsi="Times New Roman"/>
        </w:rPr>
      </w:pPr>
      <w:r w:rsidRPr="001A1AB1">
        <w:rPr>
          <w:rFonts w:ascii="Times New Roman" w:hAnsi="Times New Roman"/>
        </w:rPr>
        <w:br w:type="page"/>
      </w:r>
      <w:bookmarkStart w:id="7" w:name="_Toc442342639"/>
      <w:r w:rsidRPr="001A1AB1">
        <w:rPr>
          <w:rFonts w:ascii="Times New Roman" w:hAnsi="Times New Roman"/>
        </w:rPr>
        <w:lastRenderedPageBreak/>
        <w:t>References</w:t>
      </w:r>
      <w:bookmarkEnd w:id="7"/>
    </w:p>
    <w:p w14:paraId="0BB74A58" w14:textId="77777777" w:rsidR="0013465D" w:rsidRPr="001A1AB1" w:rsidRDefault="0013465D" w:rsidP="0013465D">
      <w:pPr>
        <w:pStyle w:val="VBAFirstLevelBullet"/>
      </w:pPr>
      <w:r w:rsidRPr="001A1AB1">
        <w:t>38 CFR 3.159, Department of Veterans Affairs assistance in developing claims</w:t>
      </w:r>
    </w:p>
    <w:p w14:paraId="6A6BDE16" w14:textId="77777777" w:rsidR="005D77F7" w:rsidRPr="001A1AB1" w:rsidRDefault="005D77F7" w:rsidP="005D77F7">
      <w:pPr>
        <w:pStyle w:val="VBAFirstLevelBullet"/>
      </w:pPr>
      <w:r w:rsidRPr="001A1AB1">
        <w:t>38 CFR 3.304, Direct service connection; wartime and peacetime</w:t>
      </w:r>
    </w:p>
    <w:p w14:paraId="13DB9B9C" w14:textId="77777777" w:rsidR="005D77F7" w:rsidRPr="001A1AB1" w:rsidRDefault="005D77F7" w:rsidP="005D77F7">
      <w:pPr>
        <w:pStyle w:val="VBAFirstLevelBullet"/>
        <w:numPr>
          <w:ilvl w:val="0"/>
          <w:numId w:val="0"/>
        </w:numPr>
        <w:ind w:left="360"/>
      </w:pPr>
    </w:p>
    <w:p w14:paraId="0BB74A59" w14:textId="77777777" w:rsidR="007A5600" w:rsidRPr="001A1AB1" w:rsidRDefault="007A5600">
      <w:pPr>
        <w:overflowPunct/>
        <w:autoSpaceDE/>
        <w:autoSpaceDN/>
        <w:adjustRightInd/>
        <w:spacing w:before="0"/>
        <w:rPr>
          <w:b/>
          <w:smallCaps/>
          <w:sz w:val="32"/>
          <w:szCs w:val="32"/>
        </w:rPr>
      </w:pPr>
    </w:p>
    <w:bookmarkEnd w:id="4"/>
    <w:bookmarkEnd w:id="5"/>
    <w:bookmarkEnd w:id="6"/>
    <w:p w14:paraId="0BB74A5A" w14:textId="77777777" w:rsidR="007A5600" w:rsidRPr="001A1AB1" w:rsidRDefault="007A5600"/>
    <w:p w14:paraId="0BB74A5B" w14:textId="77777777" w:rsidR="007A5600" w:rsidRPr="001A1AB1" w:rsidRDefault="007A5600"/>
    <w:p w14:paraId="0BB74A5C" w14:textId="77777777" w:rsidR="007A5600" w:rsidRPr="001A1AB1" w:rsidRDefault="007A5600"/>
    <w:p w14:paraId="0BB74A5D" w14:textId="77777777" w:rsidR="007A5600" w:rsidRPr="001A1AB1" w:rsidRDefault="007A5600"/>
    <w:p w14:paraId="0BB74A5E" w14:textId="77777777" w:rsidR="007A5600" w:rsidRPr="001A1AB1" w:rsidRDefault="007A5600"/>
    <w:p w14:paraId="0BB74A5F" w14:textId="77777777" w:rsidR="007A5600" w:rsidRPr="001A1AB1" w:rsidRDefault="007A5600"/>
    <w:p w14:paraId="0BB74A60" w14:textId="77777777" w:rsidR="007A5600" w:rsidRPr="001A1AB1" w:rsidRDefault="007A5600"/>
    <w:p w14:paraId="0BB74A61" w14:textId="77777777" w:rsidR="007A5600" w:rsidRPr="001A1AB1" w:rsidRDefault="007A5600"/>
    <w:p w14:paraId="0BB74A62" w14:textId="77777777" w:rsidR="007A5600" w:rsidRPr="001A1AB1" w:rsidRDefault="007A5600"/>
    <w:p w14:paraId="0BB74A63" w14:textId="77777777" w:rsidR="007A5600" w:rsidRPr="001A1AB1" w:rsidRDefault="007A5600"/>
    <w:p w14:paraId="0BB74A64" w14:textId="77777777" w:rsidR="007A5600" w:rsidRPr="001A1AB1" w:rsidRDefault="007A5600"/>
    <w:p w14:paraId="0BB74A65" w14:textId="77777777" w:rsidR="007A5600" w:rsidRPr="001A1AB1" w:rsidRDefault="007A5600"/>
    <w:p w14:paraId="0BB74A66" w14:textId="77777777" w:rsidR="007A5600" w:rsidRPr="001A1AB1" w:rsidRDefault="007A5600"/>
    <w:p w14:paraId="0BB74A67" w14:textId="77777777" w:rsidR="007A5600" w:rsidRPr="001A1AB1" w:rsidRDefault="007A5600"/>
    <w:p w14:paraId="0BB74A68" w14:textId="77777777" w:rsidR="007A5600" w:rsidRPr="001A1AB1" w:rsidRDefault="007A5600"/>
    <w:p w14:paraId="0BB74A69" w14:textId="77777777" w:rsidR="007A5600" w:rsidRPr="001A1AB1" w:rsidRDefault="007A5600"/>
    <w:p w14:paraId="0BB74A6A" w14:textId="77777777" w:rsidR="007A5600" w:rsidRPr="001A1AB1" w:rsidRDefault="007A5600"/>
    <w:p w14:paraId="0BB74A6B" w14:textId="77777777" w:rsidR="007A5600" w:rsidRPr="001A1AB1" w:rsidRDefault="007A5600"/>
    <w:p w14:paraId="0BB74A6C" w14:textId="77777777" w:rsidR="007A5600" w:rsidRPr="001A1AB1" w:rsidRDefault="007A5600"/>
    <w:p w14:paraId="0BB74A6D" w14:textId="77777777" w:rsidR="007A5600" w:rsidRPr="001A1AB1" w:rsidRDefault="007A5600"/>
    <w:p w14:paraId="0BB74A6E" w14:textId="77777777" w:rsidR="007A5600" w:rsidRPr="001A1AB1" w:rsidRDefault="007A5600"/>
    <w:p w14:paraId="0BB74A6F" w14:textId="77777777" w:rsidR="007A5600" w:rsidRPr="001A1AB1" w:rsidRDefault="007A5600"/>
    <w:p w14:paraId="0BB74A70" w14:textId="77777777" w:rsidR="007A5600" w:rsidRPr="001A1AB1" w:rsidRDefault="007A5600"/>
    <w:p w14:paraId="0BB74A71" w14:textId="77777777" w:rsidR="007A5600" w:rsidRPr="001A1AB1" w:rsidRDefault="007A5600"/>
    <w:p w14:paraId="0BB74A72" w14:textId="77777777" w:rsidR="007A5600" w:rsidRPr="001A1AB1" w:rsidRDefault="007A5600"/>
    <w:p w14:paraId="0BB74A73" w14:textId="77777777" w:rsidR="007A5600" w:rsidRPr="001A1AB1" w:rsidRDefault="007A5600"/>
    <w:p w14:paraId="0BB74A75" w14:textId="2E9AD9A3" w:rsidR="007A5600" w:rsidRPr="001A1AB1" w:rsidRDefault="007A5600">
      <w:pPr>
        <w:overflowPunct/>
        <w:autoSpaceDE/>
        <w:autoSpaceDN/>
        <w:adjustRightInd/>
        <w:spacing w:before="0"/>
        <w:rPr>
          <w:b/>
          <w:smallCaps/>
          <w:sz w:val="32"/>
          <w:szCs w:val="32"/>
        </w:rPr>
      </w:pPr>
    </w:p>
    <w:p w14:paraId="0BB74A76" w14:textId="2DCF22EB" w:rsidR="007A5600" w:rsidRPr="001A1AB1" w:rsidRDefault="007A5600">
      <w:pPr>
        <w:pStyle w:val="VBATopicHeading1"/>
        <w:rPr>
          <w:rFonts w:ascii="Times New Roman" w:hAnsi="Times New Roman"/>
        </w:rPr>
      </w:pPr>
      <w:bookmarkStart w:id="8" w:name="_Toc442342640"/>
      <w:r w:rsidRPr="001A1AB1">
        <w:rPr>
          <w:rFonts w:ascii="Times New Roman" w:hAnsi="Times New Roman"/>
        </w:rPr>
        <w:lastRenderedPageBreak/>
        <w:t xml:space="preserve">Topic 1: </w:t>
      </w:r>
      <w:r w:rsidR="0086240F" w:rsidRPr="001A1AB1">
        <w:rPr>
          <w:rFonts w:ascii="Times New Roman" w:hAnsi="Times New Roman"/>
        </w:rPr>
        <w:t>Credibility Determinations</w:t>
      </w:r>
      <w:bookmarkEnd w:id="8"/>
    </w:p>
    <w:p w14:paraId="0BB74A77" w14:textId="77777777" w:rsidR="007A5600" w:rsidRPr="001A1AB1" w:rsidRDefault="007A5600" w:rsidP="00823543"/>
    <w:p w14:paraId="3DFE6E25" w14:textId="77777777" w:rsidR="00A6539E" w:rsidRDefault="006E23E1" w:rsidP="006E23E1">
      <w:pPr>
        <w:pStyle w:val="VBABodyText0"/>
        <w:rPr>
          <w:szCs w:val="24"/>
        </w:rPr>
      </w:pPr>
      <w:r w:rsidRPr="001A1AB1">
        <w:rPr>
          <w:szCs w:val="24"/>
          <w:u w:val="single"/>
        </w:rPr>
        <w:t>Lay evidence definition:</w:t>
      </w:r>
      <w:r w:rsidRPr="001A1AB1">
        <w:rPr>
          <w:szCs w:val="24"/>
        </w:rPr>
        <w:t xml:space="preserve">  </w:t>
      </w:r>
    </w:p>
    <w:p w14:paraId="5E4AEE5B" w14:textId="7A4E0270" w:rsidR="006E23E1" w:rsidRPr="007A1E65" w:rsidRDefault="00287061" w:rsidP="006E23E1">
      <w:pPr>
        <w:pStyle w:val="VBABodyText0"/>
        <w:rPr>
          <w:szCs w:val="24"/>
        </w:rPr>
      </w:pPr>
      <w:r w:rsidRPr="007A1E65">
        <w:rPr>
          <w:szCs w:val="24"/>
        </w:rPr>
        <w:t>E</w:t>
      </w:r>
      <w:r w:rsidR="006E23E1" w:rsidRPr="007A1E65">
        <w:rPr>
          <w:szCs w:val="24"/>
        </w:rPr>
        <w:t>vidence that does not come from a medical or other expert. It can consist of statements from th</w:t>
      </w:r>
      <w:r w:rsidR="007A1E65" w:rsidRPr="007A1E65">
        <w:rPr>
          <w:szCs w:val="24"/>
        </w:rPr>
        <w:t>e Veteran supplied with a claim, but also can include spouses, parents  and children of the Veteran, or even fellow Veterans who served with the Veteran.</w:t>
      </w:r>
    </w:p>
    <w:p w14:paraId="7D4C1789" w14:textId="59C10E35" w:rsidR="006E23E1" w:rsidRPr="001A1AB1" w:rsidRDefault="006E23E1" w:rsidP="00823543">
      <w:pPr>
        <w:spacing w:before="0"/>
        <w:rPr>
          <w:szCs w:val="24"/>
          <w:u w:val="single"/>
        </w:rPr>
      </w:pPr>
    </w:p>
    <w:p w14:paraId="24AAD8A8" w14:textId="77777777" w:rsidR="006E23E1" w:rsidRPr="001A1AB1" w:rsidRDefault="006E23E1" w:rsidP="00823543">
      <w:pPr>
        <w:spacing w:before="0"/>
        <w:rPr>
          <w:szCs w:val="24"/>
          <w:u w:val="single"/>
        </w:rPr>
      </w:pPr>
    </w:p>
    <w:p w14:paraId="49467761" w14:textId="77777777" w:rsidR="006E23E1" w:rsidRPr="001A1AB1" w:rsidRDefault="006E23E1" w:rsidP="00823543">
      <w:pPr>
        <w:spacing w:before="0"/>
        <w:rPr>
          <w:szCs w:val="24"/>
          <w:u w:val="single"/>
        </w:rPr>
      </w:pPr>
    </w:p>
    <w:p w14:paraId="1E89B439" w14:textId="0C762A07" w:rsidR="006E23E1" w:rsidRPr="001A1AB1" w:rsidRDefault="00823543" w:rsidP="00A6539E">
      <w:pPr>
        <w:spacing w:before="0" w:after="120"/>
        <w:rPr>
          <w:szCs w:val="24"/>
          <w:u w:val="single"/>
        </w:rPr>
      </w:pPr>
      <w:r w:rsidRPr="001A1AB1">
        <w:rPr>
          <w:szCs w:val="24"/>
          <w:u w:val="single"/>
        </w:rPr>
        <w:t>Four issues of a credibility determination:</w:t>
      </w:r>
    </w:p>
    <w:p w14:paraId="6FB82CA3" w14:textId="77777777" w:rsidR="00823543" w:rsidRPr="001A1AB1" w:rsidRDefault="00823543" w:rsidP="00823543">
      <w:pPr>
        <w:pStyle w:val="VBABodyText0"/>
        <w:spacing w:before="0"/>
      </w:pPr>
      <w:r w:rsidRPr="001A1AB1">
        <w:t>Competent: Competent lay evidence means any evidence not requiring that the proponent have specialized education, training, or experience. Lay evidence is competent if it is provided by a person who has knowledge of facts or circumstances and conveys matters that can be observed and described by a lay person.</w:t>
      </w:r>
    </w:p>
    <w:p w14:paraId="5B775980" w14:textId="77777777" w:rsidR="00823543" w:rsidRPr="001A1AB1" w:rsidRDefault="00823543" w:rsidP="00823543">
      <w:pPr>
        <w:pStyle w:val="VBABodyText0"/>
        <w:spacing w:before="0"/>
      </w:pPr>
    </w:p>
    <w:p w14:paraId="079551AB" w14:textId="77777777" w:rsidR="00823543" w:rsidRPr="001A1AB1" w:rsidRDefault="00823543" w:rsidP="00823543">
      <w:pPr>
        <w:pStyle w:val="VBABodyText0"/>
        <w:spacing w:before="0"/>
      </w:pPr>
      <w:r w:rsidRPr="001A1AB1">
        <w:t>Plausible: Are the veteran’s statements regarding in-service manifestations of injury, disease, or of an event reasonable or otherwise capable of being true?</w:t>
      </w:r>
    </w:p>
    <w:p w14:paraId="0CB17804" w14:textId="77777777" w:rsidR="00823543" w:rsidRPr="001A1AB1" w:rsidRDefault="00823543" w:rsidP="00823543">
      <w:pPr>
        <w:pStyle w:val="VBABodyText0"/>
        <w:spacing w:before="0"/>
      </w:pPr>
    </w:p>
    <w:p w14:paraId="066AC8B1" w14:textId="77777777" w:rsidR="00823543" w:rsidRPr="001A1AB1" w:rsidRDefault="00823543" w:rsidP="00823543">
      <w:pPr>
        <w:pStyle w:val="VBABodyText0"/>
        <w:spacing w:before="0"/>
      </w:pPr>
      <w:r w:rsidRPr="001A1AB1">
        <w:t>Consistent: Is the Veteran consistent with their statement? Are there conflicting statements of record?</w:t>
      </w:r>
    </w:p>
    <w:p w14:paraId="73D8B3D1" w14:textId="77777777" w:rsidR="00823543" w:rsidRPr="001A1AB1" w:rsidRDefault="00823543" w:rsidP="00823543">
      <w:pPr>
        <w:pStyle w:val="VBABodyText0"/>
        <w:spacing w:before="0"/>
      </w:pPr>
    </w:p>
    <w:p w14:paraId="6CEB2D13" w14:textId="49A1F149" w:rsidR="00823543" w:rsidRPr="001A1AB1" w:rsidRDefault="00823543" w:rsidP="00823543">
      <w:pPr>
        <w:spacing w:before="0"/>
      </w:pPr>
      <w:r w:rsidRPr="001A1AB1">
        <w:t>Circumstances of Service: Is the Veteran’s statement consistent with their service? The VSR, RVSR or DRO must conclude if the statement is consistent with the circumstances of service.</w:t>
      </w:r>
    </w:p>
    <w:p w14:paraId="0BB74A7A" w14:textId="77777777" w:rsidR="007A5600" w:rsidRPr="001A1AB1" w:rsidRDefault="007A5600">
      <w:pPr>
        <w:pStyle w:val="VBABodyText0"/>
      </w:pPr>
    </w:p>
    <w:p w14:paraId="0BB74A7B" w14:textId="77777777" w:rsidR="007A5600" w:rsidRPr="001A1AB1" w:rsidRDefault="007A5600"/>
    <w:p w14:paraId="0BB74A7C" w14:textId="77777777" w:rsidR="007A5600" w:rsidRPr="001A1AB1" w:rsidRDefault="007A5600"/>
    <w:p w14:paraId="0BB74A7D" w14:textId="77777777" w:rsidR="007A5600" w:rsidRPr="001A1AB1" w:rsidRDefault="007A5600"/>
    <w:p w14:paraId="0BB74A7E" w14:textId="77777777" w:rsidR="007A5600" w:rsidRPr="001A1AB1" w:rsidRDefault="007A5600"/>
    <w:p w14:paraId="0BB74A7F" w14:textId="77777777" w:rsidR="007A5600" w:rsidRPr="001A1AB1" w:rsidRDefault="007A5600"/>
    <w:p w14:paraId="0BB74A80" w14:textId="77777777" w:rsidR="007A5600" w:rsidRPr="001A1AB1" w:rsidRDefault="007A5600"/>
    <w:p w14:paraId="0BB74A81" w14:textId="77777777" w:rsidR="007A5600" w:rsidRPr="001A1AB1" w:rsidRDefault="007A5600"/>
    <w:p w14:paraId="0BB74A82" w14:textId="77777777" w:rsidR="007A5600" w:rsidRPr="001A1AB1" w:rsidRDefault="007A5600"/>
    <w:p w14:paraId="0BB74A83" w14:textId="77777777" w:rsidR="007A5600" w:rsidRPr="001A1AB1" w:rsidRDefault="007A5600"/>
    <w:p w14:paraId="0BB74A84" w14:textId="77777777" w:rsidR="007A5600" w:rsidRPr="001A1AB1" w:rsidRDefault="007A5600"/>
    <w:p w14:paraId="0BB74A85" w14:textId="77777777" w:rsidR="007A5600" w:rsidRPr="001A1AB1" w:rsidRDefault="007A5600"/>
    <w:p w14:paraId="0BB74A86" w14:textId="77777777" w:rsidR="007A5600" w:rsidRPr="001A1AB1" w:rsidRDefault="007A5600"/>
    <w:p w14:paraId="0BB74A87" w14:textId="77777777" w:rsidR="007A5600" w:rsidRPr="001A1AB1" w:rsidRDefault="007A5600"/>
    <w:p w14:paraId="0BB74A94" w14:textId="529F3B4C" w:rsidR="007A5600" w:rsidRPr="001A1AB1" w:rsidRDefault="007A5600">
      <w:pPr>
        <w:overflowPunct/>
        <w:autoSpaceDE/>
        <w:autoSpaceDN/>
        <w:adjustRightInd/>
        <w:spacing w:before="0"/>
        <w:rPr>
          <w:b/>
          <w:smallCaps/>
          <w:sz w:val="32"/>
          <w:szCs w:val="32"/>
        </w:rPr>
      </w:pPr>
    </w:p>
    <w:p w14:paraId="0BB74A95" w14:textId="266525FF" w:rsidR="007A5600" w:rsidRPr="001A1AB1" w:rsidRDefault="007A5600">
      <w:pPr>
        <w:pStyle w:val="VBATopicHeading1"/>
        <w:rPr>
          <w:rFonts w:ascii="Times New Roman" w:hAnsi="Times New Roman"/>
        </w:rPr>
      </w:pPr>
      <w:bookmarkStart w:id="9" w:name="_Toc442342641"/>
      <w:r w:rsidRPr="001A1AB1">
        <w:rPr>
          <w:rFonts w:ascii="Times New Roman" w:hAnsi="Times New Roman"/>
        </w:rPr>
        <w:t xml:space="preserve">Topic 2: </w:t>
      </w:r>
      <w:r w:rsidR="00381237" w:rsidRPr="001A1AB1">
        <w:rPr>
          <w:rFonts w:ascii="Times New Roman" w:hAnsi="Times New Roman"/>
        </w:rPr>
        <w:t>Competent Lay Evidence</w:t>
      </w:r>
      <w:bookmarkEnd w:id="9"/>
    </w:p>
    <w:p w14:paraId="0BB74A96" w14:textId="77777777" w:rsidR="007A5600" w:rsidRPr="001A1AB1" w:rsidRDefault="007A5600">
      <w:pPr>
        <w:pStyle w:val="VBASubHeading1"/>
        <w:spacing w:before="0"/>
        <w:rPr>
          <w:b/>
          <w:bCs/>
          <w:i w:val="0"/>
        </w:rPr>
      </w:pPr>
    </w:p>
    <w:p w14:paraId="56E1A484" w14:textId="77777777" w:rsidR="00EE7352" w:rsidRPr="00071D95" w:rsidRDefault="00EE7352" w:rsidP="00EE7352">
      <w:r w:rsidRPr="00071D95">
        <w:t xml:space="preserve">38 CFR §3.159(a)(2), </w:t>
      </w:r>
      <w:r w:rsidRPr="00EE7352">
        <w:rPr>
          <w:i/>
        </w:rPr>
        <w:t>Department of Veterans Affairs assistance in developing claims</w:t>
      </w:r>
      <w:r w:rsidRPr="00071D95">
        <w:t xml:space="preserve"> states the definition of competent lay evidence as:</w:t>
      </w:r>
    </w:p>
    <w:p w14:paraId="6AFB69D2" w14:textId="73D3E1B1" w:rsidR="00660868" w:rsidRDefault="00EE7352" w:rsidP="0013465D">
      <w:pPr>
        <w:pStyle w:val="VBABodyText0"/>
      </w:pPr>
      <w:r w:rsidRPr="00071D95">
        <w:rPr>
          <w:i/>
          <w:iCs/>
        </w:rPr>
        <w:t>Competent lay evidence</w:t>
      </w:r>
      <w:r w:rsidRPr="00071D95">
        <w:t xml:space="preserve"> means any evidence not requiring that the proponent have specialized education, training, or experience. Lay evidence is competent if it is provided by a person who has knowledge of facts or circumstances and conveys matters that can be observed and described by a lay person</w:t>
      </w:r>
      <w:r>
        <w:t>.</w:t>
      </w:r>
    </w:p>
    <w:p w14:paraId="37867AD1" w14:textId="77777777" w:rsidR="00660868" w:rsidRPr="00071D95" w:rsidRDefault="00660868" w:rsidP="00660868">
      <w:pPr>
        <w:spacing w:before="240" w:after="240"/>
      </w:pPr>
      <w:r w:rsidRPr="00071D95">
        <w:t xml:space="preserve">A claimant is competent (qualified) to describe </w:t>
      </w:r>
      <w:r w:rsidRPr="00071D95">
        <w:rPr>
          <w:u w:val="single"/>
        </w:rPr>
        <w:t>symptoms</w:t>
      </w:r>
      <w:r w:rsidRPr="00071D95">
        <w:t xml:space="preserve"> of a disability that he or she is experiencing but he or she may not be competent to </w:t>
      </w:r>
      <w:r w:rsidRPr="00071D95">
        <w:rPr>
          <w:u w:val="single"/>
        </w:rPr>
        <w:t>diagnose</w:t>
      </w:r>
      <w:r w:rsidRPr="00071D95">
        <w:t xml:space="preserve"> their own medical condition or offer a medical opinion.</w:t>
      </w:r>
    </w:p>
    <w:p w14:paraId="3D2283E9" w14:textId="77777777" w:rsidR="00660868" w:rsidRPr="00071D95" w:rsidRDefault="00660868" w:rsidP="00660868">
      <w:pPr>
        <w:spacing w:before="240" w:after="240"/>
        <w:rPr>
          <w:bCs/>
        </w:rPr>
      </w:pPr>
      <w:r w:rsidRPr="00071D95">
        <w:rPr>
          <w:bCs/>
        </w:rPr>
        <w:t>Competent or Qualified Lay Statements are sufficient when:</w:t>
      </w:r>
    </w:p>
    <w:p w14:paraId="702B4F45" w14:textId="77777777" w:rsidR="00660868" w:rsidRPr="00071D95" w:rsidRDefault="00660868" w:rsidP="00660868">
      <w:pPr>
        <w:numPr>
          <w:ilvl w:val="0"/>
          <w:numId w:val="6"/>
        </w:numPr>
        <w:spacing w:before="240" w:after="240"/>
        <w:textAlignment w:val="baseline"/>
        <w:rPr>
          <w:bCs/>
        </w:rPr>
      </w:pPr>
      <w:r w:rsidRPr="00071D95">
        <w:rPr>
          <w:bCs/>
        </w:rPr>
        <w:t>A layperson is competent to identify the medical condition</w:t>
      </w:r>
    </w:p>
    <w:p w14:paraId="488CEACC" w14:textId="77777777" w:rsidR="00660868" w:rsidRPr="00071D95" w:rsidRDefault="00660868" w:rsidP="00660868">
      <w:pPr>
        <w:numPr>
          <w:ilvl w:val="0"/>
          <w:numId w:val="6"/>
        </w:numPr>
        <w:spacing w:before="240" w:after="240"/>
        <w:textAlignment w:val="baseline"/>
        <w:rPr>
          <w:bCs/>
        </w:rPr>
      </w:pPr>
      <w:r w:rsidRPr="00071D95">
        <w:rPr>
          <w:bCs/>
        </w:rPr>
        <w:t>A layperson is reporting contemporaneous medical diagnosis</w:t>
      </w:r>
    </w:p>
    <w:p w14:paraId="61188121" w14:textId="77777777" w:rsidR="00660868" w:rsidRPr="00071D95" w:rsidRDefault="00660868" w:rsidP="00660868">
      <w:pPr>
        <w:numPr>
          <w:ilvl w:val="0"/>
          <w:numId w:val="6"/>
        </w:numPr>
        <w:spacing w:before="240" w:after="240"/>
        <w:textAlignment w:val="baseline"/>
        <w:rPr>
          <w:bCs/>
        </w:rPr>
      </w:pPr>
      <w:r w:rsidRPr="00071D95">
        <w:rPr>
          <w:bCs/>
        </w:rPr>
        <w:t>Or, lay testimony describing symptoms at the time supports a later diagnosis by a medical professional.</w:t>
      </w:r>
    </w:p>
    <w:p w14:paraId="0BB74A99" w14:textId="29BB0C9F" w:rsidR="004C61F0" w:rsidRDefault="007A5600">
      <w:pPr>
        <w:overflowPunct/>
        <w:autoSpaceDE/>
        <w:autoSpaceDN/>
        <w:adjustRightInd/>
        <w:spacing w:before="0"/>
      </w:pPr>
      <w:r w:rsidRPr="001A1AB1">
        <w:br w:type="page"/>
      </w:r>
    </w:p>
    <w:p w14:paraId="12542CB4" w14:textId="022F52BB" w:rsidR="004C61F0" w:rsidRPr="001A1AB1" w:rsidRDefault="004C61F0" w:rsidP="004C61F0">
      <w:pPr>
        <w:pStyle w:val="VBATopicHeading1"/>
        <w:rPr>
          <w:rFonts w:ascii="Times New Roman" w:hAnsi="Times New Roman"/>
        </w:rPr>
      </w:pPr>
      <w:bookmarkStart w:id="10" w:name="_Toc442342642"/>
      <w:r>
        <w:rPr>
          <w:rFonts w:ascii="Times New Roman" w:hAnsi="Times New Roman"/>
        </w:rPr>
        <w:lastRenderedPageBreak/>
        <w:t>Topic 3</w:t>
      </w:r>
      <w:r w:rsidRPr="001A1AB1">
        <w:rPr>
          <w:rFonts w:ascii="Times New Roman" w:hAnsi="Times New Roman"/>
        </w:rPr>
        <w:t xml:space="preserve">: </w:t>
      </w:r>
      <w:r>
        <w:rPr>
          <w:rFonts w:ascii="Times New Roman" w:hAnsi="Times New Roman"/>
        </w:rPr>
        <w:t>Plausibility</w:t>
      </w:r>
      <w:bookmarkEnd w:id="10"/>
    </w:p>
    <w:p w14:paraId="4243BA7A" w14:textId="77777777" w:rsidR="004C61F0" w:rsidRPr="001A1AB1" w:rsidRDefault="004C61F0" w:rsidP="004C61F0">
      <w:pPr>
        <w:pStyle w:val="VBASubHeading1"/>
        <w:spacing w:before="0"/>
        <w:rPr>
          <w:b/>
          <w:bCs/>
          <w:i w:val="0"/>
        </w:rPr>
      </w:pPr>
    </w:p>
    <w:p w14:paraId="295B0DF4" w14:textId="77777777" w:rsidR="00426432" w:rsidRDefault="004C61F0" w:rsidP="00426432">
      <w:pPr>
        <w:pStyle w:val="VBABodyText0"/>
        <w:spacing w:before="0"/>
      </w:pPr>
      <w:r w:rsidRPr="004C61F0">
        <w:rPr>
          <w:u w:val="single"/>
        </w:rPr>
        <w:t>Definition of plausibility:</w:t>
      </w:r>
      <w:r>
        <w:t xml:space="preserve"> </w:t>
      </w:r>
      <w:r w:rsidRPr="00071D95">
        <w:t xml:space="preserve"> </w:t>
      </w:r>
    </w:p>
    <w:p w14:paraId="04174FCB" w14:textId="253320B6" w:rsidR="004C61F0" w:rsidRPr="00071D95" w:rsidRDefault="004C61F0" w:rsidP="00426432">
      <w:pPr>
        <w:pStyle w:val="VBABodyText0"/>
        <w:spacing w:before="0"/>
      </w:pPr>
      <w:r w:rsidRPr="00071D95">
        <w:t>A statement that is appearing worthy of belief. The circumstances are reasonable and/or possible.</w:t>
      </w:r>
    </w:p>
    <w:p w14:paraId="113F811C" w14:textId="1E858A4C" w:rsidR="004C61F0" w:rsidRDefault="004C61F0" w:rsidP="00426432">
      <w:pPr>
        <w:spacing w:before="0"/>
      </w:pPr>
    </w:p>
    <w:p w14:paraId="0C3E6D81" w14:textId="77777777" w:rsidR="00426432" w:rsidRDefault="00426432" w:rsidP="00426432">
      <w:pPr>
        <w:spacing w:before="0"/>
      </w:pPr>
    </w:p>
    <w:p w14:paraId="6780C229" w14:textId="56575BF9" w:rsidR="004C61F0" w:rsidRPr="004C61F0" w:rsidRDefault="004C61F0" w:rsidP="00426432">
      <w:pPr>
        <w:spacing w:before="0"/>
        <w:rPr>
          <w:u w:val="single"/>
        </w:rPr>
      </w:pPr>
      <w:r w:rsidRPr="004C61F0">
        <w:rPr>
          <w:u w:val="single"/>
        </w:rPr>
        <w:t>Inherently Incredible Claims:</w:t>
      </w:r>
    </w:p>
    <w:p w14:paraId="29A099F8" w14:textId="77777777" w:rsidR="004C61F0" w:rsidRPr="00071D95" w:rsidRDefault="004C61F0" w:rsidP="00426432">
      <w:pPr>
        <w:spacing w:before="0"/>
      </w:pPr>
      <w:r w:rsidRPr="00071D95">
        <w:t>38 CFR §3.159(</w:t>
      </w:r>
      <w:r>
        <w:t>d</w:t>
      </w:r>
      <w:r w:rsidRPr="00071D95">
        <w:t xml:space="preserve">), </w:t>
      </w:r>
      <w:r w:rsidRPr="00EE7352">
        <w:rPr>
          <w:i/>
        </w:rPr>
        <w:t>Department of Veterans Affairs assistance in developing claims</w:t>
      </w:r>
      <w:r>
        <w:t xml:space="preserve"> states the </w:t>
      </w:r>
      <w:r w:rsidRPr="00071D95">
        <w:t>VA will not provide assistance in obtaining evidence if a claim is inherently incredible or clearly lacks merit, even when the application itself is substantially complete.</w:t>
      </w:r>
    </w:p>
    <w:p w14:paraId="258845FF" w14:textId="5B06A97A" w:rsidR="004C61F0" w:rsidRDefault="004C61F0" w:rsidP="004C61F0"/>
    <w:p w14:paraId="43978B1C" w14:textId="77777777" w:rsidR="007A5600" w:rsidRDefault="007A5600" w:rsidP="0013465D">
      <w:pPr>
        <w:pStyle w:val="VBABodyText0"/>
      </w:pPr>
    </w:p>
    <w:p w14:paraId="1E9EAC28" w14:textId="77777777" w:rsidR="00426432" w:rsidRDefault="00426432" w:rsidP="00426432">
      <w:pPr>
        <w:pStyle w:val="VBATopicHeading1"/>
        <w:rPr>
          <w:rFonts w:ascii="Times New Roman" w:hAnsi="Times New Roman"/>
        </w:rPr>
      </w:pPr>
    </w:p>
    <w:p w14:paraId="3B5C0553" w14:textId="77777777" w:rsidR="00426432" w:rsidRDefault="00426432">
      <w:pPr>
        <w:overflowPunct/>
        <w:autoSpaceDE/>
        <w:autoSpaceDN/>
        <w:adjustRightInd/>
        <w:spacing w:before="0"/>
        <w:rPr>
          <w:b/>
          <w:smallCaps/>
          <w:sz w:val="32"/>
          <w:szCs w:val="32"/>
        </w:rPr>
      </w:pPr>
      <w:r>
        <w:br w:type="page"/>
      </w:r>
    </w:p>
    <w:p w14:paraId="480FF7B4" w14:textId="483F3188" w:rsidR="00426432" w:rsidRPr="001A1AB1" w:rsidRDefault="00426432" w:rsidP="00426432">
      <w:pPr>
        <w:pStyle w:val="VBATopicHeading1"/>
        <w:rPr>
          <w:rFonts w:ascii="Times New Roman" w:hAnsi="Times New Roman"/>
        </w:rPr>
      </w:pPr>
      <w:bookmarkStart w:id="11" w:name="_Toc442342643"/>
      <w:r>
        <w:rPr>
          <w:rFonts w:ascii="Times New Roman" w:hAnsi="Times New Roman"/>
        </w:rPr>
        <w:lastRenderedPageBreak/>
        <w:t>Topic 4</w:t>
      </w:r>
      <w:r w:rsidRPr="001A1AB1">
        <w:rPr>
          <w:rFonts w:ascii="Times New Roman" w:hAnsi="Times New Roman"/>
        </w:rPr>
        <w:t xml:space="preserve">: </w:t>
      </w:r>
      <w:r>
        <w:rPr>
          <w:rFonts w:ascii="Times New Roman" w:hAnsi="Times New Roman"/>
        </w:rPr>
        <w:t>Consistency</w:t>
      </w:r>
      <w:bookmarkEnd w:id="11"/>
    </w:p>
    <w:p w14:paraId="279E8F0E" w14:textId="77777777" w:rsidR="00426432" w:rsidRPr="001A1AB1" w:rsidRDefault="00426432" w:rsidP="00426432">
      <w:pPr>
        <w:pStyle w:val="VBASubHeading1"/>
        <w:spacing w:before="0"/>
        <w:rPr>
          <w:b/>
          <w:bCs/>
          <w:i w:val="0"/>
        </w:rPr>
      </w:pPr>
    </w:p>
    <w:p w14:paraId="08E2DDB0" w14:textId="59272935" w:rsidR="00426432" w:rsidRDefault="00426432" w:rsidP="00A6539E">
      <w:pPr>
        <w:pStyle w:val="VBABodyText0"/>
        <w:spacing w:before="0" w:after="120"/>
      </w:pPr>
      <w:r w:rsidRPr="004C61F0">
        <w:rPr>
          <w:u w:val="single"/>
        </w:rPr>
        <w:t xml:space="preserve">Definition of </w:t>
      </w:r>
      <w:r>
        <w:rPr>
          <w:u w:val="single"/>
        </w:rPr>
        <w:t>consistency</w:t>
      </w:r>
      <w:r w:rsidRPr="004C61F0">
        <w:rPr>
          <w:u w:val="single"/>
        </w:rPr>
        <w:t>:</w:t>
      </w:r>
      <w:r>
        <w:t xml:space="preserve"> </w:t>
      </w:r>
      <w:r w:rsidRPr="00071D95">
        <w:t xml:space="preserve"> </w:t>
      </w:r>
    </w:p>
    <w:p w14:paraId="1E4C8CFC" w14:textId="08B2EFA9" w:rsidR="00426432" w:rsidRDefault="00426432" w:rsidP="00426432">
      <w:pPr>
        <w:spacing w:before="0"/>
      </w:pPr>
      <w:r w:rsidRPr="00071D95">
        <w:t>Always acting or behaving the same way, of the same quality and continuing to happen or develop in the same way.</w:t>
      </w:r>
    </w:p>
    <w:p w14:paraId="79C96AED" w14:textId="77777777" w:rsidR="00426432" w:rsidRDefault="00426432" w:rsidP="00426432">
      <w:pPr>
        <w:spacing w:before="0"/>
      </w:pPr>
    </w:p>
    <w:p w14:paraId="29AEBD44" w14:textId="77777777" w:rsidR="00660868" w:rsidRPr="001A1AB1" w:rsidRDefault="00660868" w:rsidP="0013465D">
      <w:pPr>
        <w:pStyle w:val="VBABodyText0"/>
        <w:rPr>
          <w:sz w:val="32"/>
          <w:szCs w:val="32"/>
        </w:rPr>
      </w:pPr>
    </w:p>
    <w:p w14:paraId="1D7DC531" w14:textId="7E260920" w:rsidR="00E91068" w:rsidRPr="001A1AB1" w:rsidRDefault="00426432" w:rsidP="00E91068">
      <w:pPr>
        <w:pStyle w:val="VBATopicHeading1"/>
        <w:rPr>
          <w:rFonts w:ascii="Times New Roman" w:hAnsi="Times New Roman"/>
        </w:rPr>
      </w:pPr>
      <w:r>
        <w:rPr>
          <w:rFonts w:ascii="Times New Roman" w:hAnsi="Times New Roman"/>
        </w:rPr>
        <w:br w:type="page"/>
      </w:r>
      <w:bookmarkStart w:id="12" w:name="_Toc442342644"/>
      <w:r w:rsidR="00E91068">
        <w:rPr>
          <w:rFonts w:ascii="Times New Roman" w:hAnsi="Times New Roman"/>
        </w:rPr>
        <w:lastRenderedPageBreak/>
        <w:t>Topic 4</w:t>
      </w:r>
      <w:r w:rsidR="00E91068" w:rsidRPr="001A1AB1">
        <w:rPr>
          <w:rFonts w:ascii="Times New Roman" w:hAnsi="Times New Roman"/>
        </w:rPr>
        <w:t xml:space="preserve">: </w:t>
      </w:r>
      <w:r w:rsidR="00E91068">
        <w:rPr>
          <w:rFonts w:ascii="Times New Roman" w:hAnsi="Times New Roman"/>
        </w:rPr>
        <w:t>Circumstances of Service</w:t>
      </w:r>
      <w:bookmarkEnd w:id="12"/>
    </w:p>
    <w:p w14:paraId="7D02ACC2" w14:textId="77777777" w:rsidR="00E91068" w:rsidRPr="001A1AB1" w:rsidRDefault="00E91068" w:rsidP="00E91068">
      <w:pPr>
        <w:pStyle w:val="VBASubHeading1"/>
        <w:spacing w:before="0"/>
        <w:rPr>
          <w:b/>
          <w:bCs/>
          <w:i w:val="0"/>
        </w:rPr>
      </w:pPr>
    </w:p>
    <w:p w14:paraId="6233BB38" w14:textId="7F0CFFBE" w:rsidR="00E91068" w:rsidRPr="00E91068" w:rsidRDefault="00E91068" w:rsidP="00E91068">
      <w:pPr>
        <w:spacing w:before="0" w:after="120"/>
        <w:rPr>
          <w:u w:val="single"/>
        </w:rPr>
      </w:pPr>
      <w:r w:rsidRPr="00E91068">
        <w:rPr>
          <w:u w:val="single"/>
        </w:rPr>
        <w:t>Circumstances of Service Regulation:</w:t>
      </w:r>
    </w:p>
    <w:p w14:paraId="7874679A" w14:textId="42958012" w:rsidR="00426432" w:rsidRDefault="00E91068" w:rsidP="00E91068">
      <w:pPr>
        <w:overflowPunct/>
        <w:autoSpaceDE/>
        <w:autoSpaceDN/>
        <w:adjustRightInd/>
        <w:spacing w:before="0"/>
      </w:pPr>
      <w:r w:rsidRPr="00071D95">
        <w:t xml:space="preserve">38 CFR §3.159 (a)(4)  states for purposes of paragraph (c)(4)(i) of this section, </w:t>
      </w:r>
      <w:r w:rsidRPr="00071D95">
        <w:rPr>
          <w:i/>
          <w:iCs/>
        </w:rPr>
        <w:t>event</w:t>
      </w:r>
      <w:r w:rsidRPr="00071D95">
        <w:t xml:space="preserve"> means one or more incidents associated with places, types, and circumstances of service giving rise to disability.</w:t>
      </w:r>
    </w:p>
    <w:p w14:paraId="78968C69" w14:textId="77777777" w:rsidR="00E91068" w:rsidRDefault="00E91068" w:rsidP="00E91068">
      <w:pPr>
        <w:overflowPunct/>
        <w:autoSpaceDE/>
        <w:autoSpaceDN/>
        <w:adjustRightInd/>
        <w:spacing w:before="0"/>
      </w:pPr>
    </w:p>
    <w:p w14:paraId="596D8B3C" w14:textId="43326301" w:rsidR="00E91068" w:rsidRPr="00E91068" w:rsidRDefault="00E91068" w:rsidP="00E91068">
      <w:pPr>
        <w:spacing w:before="0" w:after="120"/>
        <w:rPr>
          <w:u w:val="single"/>
        </w:rPr>
      </w:pPr>
      <w:r w:rsidRPr="00E91068">
        <w:rPr>
          <w:u w:val="single"/>
        </w:rPr>
        <w:t>Service Lay Statements:</w:t>
      </w:r>
    </w:p>
    <w:p w14:paraId="612193B5" w14:textId="25176FA3" w:rsidR="00E91068" w:rsidRPr="00071D95" w:rsidRDefault="00E91068" w:rsidP="00E91068">
      <w:pPr>
        <w:spacing w:before="0"/>
      </w:pPr>
      <w:r w:rsidRPr="00071D95">
        <w:t>A claimant is competent (qualified) to describe events, places and circumstances of their service. However, in most cases the circumstances of service must be corroborated.</w:t>
      </w:r>
    </w:p>
    <w:p w14:paraId="5C22FABF" w14:textId="77777777" w:rsidR="00E91068" w:rsidRDefault="00E91068" w:rsidP="00E91068">
      <w:pPr>
        <w:overflowPunct/>
        <w:autoSpaceDE/>
        <w:autoSpaceDN/>
        <w:adjustRightInd/>
        <w:spacing w:before="0"/>
        <w:rPr>
          <w:b/>
          <w:smallCaps/>
          <w:sz w:val="32"/>
          <w:szCs w:val="32"/>
        </w:rPr>
      </w:pPr>
    </w:p>
    <w:p w14:paraId="5A836AB7" w14:textId="04910BE1" w:rsidR="00E91068" w:rsidRPr="00E91068" w:rsidRDefault="00E91068" w:rsidP="00E91068">
      <w:pPr>
        <w:overflowPunct/>
        <w:autoSpaceDE/>
        <w:autoSpaceDN/>
        <w:adjustRightInd/>
        <w:spacing w:before="0" w:after="120"/>
        <w:rPr>
          <w:u w:val="single"/>
        </w:rPr>
      </w:pPr>
      <w:r w:rsidRPr="00E91068">
        <w:rPr>
          <w:u w:val="single"/>
        </w:rPr>
        <w:t>Military Occupations Specialty:</w:t>
      </w:r>
    </w:p>
    <w:p w14:paraId="48D28362" w14:textId="77777777" w:rsidR="00E91068" w:rsidRPr="00071D95" w:rsidRDefault="00E91068" w:rsidP="00E91068">
      <w:pPr>
        <w:spacing w:before="0"/>
      </w:pPr>
      <w:r w:rsidRPr="00071D95">
        <w:t xml:space="preserve">The service records, to include a Military Occupation Specialty (MOS), of a Veteran can establish the “event” in service if the service treatment records themselves do not show an event occurred. </w:t>
      </w:r>
    </w:p>
    <w:p w14:paraId="49C31A24" w14:textId="77777777" w:rsidR="00E91068" w:rsidRDefault="00E91068" w:rsidP="00E91068">
      <w:pPr>
        <w:overflowPunct/>
        <w:autoSpaceDE/>
        <w:autoSpaceDN/>
        <w:adjustRightInd/>
        <w:spacing w:before="0"/>
        <w:rPr>
          <w:b/>
          <w:smallCaps/>
          <w:sz w:val="32"/>
          <w:szCs w:val="32"/>
        </w:rPr>
      </w:pPr>
    </w:p>
    <w:p w14:paraId="7CBF67C2" w14:textId="55FC7489" w:rsidR="00E91068" w:rsidRPr="00E91068" w:rsidRDefault="00E91068" w:rsidP="00E91068">
      <w:pPr>
        <w:spacing w:before="0" w:after="120"/>
        <w:rPr>
          <w:u w:val="single"/>
        </w:rPr>
      </w:pPr>
      <w:r w:rsidRPr="00E91068">
        <w:rPr>
          <w:u w:val="single"/>
        </w:rPr>
        <w:t>Combat Veterans Regulation:</w:t>
      </w:r>
    </w:p>
    <w:p w14:paraId="1C5230C2" w14:textId="28E3C611" w:rsidR="00E91068" w:rsidRPr="00E91068" w:rsidRDefault="00E91068" w:rsidP="00E91068">
      <w:pPr>
        <w:spacing w:before="0"/>
        <w:rPr>
          <w:u w:val="single"/>
        </w:rPr>
      </w:pPr>
      <w:r w:rsidRPr="00071D95">
        <w:t>38 CFR §3.304(d)</w:t>
      </w:r>
      <w:r w:rsidRPr="00071D95">
        <w:rPr>
          <w:i/>
        </w:rPr>
        <w:t xml:space="preserve"> Combat</w:t>
      </w:r>
      <w:r w:rsidRPr="00071D95">
        <w:t>. Satisfactory lay or other evidence that an injury or disease was incurred or aggravated in combat will be accepted as sufficient proof of service connection if the evidence is consistent with the circumstances, conditions or hardships of such service even though there is no official record of s</w:t>
      </w:r>
      <w:r>
        <w:t xml:space="preserve">uch incurrence or aggravation. </w:t>
      </w:r>
      <w:r w:rsidRPr="00071D95">
        <w:t xml:space="preserve"> </w:t>
      </w:r>
    </w:p>
    <w:p w14:paraId="1BEB7C59" w14:textId="77777777" w:rsidR="00E91068" w:rsidRDefault="00E91068">
      <w:pPr>
        <w:overflowPunct/>
        <w:autoSpaceDE/>
        <w:autoSpaceDN/>
        <w:adjustRightInd/>
        <w:spacing w:before="0"/>
        <w:rPr>
          <w:b/>
          <w:smallCaps/>
          <w:sz w:val="32"/>
          <w:szCs w:val="32"/>
        </w:rPr>
      </w:pPr>
    </w:p>
    <w:p w14:paraId="32E2BC43" w14:textId="77777777" w:rsidR="00E91068" w:rsidRDefault="00E91068">
      <w:pPr>
        <w:overflowPunct/>
        <w:autoSpaceDE/>
        <w:autoSpaceDN/>
        <w:adjustRightInd/>
        <w:spacing w:before="0"/>
        <w:rPr>
          <w:b/>
          <w:smallCaps/>
          <w:sz w:val="32"/>
          <w:szCs w:val="32"/>
        </w:rPr>
      </w:pPr>
      <w:r>
        <w:br w:type="page"/>
      </w:r>
    </w:p>
    <w:p w14:paraId="0BB74A9A" w14:textId="453239DD" w:rsidR="007A5600" w:rsidRPr="001A1AB1" w:rsidRDefault="007A5600">
      <w:pPr>
        <w:pStyle w:val="VBATopicHeading1"/>
        <w:rPr>
          <w:rFonts w:ascii="Times New Roman" w:hAnsi="Times New Roman"/>
        </w:rPr>
      </w:pPr>
      <w:bookmarkStart w:id="13" w:name="_Toc442342645"/>
      <w:r w:rsidRPr="001A1AB1">
        <w:rPr>
          <w:rFonts w:ascii="Times New Roman" w:hAnsi="Times New Roman"/>
        </w:rPr>
        <w:lastRenderedPageBreak/>
        <w:t>Practical Exercise</w:t>
      </w:r>
      <w:bookmarkEnd w:id="13"/>
    </w:p>
    <w:p w14:paraId="0BB74A9B" w14:textId="77777777" w:rsidR="007A5600" w:rsidRPr="001A1AB1" w:rsidRDefault="007A5600">
      <w:pPr>
        <w:jc w:val="center"/>
        <w:rPr>
          <w:u w:val="single"/>
        </w:rPr>
      </w:pPr>
    </w:p>
    <w:p w14:paraId="43BB5BE9" w14:textId="048673A6" w:rsidR="003D2632" w:rsidRPr="001A1AB1" w:rsidRDefault="003D2632" w:rsidP="00A9687D">
      <w:pPr>
        <w:spacing w:before="0"/>
        <w:rPr>
          <w:b/>
          <w:szCs w:val="24"/>
          <w:u w:val="single"/>
        </w:rPr>
      </w:pPr>
      <w:r w:rsidRPr="001A1AB1">
        <w:rPr>
          <w:b/>
          <w:szCs w:val="24"/>
        </w:rPr>
        <w:t>R</w:t>
      </w:r>
      <w:r w:rsidRPr="001A1AB1">
        <w:rPr>
          <w:b/>
        </w:rPr>
        <w:t>eview the scenarios and provide the answers to the associated questions.</w:t>
      </w:r>
    </w:p>
    <w:p w14:paraId="42E3A2F9" w14:textId="77777777" w:rsidR="003D2632" w:rsidRPr="001A1AB1" w:rsidRDefault="003D2632" w:rsidP="00A9687D">
      <w:pPr>
        <w:spacing w:before="0"/>
        <w:rPr>
          <w:b/>
          <w:szCs w:val="24"/>
          <w:u w:val="single"/>
        </w:rPr>
      </w:pPr>
    </w:p>
    <w:p w14:paraId="4C4DEE99" w14:textId="05C1D55C" w:rsidR="003D2632" w:rsidRPr="001A1AB1" w:rsidRDefault="00A9687D" w:rsidP="00A9687D">
      <w:pPr>
        <w:spacing w:before="0"/>
        <w:rPr>
          <w:b/>
          <w:szCs w:val="24"/>
          <w:u w:val="single"/>
        </w:rPr>
      </w:pPr>
      <w:r w:rsidRPr="001A1AB1">
        <w:rPr>
          <w:b/>
          <w:szCs w:val="24"/>
          <w:u w:val="single"/>
        </w:rPr>
        <w:t>Scenario 1:</w:t>
      </w:r>
    </w:p>
    <w:p w14:paraId="0BB74A9D" w14:textId="77777777" w:rsidR="00A9687D" w:rsidRPr="001A1AB1" w:rsidRDefault="00A9687D" w:rsidP="00A9687D">
      <w:pPr>
        <w:spacing w:before="0"/>
        <w:rPr>
          <w:szCs w:val="24"/>
        </w:rPr>
      </w:pPr>
      <w:r w:rsidRPr="001A1AB1">
        <w:rPr>
          <w:szCs w:val="24"/>
        </w:rPr>
        <w:t>A Veteran submits a claim for service connection for low back pain sustained during operation Iraqi Freedom.  The Veteran asserts that he was in Iraq and injured his back diving for cover while under attack.  STRs are negative for any thoracolumbar spine injury, or disease.</w:t>
      </w:r>
    </w:p>
    <w:p w14:paraId="0BB74A9E" w14:textId="77777777" w:rsidR="00A9687D" w:rsidRPr="001A1AB1" w:rsidRDefault="00A9687D" w:rsidP="00A9687D">
      <w:pPr>
        <w:spacing w:before="0"/>
        <w:rPr>
          <w:szCs w:val="24"/>
        </w:rPr>
      </w:pPr>
      <w:r w:rsidRPr="001A1AB1">
        <w:rPr>
          <w:szCs w:val="24"/>
        </w:rPr>
        <w:t>Separation document shows award of Combat Infantry Badge and service in Iraq.</w:t>
      </w:r>
    </w:p>
    <w:p w14:paraId="0BB74A9F" w14:textId="77777777" w:rsidR="007A5600" w:rsidRPr="001A1AB1" w:rsidRDefault="007A5600" w:rsidP="00A9687D">
      <w:pPr>
        <w:spacing w:before="0"/>
        <w:rPr>
          <w:szCs w:val="24"/>
        </w:rPr>
      </w:pPr>
    </w:p>
    <w:p w14:paraId="0BB74AA0" w14:textId="77777777" w:rsidR="00A9687D" w:rsidRPr="001A1AB1" w:rsidRDefault="00A9687D" w:rsidP="00A9687D">
      <w:pPr>
        <w:spacing w:before="0"/>
        <w:rPr>
          <w:szCs w:val="24"/>
          <w:u w:val="single"/>
        </w:rPr>
      </w:pPr>
      <w:r w:rsidRPr="001A1AB1">
        <w:rPr>
          <w:szCs w:val="24"/>
          <w:u w:val="single"/>
        </w:rPr>
        <w:t>Select all correct components:</w:t>
      </w:r>
    </w:p>
    <w:p w14:paraId="0BB74AA1" w14:textId="77777777" w:rsidR="00A9687D" w:rsidRPr="001A1AB1" w:rsidRDefault="00A9687D" w:rsidP="00A9687D">
      <w:pPr>
        <w:spacing w:before="0"/>
        <w:rPr>
          <w:szCs w:val="24"/>
        </w:rPr>
      </w:pPr>
      <w:r w:rsidRPr="001A1AB1">
        <w:rPr>
          <w:szCs w:val="24"/>
        </w:rPr>
        <w:t>Competent</w:t>
      </w:r>
    </w:p>
    <w:p w14:paraId="0BB74AA2" w14:textId="77777777" w:rsidR="00A9687D" w:rsidRPr="001A1AB1" w:rsidRDefault="00A9687D" w:rsidP="00A9687D">
      <w:pPr>
        <w:spacing w:before="0"/>
        <w:rPr>
          <w:szCs w:val="24"/>
        </w:rPr>
      </w:pPr>
      <w:r w:rsidRPr="001A1AB1">
        <w:rPr>
          <w:szCs w:val="24"/>
        </w:rPr>
        <w:t>Plausible</w:t>
      </w:r>
    </w:p>
    <w:p w14:paraId="0BB74AA3" w14:textId="77777777" w:rsidR="00A9687D" w:rsidRPr="001A1AB1" w:rsidRDefault="00A9687D" w:rsidP="00A9687D">
      <w:pPr>
        <w:spacing w:before="0"/>
        <w:rPr>
          <w:szCs w:val="24"/>
        </w:rPr>
      </w:pPr>
      <w:r w:rsidRPr="001A1AB1">
        <w:rPr>
          <w:szCs w:val="24"/>
        </w:rPr>
        <w:t>Consistent</w:t>
      </w:r>
    </w:p>
    <w:p w14:paraId="0BB74AA4" w14:textId="77777777" w:rsidR="00A9687D" w:rsidRPr="001A1AB1" w:rsidRDefault="00A9687D" w:rsidP="00A9687D">
      <w:pPr>
        <w:spacing w:before="0"/>
        <w:rPr>
          <w:szCs w:val="24"/>
        </w:rPr>
      </w:pPr>
      <w:r w:rsidRPr="001A1AB1">
        <w:rPr>
          <w:szCs w:val="24"/>
        </w:rPr>
        <w:t>Service</w:t>
      </w:r>
    </w:p>
    <w:p w14:paraId="0BB74AA5" w14:textId="77777777" w:rsidR="00A9687D" w:rsidRPr="001A1AB1" w:rsidRDefault="00A9687D" w:rsidP="00A9687D">
      <w:pPr>
        <w:spacing w:before="0"/>
        <w:rPr>
          <w:szCs w:val="24"/>
        </w:rPr>
      </w:pPr>
    </w:p>
    <w:p w14:paraId="0BB74AAA" w14:textId="77777777" w:rsidR="00A9687D" w:rsidRPr="001A1AB1" w:rsidRDefault="00A9687D" w:rsidP="00A9687D">
      <w:pPr>
        <w:spacing w:before="0"/>
        <w:rPr>
          <w:szCs w:val="24"/>
        </w:rPr>
      </w:pPr>
    </w:p>
    <w:p w14:paraId="0BB74AAB" w14:textId="77777777" w:rsidR="00A9687D" w:rsidRPr="001A1AB1" w:rsidRDefault="00A9687D" w:rsidP="00A9687D">
      <w:pPr>
        <w:spacing w:before="0"/>
        <w:rPr>
          <w:b/>
          <w:szCs w:val="24"/>
          <w:u w:val="single"/>
        </w:rPr>
      </w:pPr>
      <w:r w:rsidRPr="001A1AB1">
        <w:rPr>
          <w:b/>
          <w:szCs w:val="24"/>
          <w:u w:val="single"/>
        </w:rPr>
        <w:t xml:space="preserve">Scenario 2: </w:t>
      </w:r>
    </w:p>
    <w:p w14:paraId="0BB74AAC" w14:textId="77777777" w:rsidR="00A9687D" w:rsidRPr="001A1AB1" w:rsidRDefault="00A9687D" w:rsidP="00A9687D">
      <w:pPr>
        <w:spacing w:before="0"/>
        <w:rPr>
          <w:szCs w:val="24"/>
        </w:rPr>
      </w:pPr>
      <w:r w:rsidRPr="001A1AB1">
        <w:rPr>
          <w:szCs w:val="24"/>
        </w:rPr>
        <w:t>A Veteran submits a claim for service connection for hearing loss caused by acoustic trauma in service.  STRs are negative for any threshold shift or diagnosis of hearing loss by VA standards.  However, the separation document shows he was a jet mechanic in service.</w:t>
      </w:r>
    </w:p>
    <w:p w14:paraId="0BB74AAD" w14:textId="77777777" w:rsidR="00A9687D" w:rsidRPr="001A1AB1" w:rsidRDefault="00A9687D" w:rsidP="00A9687D">
      <w:pPr>
        <w:spacing w:before="0"/>
        <w:rPr>
          <w:szCs w:val="24"/>
        </w:rPr>
      </w:pPr>
    </w:p>
    <w:p w14:paraId="0BB74AAE" w14:textId="77777777" w:rsidR="00A9687D" w:rsidRPr="001A1AB1" w:rsidRDefault="00A9687D" w:rsidP="00A9687D">
      <w:pPr>
        <w:spacing w:before="0"/>
        <w:rPr>
          <w:szCs w:val="24"/>
          <w:u w:val="single"/>
        </w:rPr>
      </w:pPr>
      <w:r w:rsidRPr="001A1AB1">
        <w:rPr>
          <w:szCs w:val="24"/>
          <w:u w:val="single"/>
        </w:rPr>
        <w:t>Select all correct components:</w:t>
      </w:r>
    </w:p>
    <w:p w14:paraId="0BB74AAF" w14:textId="77777777" w:rsidR="00A9687D" w:rsidRPr="001A1AB1" w:rsidRDefault="00A9687D" w:rsidP="00A9687D">
      <w:pPr>
        <w:spacing w:before="0"/>
        <w:rPr>
          <w:szCs w:val="24"/>
        </w:rPr>
      </w:pPr>
      <w:r w:rsidRPr="001A1AB1">
        <w:rPr>
          <w:szCs w:val="24"/>
        </w:rPr>
        <w:t>Competent</w:t>
      </w:r>
    </w:p>
    <w:p w14:paraId="0BB74AB0" w14:textId="77777777" w:rsidR="00A9687D" w:rsidRPr="001A1AB1" w:rsidRDefault="00A9687D" w:rsidP="00A9687D">
      <w:pPr>
        <w:spacing w:before="0"/>
        <w:rPr>
          <w:szCs w:val="24"/>
        </w:rPr>
      </w:pPr>
      <w:r w:rsidRPr="001A1AB1">
        <w:rPr>
          <w:szCs w:val="24"/>
        </w:rPr>
        <w:t>Plausible</w:t>
      </w:r>
    </w:p>
    <w:p w14:paraId="0BB74AB1" w14:textId="77777777" w:rsidR="00A9687D" w:rsidRPr="001A1AB1" w:rsidRDefault="00A9687D" w:rsidP="00A9687D">
      <w:pPr>
        <w:spacing w:before="0"/>
        <w:rPr>
          <w:szCs w:val="24"/>
        </w:rPr>
      </w:pPr>
      <w:r w:rsidRPr="001A1AB1">
        <w:rPr>
          <w:szCs w:val="24"/>
        </w:rPr>
        <w:t>Consistent</w:t>
      </w:r>
    </w:p>
    <w:p w14:paraId="0BB74AB2" w14:textId="77777777" w:rsidR="00A9687D" w:rsidRPr="001A1AB1" w:rsidRDefault="00A9687D" w:rsidP="00A9687D">
      <w:pPr>
        <w:spacing w:before="0"/>
        <w:rPr>
          <w:szCs w:val="24"/>
        </w:rPr>
      </w:pPr>
      <w:r w:rsidRPr="001A1AB1">
        <w:rPr>
          <w:szCs w:val="24"/>
        </w:rPr>
        <w:t>Service</w:t>
      </w:r>
    </w:p>
    <w:p w14:paraId="0BB74AB8" w14:textId="77777777" w:rsidR="00A9687D" w:rsidRPr="001A1AB1" w:rsidRDefault="00A9687D" w:rsidP="00A9687D">
      <w:pPr>
        <w:spacing w:before="0"/>
        <w:rPr>
          <w:szCs w:val="24"/>
        </w:rPr>
      </w:pPr>
    </w:p>
    <w:p w14:paraId="0BB74AB9" w14:textId="0E7A55D3" w:rsidR="00A9687D" w:rsidRPr="001A1AB1" w:rsidRDefault="00A9687D">
      <w:pPr>
        <w:overflowPunct/>
        <w:autoSpaceDE/>
        <w:autoSpaceDN/>
        <w:adjustRightInd/>
        <w:spacing w:before="0"/>
        <w:rPr>
          <w:szCs w:val="24"/>
          <w:u w:val="single"/>
        </w:rPr>
      </w:pPr>
    </w:p>
    <w:p w14:paraId="0BB74ABA" w14:textId="77777777" w:rsidR="00A9687D" w:rsidRPr="001A1AB1" w:rsidRDefault="00A9687D" w:rsidP="00A9687D">
      <w:pPr>
        <w:spacing w:before="0"/>
        <w:rPr>
          <w:b/>
          <w:szCs w:val="24"/>
          <w:u w:val="single"/>
        </w:rPr>
      </w:pPr>
      <w:r w:rsidRPr="001A1AB1">
        <w:rPr>
          <w:b/>
          <w:szCs w:val="24"/>
          <w:u w:val="single"/>
        </w:rPr>
        <w:t>Scenario 3:</w:t>
      </w:r>
    </w:p>
    <w:p w14:paraId="0BB74ABB" w14:textId="77777777" w:rsidR="00A9687D" w:rsidRPr="001A1AB1" w:rsidRDefault="00A9687D" w:rsidP="00A9687D">
      <w:pPr>
        <w:spacing w:before="0"/>
        <w:rPr>
          <w:szCs w:val="24"/>
        </w:rPr>
      </w:pPr>
      <w:r w:rsidRPr="001A1AB1">
        <w:rPr>
          <w:szCs w:val="24"/>
        </w:rPr>
        <w:t>A Veteran submits a claim for service connection for his right knee noting that it is still painful after many parachute jumps during service.  STRs are negative for any right knee injury, disease, or event.  However, the separation document shows he earned a Master Parachutist Badge in service.</w:t>
      </w:r>
    </w:p>
    <w:p w14:paraId="0BB74ABC" w14:textId="77777777" w:rsidR="00A9687D" w:rsidRPr="001A1AB1" w:rsidRDefault="00A9687D" w:rsidP="00A9687D">
      <w:pPr>
        <w:spacing w:before="0"/>
        <w:rPr>
          <w:szCs w:val="24"/>
        </w:rPr>
      </w:pPr>
    </w:p>
    <w:p w14:paraId="0BB74ABD" w14:textId="77777777" w:rsidR="00A9687D" w:rsidRPr="001A1AB1" w:rsidRDefault="00A9687D" w:rsidP="00A9687D">
      <w:pPr>
        <w:spacing w:before="0"/>
        <w:rPr>
          <w:szCs w:val="24"/>
          <w:u w:val="single"/>
        </w:rPr>
      </w:pPr>
      <w:r w:rsidRPr="001A1AB1">
        <w:rPr>
          <w:szCs w:val="24"/>
          <w:u w:val="single"/>
        </w:rPr>
        <w:t>Select all correct components:</w:t>
      </w:r>
    </w:p>
    <w:p w14:paraId="0BB74ABE" w14:textId="77777777" w:rsidR="00A9687D" w:rsidRPr="001A1AB1" w:rsidRDefault="00A9687D" w:rsidP="00A9687D">
      <w:pPr>
        <w:spacing w:before="0"/>
        <w:rPr>
          <w:szCs w:val="24"/>
        </w:rPr>
      </w:pPr>
      <w:r w:rsidRPr="001A1AB1">
        <w:rPr>
          <w:szCs w:val="24"/>
        </w:rPr>
        <w:t>Competent</w:t>
      </w:r>
    </w:p>
    <w:p w14:paraId="0BB74ABF" w14:textId="77777777" w:rsidR="00A9687D" w:rsidRPr="001A1AB1" w:rsidRDefault="00A9687D" w:rsidP="00A9687D">
      <w:pPr>
        <w:spacing w:before="0"/>
        <w:rPr>
          <w:szCs w:val="24"/>
        </w:rPr>
      </w:pPr>
      <w:r w:rsidRPr="001A1AB1">
        <w:rPr>
          <w:szCs w:val="24"/>
        </w:rPr>
        <w:t>Plausible</w:t>
      </w:r>
    </w:p>
    <w:p w14:paraId="0BB74AC0" w14:textId="77777777" w:rsidR="00A9687D" w:rsidRPr="001A1AB1" w:rsidRDefault="00A9687D" w:rsidP="00A9687D">
      <w:pPr>
        <w:spacing w:before="0"/>
        <w:rPr>
          <w:szCs w:val="24"/>
        </w:rPr>
      </w:pPr>
      <w:r w:rsidRPr="001A1AB1">
        <w:rPr>
          <w:szCs w:val="24"/>
        </w:rPr>
        <w:t>Consistent</w:t>
      </w:r>
    </w:p>
    <w:p w14:paraId="0BB74AC1" w14:textId="77777777" w:rsidR="00A9687D" w:rsidRPr="001A1AB1" w:rsidRDefault="00A9687D" w:rsidP="00A9687D">
      <w:pPr>
        <w:spacing w:before="0"/>
        <w:rPr>
          <w:szCs w:val="24"/>
        </w:rPr>
      </w:pPr>
      <w:r w:rsidRPr="001A1AB1">
        <w:rPr>
          <w:szCs w:val="24"/>
        </w:rPr>
        <w:t>Service</w:t>
      </w:r>
    </w:p>
    <w:p w14:paraId="0BB74AC7" w14:textId="77777777" w:rsidR="00A9687D" w:rsidRPr="001A1AB1" w:rsidRDefault="00A9687D" w:rsidP="00A9687D">
      <w:pPr>
        <w:spacing w:before="0"/>
        <w:rPr>
          <w:b/>
          <w:szCs w:val="24"/>
        </w:rPr>
      </w:pPr>
    </w:p>
    <w:p w14:paraId="1F8FA3D0" w14:textId="77777777" w:rsidR="003D2632" w:rsidRPr="001A1AB1" w:rsidRDefault="003D2632">
      <w:pPr>
        <w:overflowPunct/>
        <w:autoSpaceDE/>
        <w:autoSpaceDN/>
        <w:adjustRightInd/>
        <w:spacing w:before="0"/>
        <w:rPr>
          <w:b/>
          <w:szCs w:val="24"/>
          <w:u w:val="single"/>
        </w:rPr>
      </w:pPr>
      <w:r w:rsidRPr="001A1AB1">
        <w:rPr>
          <w:b/>
          <w:szCs w:val="24"/>
          <w:u w:val="single"/>
        </w:rPr>
        <w:br w:type="page"/>
      </w:r>
    </w:p>
    <w:p w14:paraId="0BB74AC8" w14:textId="337EB918" w:rsidR="00A9687D" w:rsidRPr="001A1AB1" w:rsidRDefault="00A9687D" w:rsidP="00A9687D">
      <w:pPr>
        <w:spacing w:before="0"/>
        <w:rPr>
          <w:b/>
          <w:szCs w:val="24"/>
          <w:u w:val="single"/>
        </w:rPr>
      </w:pPr>
      <w:r w:rsidRPr="001A1AB1">
        <w:rPr>
          <w:b/>
          <w:szCs w:val="24"/>
          <w:u w:val="single"/>
        </w:rPr>
        <w:lastRenderedPageBreak/>
        <w:t>Scenario 4:</w:t>
      </w:r>
    </w:p>
    <w:p w14:paraId="0BB74AC9" w14:textId="77777777" w:rsidR="00A9687D" w:rsidRPr="001A1AB1" w:rsidRDefault="00A9687D" w:rsidP="00A9687D">
      <w:pPr>
        <w:spacing w:before="0"/>
        <w:rPr>
          <w:szCs w:val="24"/>
        </w:rPr>
      </w:pPr>
      <w:r w:rsidRPr="001A1AB1">
        <w:rPr>
          <w:szCs w:val="24"/>
        </w:rPr>
        <w:t>Veteran files a claim for Diabetes due to exposure to Agent Orange.</w:t>
      </w:r>
    </w:p>
    <w:p w14:paraId="0BB74ACA" w14:textId="77777777" w:rsidR="00A9687D" w:rsidRPr="001A1AB1" w:rsidRDefault="00A9687D" w:rsidP="00A9687D">
      <w:pPr>
        <w:spacing w:before="0"/>
        <w:rPr>
          <w:szCs w:val="24"/>
        </w:rPr>
      </w:pPr>
      <w:r w:rsidRPr="001A1AB1">
        <w:rPr>
          <w:szCs w:val="24"/>
        </w:rPr>
        <w:t>Records indicate the Veteran served from 1980 to 1989.</w:t>
      </w:r>
    </w:p>
    <w:p w14:paraId="0BB74ACB" w14:textId="77777777" w:rsidR="00A9687D" w:rsidRPr="001A1AB1" w:rsidRDefault="00A9687D" w:rsidP="00A9687D">
      <w:pPr>
        <w:spacing w:before="0"/>
        <w:rPr>
          <w:szCs w:val="24"/>
          <w:u w:val="single"/>
        </w:rPr>
      </w:pPr>
    </w:p>
    <w:p w14:paraId="0BB74ACC" w14:textId="77777777" w:rsidR="00A9687D" w:rsidRPr="001A1AB1" w:rsidRDefault="00A9687D" w:rsidP="00A9687D">
      <w:pPr>
        <w:spacing w:before="0"/>
        <w:rPr>
          <w:szCs w:val="24"/>
          <w:u w:val="single"/>
        </w:rPr>
      </w:pPr>
      <w:r w:rsidRPr="001A1AB1">
        <w:rPr>
          <w:szCs w:val="24"/>
          <w:u w:val="single"/>
        </w:rPr>
        <w:t>Select all correct components:</w:t>
      </w:r>
    </w:p>
    <w:p w14:paraId="0BB74ACD" w14:textId="77777777" w:rsidR="00A9687D" w:rsidRPr="001A1AB1" w:rsidRDefault="00A9687D" w:rsidP="00A9687D">
      <w:pPr>
        <w:spacing w:before="0"/>
        <w:rPr>
          <w:szCs w:val="24"/>
        </w:rPr>
      </w:pPr>
      <w:r w:rsidRPr="001A1AB1">
        <w:rPr>
          <w:szCs w:val="24"/>
        </w:rPr>
        <w:t>Competent</w:t>
      </w:r>
    </w:p>
    <w:p w14:paraId="0BB74ACE" w14:textId="77777777" w:rsidR="00A9687D" w:rsidRPr="001A1AB1" w:rsidRDefault="00A9687D" w:rsidP="00A9687D">
      <w:pPr>
        <w:spacing w:before="0"/>
        <w:rPr>
          <w:szCs w:val="24"/>
        </w:rPr>
      </w:pPr>
      <w:r w:rsidRPr="001A1AB1">
        <w:rPr>
          <w:szCs w:val="24"/>
        </w:rPr>
        <w:t>Plausible</w:t>
      </w:r>
    </w:p>
    <w:p w14:paraId="0BB74ACF" w14:textId="77777777" w:rsidR="00A9687D" w:rsidRPr="001A1AB1" w:rsidRDefault="00A9687D" w:rsidP="00A9687D">
      <w:pPr>
        <w:spacing w:before="0"/>
        <w:rPr>
          <w:szCs w:val="24"/>
        </w:rPr>
      </w:pPr>
      <w:r w:rsidRPr="001A1AB1">
        <w:rPr>
          <w:szCs w:val="24"/>
        </w:rPr>
        <w:t>Consistent</w:t>
      </w:r>
    </w:p>
    <w:p w14:paraId="0BB74AD0" w14:textId="77777777" w:rsidR="00A9687D" w:rsidRPr="001A1AB1" w:rsidRDefault="00A9687D" w:rsidP="00A9687D">
      <w:pPr>
        <w:spacing w:before="0"/>
        <w:rPr>
          <w:szCs w:val="24"/>
        </w:rPr>
      </w:pPr>
      <w:r w:rsidRPr="001A1AB1">
        <w:rPr>
          <w:szCs w:val="24"/>
        </w:rPr>
        <w:t>Service</w:t>
      </w:r>
    </w:p>
    <w:p w14:paraId="0BB74AD1" w14:textId="77777777" w:rsidR="00A9687D" w:rsidRPr="001A1AB1" w:rsidRDefault="00A9687D" w:rsidP="00A9687D">
      <w:pPr>
        <w:spacing w:before="0"/>
        <w:rPr>
          <w:szCs w:val="24"/>
        </w:rPr>
      </w:pPr>
    </w:p>
    <w:p w14:paraId="0BB74AD5" w14:textId="77777777" w:rsidR="00A9687D" w:rsidRPr="001A1AB1" w:rsidRDefault="00A9687D" w:rsidP="00A9687D"/>
    <w:sectPr w:rsidR="00A9687D" w:rsidRPr="001A1A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18ABF" w14:textId="77777777" w:rsidR="009045E6" w:rsidRDefault="009045E6">
      <w:pPr>
        <w:spacing w:before="0"/>
      </w:pPr>
      <w:r>
        <w:separator/>
      </w:r>
    </w:p>
  </w:endnote>
  <w:endnote w:type="continuationSeparator" w:id="0">
    <w:p w14:paraId="1121A611" w14:textId="77777777" w:rsidR="009045E6" w:rsidRDefault="009045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74ADA" w14:textId="1D642CE5" w:rsidR="007A5600" w:rsidRDefault="005D77F7">
    <w:pPr>
      <w:pStyle w:val="VBAFooter"/>
    </w:pPr>
    <w:r>
      <w:t>February</w:t>
    </w:r>
    <w:r w:rsidR="00A9687D">
      <w:t xml:space="preserve"> 2016</w:t>
    </w:r>
    <w:r w:rsidR="007A5600">
      <w:tab/>
    </w:r>
    <w:r w:rsidR="007A5600">
      <w:tab/>
      <w:t xml:space="preserve">Page </w:t>
    </w:r>
    <w:r w:rsidR="007A5600">
      <w:fldChar w:fldCharType="begin"/>
    </w:r>
    <w:r w:rsidR="007A5600">
      <w:instrText xml:space="preserve"> PAGE   \* MERGEFORMAT </w:instrText>
    </w:r>
    <w:r w:rsidR="007A5600">
      <w:fldChar w:fldCharType="separate"/>
    </w:r>
    <w:r w:rsidR="0092431C">
      <w:rPr>
        <w:noProof/>
      </w:rPr>
      <w:t>1</w:t>
    </w:r>
    <w:r w:rsidR="007A5600">
      <w:fldChar w:fldCharType="end"/>
    </w:r>
  </w:p>
  <w:p w14:paraId="0BB74ADB" w14:textId="77777777"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3647" w14:textId="77777777" w:rsidR="009045E6" w:rsidRDefault="009045E6">
      <w:pPr>
        <w:spacing w:before="0"/>
      </w:pPr>
      <w:r>
        <w:separator/>
      </w:r>
    </w:p>
  </w:footnote>
  <w:footnote w:type="continuationSeparator" w:id="0">
    <w:p w14:paraId="4AEDEFDB" w14:textId="77777777" w:rsidR="009045E6" w:rsidRDefault="009045E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912"/>
    <w:multiLevelType w:val="hybridMultilevel"/>
    <w:tmpl w:val="4EDCE2A4"/>
    <w:lvl w:ilvl="0" w:tplc="5A88AC14">
      <w:start w:val="1"/>
      <w:numFmt w:val="bullet"/>
      <w:lvlText w:val=""/>
      <w:lvlJc w:val="left"/>
      <w:pPr>
        <w:tabs>
          <w:tab w:val="num" w:pos="720"/>
        </w:tabs>
        <w:ind w:left="720" w:hanging="360"/>
      </w:pPr>
      <w:rPr>
        <w:rFonts w:ascii="Wingdings" w:hAnsi="Wingdings" w:hint="default"/>
      </w:rPr>
    </w:lvl>
    <w:lvl w:ilvl="1" w:tplc="F0F480CA" w:tentative="1">
      <w:start w:val="1"/>
      <w:numFmt w:val="bullet"/>
      <w:lvlText w:val=""/>
      <w:lvlJc w:val="left"/>
      <w:pPr>
        <w:tabs>
          <w:tab w:val="num" w:pos="1440"/>
        </w:tabs>
        <w:ind w:left="1440" w:hanging="360"/>
      </w:pPr>
      <w:rPr>
        <w:rFonts w:ascii="Wingdings" w:hAnsi="Wingdings" w:hint="default"/>
      </w:rPr>
    </w:lvl>
    <w:lvl w:ilvl="2" w:tplc="35869CAC" w:tentative="1">
      <w:start w:val="1"/>
      <w:numFmt w:val="bullet"/>
      <w:lvlText w:val=""/>
      <w:lvlJc w:val="left"/>
      <w:pPr>
        <w:tabs>
          <w:tab w:val="num" w:pos="2160"/>
        </w:tabs>
        <w:ind w:left="2160" w:hanging="360"/>
      </w:pPr>
      <w:rPr>
        <w:rFonts w:ascii="Wingdings" w:hAnsi="Wingdings" w:hint="default"/>
      </w:rPr>
    </w:lvl>
    <w:lvl w:ilvl="3" w:tplc="208AB8FA" w:tentative="1">
      <w:start w:val="1"/>
      <w:numFmt w:val="bullet"/>
      <w:lvlText w:val=""/>
      <w:lvlJc w:val="left"/>
      <w:pPr>
        <w:tabs>
          <w:tab w:val="num" w:pos="2880"/>
        </w:tabs>
        <w:ind w:left="2880" w:hanging="360"/>
      </w:pPr>
      <w:rPr>
        <w:rFonts w:ascii="Wingdings" w:hAnsi="Wingdings" w:hint="default"/>
      </w:rPr>
    </w:lvl>
    <w:lvl w:ilvl="4" w:tplc="D132E0C0" w:tentative="1">
      <w:start w:val="1"/>
      <w:numFmt w:val="bullet"/>
      <w:lvlText w:val=""/>
      <w:lvlJc w:val="left"/>
      <w:pPr>
        <w:tabs>
          <w:tab w:val="num" w:pos="3600"/>
        </w:tabs>
        <w:ind w:left="3600" w:hanging="360"/>
      </w:pPr>
      <w:rPr>
        <w:rFonts w:ascii="Wingdings" w:hAnsi="Wingdings" w:hint="default"/>
      </w:rPr>
    </w:lvl>
    <w:lvl w:ilvl="5" w:tplc="D22C8294" w:tentative="1">
      <w:start w:val="1"/>
      <w:numFmt w:val="bullet"/>
      <w:lvlText w:val=""/>
      <w:lvlJc w:val="left"/>
      <w:pPr>
        <w:tabs>
          <w:tab w:val="num" w:pos="4320"/>
        </w:tabs>
        <w:ind w:left="4320" w:hanging="360"/>
      </w:pPr>
      <w:rPr>
        <w:rFonts w:ascii="Wingdings" w:hAnsi="Wingdings" w:hint="default"/>
      </w:rPr>
    </w:lvl>
    <w:lvl w:ilvl="6" w:tplc="EBFE0A1E" w:tentative="1">
      <w:start w:val="1"/>
      <w:numFmt w:val="bullet"/>
      <w:lvlText w:val=""/>
      <w:lvlJc w:val="left"/>
      <w:pPr>
        <w:tabs>
          <w:tab w:val="num" w:pos="5040"/>
        </w:tabs>
        <w:ind w:left="5040" w:hanging="360"/>
      </w:pPr>
      <w:rPr>
        <w:rFonts w:ascii="Wingdings" w:hAnsi="Wingdings" w:hint="default"/>
      </w:rPr>
    </w:lvl>
    <w:lvl w:ilvl="7" w:tplc="7EC4BBE2" w:tentative="1">
      <w:start w:val="1"/>
      <w:numFmt w:val="bullet"/>
      <w:lvlText w:val=""/>
      <w:lvlJc w:val="left"/>
      <w:pPr>
        <w:tabs>
          <w:tab w:val="num" w:pos="5760"/>
        </w:tabs>
        <w:ind w:left="5760" w:hanging="360"/>
      </w:pPr>
      <w:rPr>
        <w:rFonts w:ascii="Wingdings" w:hAnsi="Wingdings" w:hint="default"/>
      </w:rPr>
    </w:lvl>
    <w:lvl w:ilvl="8" w:tplc="4642BFB6" w:tentative="1">
      <w:start w:val="1"/>
      <w:numFmt w:val="bullet"/>
      <w:lvlText w:val=""/>
      <w:lvlJc w:val="left"/>
      <w:pPr>
        <w:tabs>
          <w:tab w:val="num" w:pos="6480"/>
        </w:tabs>
        <w:ind w:left="6480" w:hanging="360"/>
      </w:pPr>
      <w:rPr>
        <w:rFonts w:ascii="Wingdings" w:hAnsi="Wingdings" w:hint="default"/>
      </w:rPr>
    </w:lvl>
  </w:abstractNum>
  <w:abstractNum w:abstractNumId="1">
    <w:nsid w:val="14BF2375"/>
    <w:multiLevelType w:val="hybridMultilevel"/>
    <w:tmpl w:val="03EA6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82600"/>
    <w:multiLevelType w:val="hybridMultilevel"/>
    <w:tmpl w:val="16DC5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A261F7"/>
    <w:multiLevelType w:val="hybridMultilevel"/>
    <w:tmpl w:val="F6CA53EA"/>
    <w:lvl w:ilvl="0" w:tplc="B1825686">
      <w:start w:val="1"/>
      <w:numFmt w:val="bullet"/>
      <w:lvlText w:val=""/>
      <w:lvlJc w:val="left"/>
      <w:pPr>
        <w:tabs>
          <w:tab w:val="num" w:pos="720"/>
        </w:tabs>
        <w:ind w:left="720" w:hanging="360"/>
      </w:pPr>
      <w:rPr>
        <w:rFonts w:ascii="Wingdings" w:hAnsi="Wingdings" w:hint="default"/>
      </w:rPr>
    </w:lvl>
    <w:lvl w:ilvl="1" w:tplc="AC9EDFA6" w:tentative="1">
      <w:start w:val="1"/>
      <w:numFmt w:val="bullet"/>
      <w:lvlText w:val=""/>
      <w:lvlJc w:val="left"/>
      <w:pPr>
        <w:tabs>
          <w:tab w:val="num" w:pos="1440"/>
        </w:tabs>
        <w:ind w:left="1440" w:hanging="360"/>
      </w:pPr>
      <w:rPr>
        <w:rFonts w:ascii="Wingdings" w:hAnsi="Wingdings" w:hint="default"/>
      </w:rPr>
    </w:lvl>
    <w:lvl w:ilvl="2" w:tplc="802A5B80" w:tentative="1">
      <w:start w:val="1"/>
      <w:numFmt w:val="bullet"/>
      <w:lvlText w:val=""/>
      <w:lvlJc w:val="left"/>
      <w:pPr>
        <w:tabs>
          <w:tab w:val="num" w:pos="2160"/>
        </w:tabs>
        <w:ind w:left="2160" w:hanging="360"/>
      </w:pPr>
      <w:rPr>
        <w:rFonts w:ascii="Wingdings" w:hAnsi="Wingdings" w:hint="default"/>
      </w:rPr>
    </w:lvl>
    <w:lvl w:ilvl="3" w:tplc="C59A39BA" w:tentative="1">
      <w:start w:val="1"/>
      <w:numFmt w:val="bullet"/>
      <w:lvlText w:val=""/>
      <w:lvlJc w:val="left"/>
      <w:pPr>
        <w:tabs>
          <w:tab w:val="num" w:pos="2880"/>
        </w:tabs>
        <w:ind w:left="2880" w:hanging="360"/>
      </w:pPr>
      <w:rPr>
        <w:rFonts w:ascii="Wingdings" w:hAnsi="Wingdings" w:hint="default"/>
      </w:rPr>
    </w:lvl>
    <w:lvl w:ilvl="4" w:tplc="1C147046" w:tentative="1">
      <w:start w:val="1"/>
      <w:numFmt w:val="bullet"/>
      <w:lvlText w:val=""/>
      <w:lvlJc w:val="left"/>
      <w:pPr>
        <w:tabs>
          <w:tab w:val="num" w:pos="3600"/>
        </w:tabs>
        <w:ind w:left="3600" w:hanging="360"/>
      </w:pPr>
      <w:rPr>
        <w:rFonts w:ascii="Wingdings" w:hAnsi="Wingdings" w:hint="default"/>
      </w:rPr>
    </w:lvl>
    <w:lvl w:ilvl="5" w:tplc="9F762012" w:tentative="1">
      <w:start w:val="1"/>
      <w:numFmt w:val="bullet"/>
      <w:lvlText w:val=""/>
      <w:lvlJc w:val="left"/>
      <w:pPr>
        <w:tabs>
          <w:tab w:val="num" w:pos="4320"/>
        </w:tabs>
        <w:ind w:left="4320" w:hanging="360"/>
      </w:pPr>
      <w:rPr>
        <w:rFonts w:ascii="Wingdings" w:hAnsi="Wingdings" w:hint="default"/>
      </w:rPr>
    </w:lvl>
    <w:lvl w:ilvl="6" w:tplc="CFACA5A4" w:tentative="1">
      <w:start w:val="1"/>
      <w:numFmt w:val="bullet"/>
      <w:lvlText w:val=""/>
      <w:lvlJc w:val="left"/>
      <w:pPr>
        <w:tabs>
          <w:tab w:val="num" w:pos="5040"/>
        </w:tabs>
        <w:ind w:left="5040" w:hanging="360"/>
      </w:pPr>
      <w:rPr>
        <w:rFonts w:ascii="Wingdings" w:hAnsi="Wingdings" w:hint="default"/>
      </w:rPr>
    </w:lvl>
    <w:lvl w:ilvl="7" w:tplc="0DBE79B2" w:tentative="1">
      <w:start w:val="1"/>
      <w:numFmt w:val="bullet"/>
      <w:lvlText w:val=""/>
      <w:lvlJc w:val="left"/>
      <w:pPr>
        <w:tabs>
          <w:tab w:val="num" w:pos="5760"/>
        </w:tabs>
        <w:ind w:left="5760" w:hanging="360"/>
      </w:pPr>
      <w:rPr>
        <w:rFonts w:ascii="Wingdings" w:hAnsi="Wingdings" w:hint="default"/>
      </w:rPr>
    </w:lvl>
    <w:lvl w:ilvl="8" w:tplc="291C884E" w:tentative="1">
      <w:start w:val="1"/>
      <w:numFmt w:val="bullet"/>
      <w:lvlText w:val=""/>
      <w:lvlJc w:val="left"/>
      <w:pPr>
        <w:tabs>
          <w:tab w:val="num" w:pos="6480"/>
        </w:tabs>
        <w:ind w:left="6480" w:hanging="360"/>
      </w:pPr>
      <w:rPr>
        <w:rFonts w:ascii="Wingdings" w:hAnsi="Wingdings" w:hint="default"/>
      </w:rPr>
    </w:lvl>
  </w:abstractNum>
  <w:abstractNum w:abstractNumId="5">
    <w:nsid w:val="7B7C050C"/>
    <w:multiLevelType w:val="hybridMultilevel"/>
    <w:tmpl w:val="A5D0CF70"/>
    <w:lvl w:ilvl="0" w:tplc="887459C6">
      <w:start w:val="1"/>
      <w:numFmt w:val="bullet"/>
      <w:lvlText w:val=""/>
      <w:lvlJc w:val="left"/>
      <w:pPr>
        <w:tabs>
          <w:tab w:val="num" w:pos="720"/>
        </w:tabs>
        <w:ind w:left="720" w:hanging="360"/>
      </w:pPr>
      <w:rPr>
        <w:rFonts w:ascii="Wingdings" w:hAnsi="Wingdings" w:hint="default"/>
      </w:rPr>
    </w:lvl>
    <w:lvl w:ilvl="1" w:tplc="6792BAE0" w:tentative="1">
      <w:start w:val="1"/>
      <w:numFmt w:val="bullet"/>
      <w:lvlText w:val=""/>
      <w:lvlJc w:val="left"/>
      <w:pPr>
        <w:tabs>
          <w:tab w:val="num" w:pos="1440"/>
        </w:tabs>
        <w:ind w:left="1440" w:hanging="360"/>
      </w:pPr>
      <w:rPr>
        <w:rFonts w:ascii="Wingdings" w:hAnsi="Wingdings" w:hint="default"/>
      </w:rPr>
    </w:lvl>
    <w:lvl w:ilvl="2" w:tplc="A4784230" w:tentative="1">
      <w:start w:val="1"/>
      <w:numFmt w:val="bullet"/>
      <w:lvlText w:val=""/>
      <w:lvlJc w:val="left"/>
      <w:pPr>
        <w:tabs>
          <w:tab w:val="num" w:pos="2160"/>
        </w:tabs>
        <w:ind w:left="2160" w:hanging="360"/>
      </w:pPr>
      <w:rPr>
        <w:rFonts w:ascii="Wingdings" w:hAnsi="Wingdings" w:hint="default"/>
      </w:rPr>
    </w:lvl>
    <w:lvl w:ilvl="3" w:tplc="ACF81A00" w:tentative="1">
      <w:start w:val="1"/>
      <w:numFmt w:val="bullet"/>
      <w:lvlText w:val=""/>
      <w:lvlJc w:val="left"/>
      <w:pPr>
        <w:tabs>
          <w:tab w:val="num" w:pos="2880"/>
        </w:tabs>
        <w:ind w:left="2880" w:hanging="360"/>
      </w:pPr>
      <w:rPr>
        <w:rFonts w:ascii="Wingdings" w:hAnsi="Wingdings" w:hint="default"/>
      </w:rPr>
    </w:lvl>
    <w:lvl w:ilvl="4" w:tplc="CD82B436" w:tentative="1">
      <w:start w:val="1"/>
      <w:numFmt w:val="bullet"/>
      <w:lvlText w:val=""/>
      <w:lvlJc w:val="left"/>
      <w:pPr>
        <w:tabs>
          <w:tab w:val="num" w:pos="3600"/>
        </w:tabs>
        <w:ind w:left="3600" w:hanging="360"/>
      </w:pPr>
      <w:rPr>
        <w:rFonts w:ascii="Wingdings" w:hAnsi="Wingdings" w:hint="default"/>
      </w:rPr>
    </w:lvl>
    <w:lvl w:ilvl="5" w:tplc="FA40ED34" w:tentative="1">
      <w:start w:val="1"/>
      <w:numFmt w:val="bullet"/>
      <w:lvlText w:val=""/>
      <w:lvlJc w:val="left"/>
      <w:pPr>
        <w:tabs>
          <w:tab w:val="num" w:pos="4320"/>
        </w:tabs>
        <w:ind w:left="4320" w:hanging="360"/>
      </w:pPr>
      <w:rPr>
        <w:rFonts w:ascii="Wingdings" w:hAnsi="Wingdings" w:hint="default"/>
      </w:rPr>
    </w:lvl>
    <w:lvl w:ilvl="6" w:tplc="647A33C4" w:tentative="1">
      <w:start w:val="1"/>
      <w:numFmt w:val="bullet"/>
      <w:lvlText w:val=""/>
      <w:lvlJc w:val="left"/>
      <w:pPr>
        <w:tabs>
          <w:tab w:val="num" w:pos="5040"/>
        </w:tabs>
        <w:ind w:left="5040" w:hanging="360"/>
      </w:pPr>
      <w:rPr>
        <w:rFonts w:ascii="Wingdings" w:hAnsi="Wingdings" w:hint="default"/>
      </w:rPr>
    </w:lvl>
    <w:lvl w:ilvl="7" w:tplc="5872855C" w:tentative="1">
      <w:start w:val="1"/>
      <w:numFmt w:val="bullet"/>
      <w:lvlText w:val=""/>
      <w:lvlJc w:val="left"/>
      <w:pPr>
        <w:tabs>
          <w:tab w:val="num" w:pos="5760"/>
        </w:tabs>
        <w:ind w:left="5760" w:hanging="360"/>
      </w:pPr>
      <w:rPr>
        <w:rFonts w:ascii="Wingdings" w:hAnsi="Wingdings" w:hint="default"/>
      </w:rPr>
    </w:lvl>
    <w:lvl w:ilvl="8" w:tplc="7A4E97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327D"/>
    <w:rsid w:val="0013465D"/>
    <w:rsid w:val="001A1AB1"/>
    <w:rsid w:val="001C38D3"/>
    <w:rsid w:val="00287061"/>
    <w:rsid w:val="002B265C"/>
    <w:rsid w:val="00381237"/>
    <w:rsid w:val="003D2632"/>
    <w:rsid w:val="00426432"/>
    <w:rsid w:val="004C61F0"/>
    <w:rsid w:val="00522AA8"/>
    <w:rsid w:val="005D77F7"/>
    <w:rsid w:val="00602E06"/>
    <w:rsid w:val="00617116"/>
    <w:rsid w:val="006335CD"/>
    <w:rsid w:val="00660868"/>
    <w:rsid w:val="006E23E1"/>
    <w:rsid w:val="006E2A16"/>
    <w:rsid w:val="00703944"/>
    <w:rsid w:val="007A1E65"/>
    <w:rsid w:val="007A5600"/>
    <w:rsid w:val="00823543"/>
    <w:rsid w:val="0086240F"/>
    <w:rsid w:val="008F4513"/>
    <w:rsid w:val="009045E6"/>
    <w:rsid w:val="0092431C"/>
    <w:rsid w:val="00A6539E"/>
    <w:rsid w:val="00A9687D"/>
    <w:rsid w:val="00BD6264"/>
    <w:rsid w:val="00BE2A60"/>
    <w:rsid w:val="00C50380"/>
    <w:rsid w:val="00DC7D6F"/>
    <w:rsid w:val="00E754A7"/>
    <w:rsid w:val="00E86452"/>
    <w:rsid w:val="00E91068"/>
    <w:rsid w:val="00EE7352"/>
    <w:rsid w:val="00F1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A9687D"/>
    <w:pPr>
      <w:ind w:left="720"/>
      <w:contextualSpacing/>
    </w:pPr>
  </w:style>
  <w:style w:type="paragraph" w:customStyle="1" w:styleId="VBAFirstLevelBullet">
    <w:name w:val="VBA First Level Bullet"/>
    <w:basedOn w:val="Normal"/>
    <w:qFormat/>
    <w:rsid w:val="0013465D"/>
    <w:pPr>
      <w:numPr>
        <w:numId w:val="5"/>
      </w:numPr>
      <w:spacing w:before="0"/>
      <w:textAlignment w:val="baseline"/>
    </w:pPr>
  </w:style>
  <w:style w:type="character" w:styleId="Emphasis">
    <w:name w:val="Emphasis"/>
    <w:qFormat/>
    <w:rsid w:val="00EE7352"/>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A9687D"/>
    <w:pPr>
      <w:ind w:left="720"/>
      <w:contextualSpacing/>
    </w:pPr>
  </w:style>
  <w:style w:type="paragraph" w:customStyle="1" w:styleId="VBAFirstLevelBullet">
    <w:name w:val="VBA First Level Bullet"/>
    <w:basedOn w:val="Normal"/>
    <w:qFormat/>
    <w:rsid w:val="0013465D"/>
    <w:pPr>
      <w:numPr>
        <w:numId w:val="5"/>
      </w:numPr>
      <w:spacing w:before="0"/>
      <w:textAlignment w:val="baseline"/>
    </w:pPr>
  </w:style>
  <w:style w:type="character" w:styleId="Emphasis">
    <w:name w:val="Emphasis"/>
    <w:qFormat/>
    <w:rsid w:val="00EE7352"/>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3292">
      <w:bodyDiv w:val="1"/>
      <w:marLeft w:val="0"/>
      <w:marRight w:val="0"/>
      <w:marTop w:val="0"/>
      <w:marBottom w:val="0"/>
      <w:divBdr>
        <w:top w:val="none" w:sz="0" w:space="0" w:color="auto"/>
        <w:left w:val="none" w:sz="0" w:space="0" w:color="auto"/>
        <w:bottom w:val="none" w:sz="0" w:space="0" w:color="auto"/>
        <w:right w:val="none" w:sz="0" w:space="0" w:color="auto"/>
      </w:divBdr>
    </w:div>
    <w:div w:id="674570782">
      <w:bodyDiv w:val="1"/>
      <w:marLeft w:val="0"/>
      <w:marRight w:val="0"/>
      <w:marTop w:val="0"/>
      <w:marBottom w:val="0"/>
      <w:divBdr>
        <w:top w:val="none" w:sz="0" w:space="0" w:color="auto"/>
        <w:left w:val="none" w:sz="0" w:space="0" w:color="auto"/>
        <w:bottom w:val="none" w:sz="0" w:space="0" w:color="auto"/>
        <w:right w:val="none" w:sz="0" w:space="0" w:color="auto"/>
      </w:divBdr>
    </w:div>
    <w:div w:id="822771043">
      <w:bodyDiv w:val="1"/>
      <w:marLeft w:val="0"/>
      <w:marRight w:val="0"/>
      <w:marTop w:val="0"/>
      <w:marBottom w:val="0"/>
      <w:divBdr>
        <w:top w:val="none" w:sz="0" w:space="0" w:color="auto"/>
        <w:left w:val="none" w:sz="0" w:space="0" w:color="auto"/>
        <w:bottom w:val="none" w:sz="0" w:space="0" w:color="auto"/>
        <w:right w:val="none" w:sz="0" w:space="0" w:color="auto"/>
      </w:divBdr>
    </w:div>
    <w:div w:id="842624983">
      <w:bodyDiv w:val="1"/>
      <w:marLeft w:val="0"/>
      <w:marRight w:val="0"/>
      <w:marTop w:val="0"/>
      <w:marBottom w:val="0"/>
      <w:divBdr>
        <w:top w:val="none" w:sz="0" w:space="0" w:color="auto"/>
        <w:left w:val="none" w:sz="0" w:space="0" w:color="auto"/>
        <w:bottom w:val="none" w:sz="0" w:space="0" w:color="auto"/>
        <w:right w:val="none" w:sz="0" w:space="0" w:color="auto"/>
      </w:divBdr>
    </w:div>
    <w:div w:id="1353536885">
      <w:bodyDiv w:val="1"/>
      <w:marLeft w:val="0"/>
      <w:marRight w:val="0"/>
      <w:marTop w:val="0"/>
      <w:marBottom w:val="0"/>
      <w:divBdr>
        <w:top w:val="none" w:sz="0" w:space="0" w:color="auto"/>
        <w:left w:val="none" w:sz="0" w:space="0" w:color="auto"/>
        <w:bottom w:val="none" w:sz="0" w:space="0" w:color="auto"/>
        <w:right w:val="none" w:sz="0" w:space="0" w:color="auto"/>
      </w:divBdr>
      <w:divsChild>
        <w:div w:id="194006945">
          <w:marLeft w:val="634"/>
          <w:marRight w:val="0"/>
          <w:marTop w:val="200"/>
          <w:marBottom w:val="0"/>
          <w:divBdr>
            <w:top w:val="none" w:sz="0" w:space="0" w:color="auto"/>
            <w:left w:val="none" w:sz="0" w:space="0" w:color="auto"/>
            <w:bottom w:val="none" w:sz="0" w:space="0" w:color="auto"/>
            <w:right w:val="none" w:sz="0" w:space="0" w:color="auto"/>
          </w:divBdr>
        </w:div>
        <w:div w:id="1462921680">
          <w:marLeft w:val="634"/>
          <w:marRight w:val="0"/>
          <w:marTop w:val="200"/>
          <w:marBottom w:val="0"/>
          <w:divBdr>
            <w:top w:val="none" w:sz="0" w:space="0" w:color="auto"/>
            <w:left w:val="none" w:sz="0" w:space="0" w:color="auto"/>
            <w:bottom w:val="none" w:sz="0" w:space="0" w:color="auto"/>
            <w:right w:val="none" w:sz="0" w:space="0" w:color="auto"/>
          </w:divBdr>
        </w:div>
        <w:div w:id="451094188">
          <w:marLeft w:val="634"/>
          <w:marRight w:val="0"/>
          <w:marTop w:val="200"/>
          <w:marBottom w:val="0"/>
          <w:divBdr>
            <w:top w:val="none" w:sz="0" w:space="0" w:color="auto"/>
            <w:left w:val="none" w:sz="0" w:space="0" w:color="auto"/>
            <w:bottom w:val="none" w:sz="0" w:space="0" w:color="auto"/>
            <w:right w:val="none" w:sz="0" w:space="0" w:color="auto"/>
          </w:divBdr>
        </w:div>
        <w:div w:id="1259559677">
          <w:marLeft w:val="634"/>
          <w:marRight w:val="0"/>
          <w:marTop w:val="200"/>
          <w:marBottom w:val="0"/>
          <w:divBdr>
            <w:top w:val="none" w:sz="0" w:space="0" w:color="auto"/>
            <w:left w:val="none" w:sz="0" w:space="0" w:color="auto"/>
            <w:bottom w:val="none" w:sz="0" w:space="0" w:color="auto"/>
            <w:right w:val="none" w:sz="0" w:space="0" w:color="auto"/>
          </w:divBdr>
        </w:div>
      </w:divsChild>
    </w:div>
    <w:div w:id="1678465001">
      <w:bodyDiv w:val="1"/>
      <w:marLeft w:val="0"/>
      <w:marRight w:val="0"/>
      <w:marTop w:val="0"/>
      <w:marBottom w:val="0"/>
      <w:divBdr>
        <w:top w:val="none" w:sz="0" w:space="0" w:color="auto"/>
        <w:left w:val="none" w:sz="0" w:space="0" w:color="auto"/>
        <w:bottom w:val="none" w:sz="0" w:space="0" w:color="auto"/>
        <w:right w:val="none" w:sz="0" w:space="0" w:color="auto"/>
      </w:divBdr>
      <w:divsChild>
        <w:div w:id="1508210364">
          <w:marLeft w:val="634"/>
          <w:marRight w:val="0"/>
          <w:marTop w:val="200"/>
          <w:marBottom w:val="0"/>
          <w:divBdr>
            <w:top w:val="none" w:sz="0" w:space="0" w:color="auto"/>
            <w:left w:val="none" w:sz="0" w:space="0" w:color="auto"/>
            <w:bottom w:val="none" w:sz="0" w:space="0" w:color="auto"/>
            <w:right w:val="none" w:sz="0" w:space="0" w:color="auto"/>
          </w:divBdr>
        </w:div>
        <w:div w:id="1678656782">
          <w:marLeft w:val="634"/>
          <w:marRight w:val="0"/>
          <w:marTop w:val="200"/>
          <w:marBottom w:val="0"/>
          <w:divBdr>
            <w:top w:val="none" w:sz="0" w:space="0" w:color="auto"/>
            <w:left w:val="none" w:sz="0" w:space="0" w:color="auto"/>
            <w:bottom w:val="none" w:sz="0" w:space="0" w:color="auto"/>
            <w:right w:val="none" w:sz="0" w:space="0" w:color="auto"/>
          </w:divBdr>
        </w:div>
        <w:div w:id="624508582">
          <w:marLeft w:val="634"/>
          <w:marRight w:val="0"/>
          <w:marTop w:val="200"/>
          <w:marBottom w:val="0"/>
          <w:divBdr>
            <w:top w:val="none" w:sz="0" w:space="0" w:color="auto"/>
            <w:left w:val="none" w:sz="0" w:space="0" w:color="auto"/>
            <w:bottom w:val="none" w:sz="0" w:space="0" w:color="auto"/>
            <w:right w:val="none" w:sz="0" w:space="0" w:color="auto"/>
          </w:divBdr>
        </w:div>
        <w:div w:id="1798332642">
          <w:marLeft w:val="634"/>
          <w:marRight w:val="0"/>
          <w:marTop w:val="200"/>
          <w:marBottom w:val="0"/>
          <w:divBdr>
            <w:top w:val="none" w:sz="0" w:space="0" w:color="auto"/>
            <w:left w:val="none" w:sz="0" w:space="0" w:color="auto"/>
            <w:bottom w:val="none" w:sz="0" w:space="0" w:color="auto"/>
            <w:right w:val="none" w:sz="0" w:space="0" w:color="auto"/>
          </w:divBdr>
        </w:div>
      </w:divsChild>
    </w:div>
    <w:div w:id="1924954452">
      <w:bodyDiv w:val="1"/>
      <w:marLeft w:val="0"/>
      <w:marRight w:val="0"/>
      <w:marTop w:val="0"/>
      <w:marBottom w:val="0"/>
      <w:divBdr>
        <w:top w:val="none" w:sz="0" w:space="0" w:color="auto"/>
        <w:left w:val="none" w:sz="0" w:space="0" w:color="auto"/>
        <w:bottom w:val="none" w:sz="0" w:space="0" w:color="auto"/>
        <w:right w:val="none" w:sz="0" w:space="0" w:color="auto"/>
      </w:divBdr>
    </w:div>
    <w:div w:id="1946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99C7F-3131-4748-8BE6-D9256F5F5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9CB52-E036-44AD-B1E0-069A9B1F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EBFA40-814C-4CC6-AE8D-1467398AA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Template.dot</Template>
  <TotalTime>210</TotalTime>
  <Pages>10</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Evaluating Lay Evidence Handout</vt:lpstr>
    </vt:vector>
  </TitlesOfParts>
  <Company>Veterans Benefits Administration</Company>
  <LinksUpToDate>false</LinksUpToDate>
  <CharactersWithSpaces>6413</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Lay Evidence Handout</dc:title>
  <dc:subject>VSR</dc:subject>
  <dc:creator>Department of Veterans Affairs, Veterans Benefits Administration, Compensation Service, STAFF</dc:creator>
  <cp:keywords>Lay evidence; competent; credible; plausible; consistent; circumstances of service</cp:keywords>
  <dc:description>This lesson is intended to teach VSRs to evaluate Lay Evidence prior to requesting an exam.</dc:description>
  <cp:lastModifiedBy>Sochar, Lisa</cp:lastModifiedBy>
  <cp:revision>24</cp:revision>
  <dcterms:created xsi:type="dcterms:W3CDTF">2016-01-28T18:55:00Z</dcterms:created>
  <dcterms:modified xsi:type="dcterms:W3CDTF">2016-02-24T16:16:00Z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