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EA0AE9" w:rsidRDefault="009B2F5A">
      <w:pPr>
        <w:pStyle w:val="LessonTitle"/>
        <w:rPr>
          <w:rFonts w:ascii="Times New Roman" w:hAnsi="Times New Roman"/>
        </w:rPr>
      </w:pPr>
    </w:p>
    <w:p w14:paraId="235F411B" w14:textId="77777777" w:rsidR="009B2F5A" w:rsidRPr="00EA0AE9" w:rsidRDefault="009B2F5A">
      <w:pPr>
        <w:pStyle w:val="LessonTitle"/>
        <w:rPr>
          <w:rFonts w:ascii="Times New Roman" w:hAnsi="Times New Roman"/>
        </w:rPr>
      </w:pPr>
    </w:p>
    <w:p w14:paraId="235F411C" w14:textId="3620A6F5" w:rsidR="009B2F5A" w:rsidRPr="00EA0AE9" w:rsidRDefault="00EA0AE9">
      <w:pPr>
        <w:pStyle w:val="VBALessonPlanName"/>
        <w:rPr>
          <w:rFonts w:ascii="Times New Roman" w:hAnsi="Times New Roman"/>
          <w:color w:val="auto"/>
        </w:rPr>
      </w:pPr>
      <w:r w:rsidRPr="00EA0AE9">
        <w:rPr>
          <w:rFonts w:ascii="Times New Roman" w:hAnsi="Times New Roman"/>
          <w:color w:val="auto"/>
        </w:rPr>
        <w:t>Rating Analysis</w:t>
      </w:r>
    </w:p>
    <w:p w14:paraId="235F411D" w14:textId="77777777" w:rsidR="009B2F5A" w:rsidRPr="00EA0AE9" w:rsidRDefault="009B2F5A">
      <w:pPr>
        <w:pStyle w:val="VBALessonPlanTitle"/>
        <w:rPr>
          <w:rFonts w:ascii="Times New Roman" w:hAnsi="Times New Roman"/>
          <w:color w:val="auto"/>
        </w:rPr>
      </w:pPr>
      <w:bookmarkStart w:id="0" w:name="_Toc277338715"/>
      <w:r w:rsidRPr="00EA0AE9">
        <w:rPr>
          <w:rFonts w:ascii="Times New Roman" w:hAnsi="Times New Roman"/>
          <w:color w:val="auto"/>
        </w:rPr>
        <w:t>Instructor Lesson Plan</w:t>
      </w:r>
      <w:bookmarkEnd w:id="0"/>
    </w:p>
    <w:p w14:paraId="235F411E" w14:textId="6C32C837" w:rsidR="009B2F5A" w:rsidRPr="00EA0AE9" w:rsidRDefault="009B2F5A">
      <w:pPr>
        <w:pStyle w:val="VBALessonPlanName"/>
        <w:rPr>
          <w:rFonts w:ascii="Times New Roman" w:hAnsi="Times New Roman"/>
          <w:color w:val="auto"/>
        </w:rPr>
      </w:pPr>
      <w:bookmarkStart w:id="1" w:name="_Toc269888738"/>
      <w:bookmarkStart w:id="2" w:name="_Toc269888786"/>
      <w:bookmarkStart w:id="3" w:name="_Toc277338716"/>
      <w:r w:rsidRPr="00EA0AE9">
        <w:rPr>
          <w:rFonts w:ascii="Times New Roman" w:hAnsi="Times New Roman"/>
          <w:color w:val="auto"/>
        </w:rPr>
        <w:t xml:space="preserve">Time Required: </w:t>
      </w:r>
      <w:r w:rsidR="00EA0AE9">
        <w:rPr>
          <w:rFonts w:ascii="Times New Roman" w:hAnsi="Times New Roman"/>
          <w:color w:val="auto"/>
        </w:rPr>
        <w:t>3</w:t>
      </w:r>
      <w:r w:rsidR="00060FBE">
        <w:rPr>
          <w:rFonts w:ascii="Times New Roman" w:hAnsi="Times New Roman"/>
          <w:color w:val="auto"/>
        </w:rPr>
        <w:t>.25</w:t>
      </w:r>
      <w:r w:rsidR="00EA0AE9">
        <w:rPr>
          <w:rFonts w:ascii="Times New Roman" w:hAnsi="Times New Roman"/>
          <w:color w:val="auto"/>
        </w:rPr>
        <w:t xml:space="preserve"> </w:t>
      </w:r>
      <w:r w:rsidRPr="00EA0AE9">
        <w:rPr>
          <w:rFonts w:ascii="Times New Roman" w:hAnsi="Times New Roman"/>
          <w:color w:val="auto"/>
        </w:rPr>
        <w:t>Hours</w:t>
      </w:r>
      <w:bookmarkEnd w:id="1"/>
      <w:bookmarkEnd w:id="2"/>
      <w:bookmarkEnd w:id="3"/>
    </w:p>
    <w:p w14:paraId="235F411F" w14:textId="77777777" w:rsidR="009B2F5A" w:rsidRPr="00EA0AE9" w:rsidRDefault="009B2F5A">
      <w:pPr>
        <w:jc w:val="center"/>
        <w:rPr>
          <w:b/>
          <w:caps/>
          <w:sz w:val="32"/>
          <w:szCs w:val="32"/>
        </w:rPr>
      </w:pPr>
    </w:p>
    <w:p w14:paraId="235F4120" w14:textId="77777777" w:rsidR="009B2F5A" w:rsidRPr="00EA0AE9" w:rsidRDefault="009B2F5A">
      <w:pPr>
        <w:jc w:val="center"/>
        <w:rPr>
          <w:b/>
          <w:sz w:val="28"/>
          <w:szCs w:val="28"/>
        </w:rPr>
      </w:pPr>
      <w:bookmarkStart w:id="4" w:name="_Toc277338717"/>
      <w:r w:rsidRPr="00EA0AE9">
        <w:rPr>
          <w:b/>
          <w:sz w:val="28"/>
          <w:szCs w:val="28"/>
        </w:rPr>
        <w:t>Table of Contents</w:t>
      </w:r>
      <w:bookmarkEnd w:id="4"/>
    </w:p>
    <w:p w14:paraId="235F4121" w14:textId="77777777" w:rsidR="009B2F5A" w:rsidRPr="00EA0AE9" w:rsidRDefault="009B2F5A"/>
    <w:p w14:paraId="0F44E9B3" w14:textId="77777777" w:rsidR="00577176" w:rsidRDefault="009B2F5A">
      <w:pPr>
        <w:pStyle w:val="TOC1"/>
        <w:rPr>
          <w:rFonts w:asciiTheme="minorHAnsi" w:eastAsiaTheme="minorEastAsia" w:hAnsiTheme="minorHAnsi" w:cstheme="minorBidi"/>
          <w:sz w:val="22"/>
        </w:rPr>
      </w:pPr>
      <w:r w:rsidRPr="00EA0AE9">
        <w:rPr>
          <w:rStyle w:val="Hyperlink"/>
          <w:color w:val="auto"/>
          <w:szCs w:val="24"/>
          <w:u w:val="none"/>
        </w:rPr>
        <w:fldChar w:fldCharType="begin"/>
      </w:r>
      <w:r w:rsidRPr="00EA0AE9">
        <w:rPr>
          <w:rStyle w:val="Hyperlink"/>
          <w:color w:val="auto"/>
          <w:szCs w:val="24"/>
          <w:u w:val="none"/>
        </w:rPr>
        <w:instrText xml:space="preserve"> TOC \o "1-1" \h \z \u </w:instrText>
      </w:r>
      <w:r w:rsidRPr="00EA0AE9">
        <w:rPr>
          <w:rStyle w:val="Hyperlink"/>
          <w:color w:val="auto"/>
          <w:szCs w:val="24"/>
          <w:u w:val="none"/>
        </w:rPr>
        <w:fldChar w:fldCharType="separate"/>
      </w:r>
      <w:hyperlink w:anchor="_Toc441732655" w:history="1">
        <w:r w:rsidR="00577176" w:rsidRPr="00374236">
          <w:rPr>
            <w:rStyle w:val="Hyperlink"/>
          </w:rPr>
          <w:t>Lesson Description</w:t>
        </w:r>
        <w:r w:rsidR="00577176">
          <w:rPr>
            <w:webHidden/>
          </w:rPr>
          <w:tab/>
        </w:r>
        <w:r w:rsidR="00577176">
          <w:rPr>
            <w:webHidden/>
          </w:rPr>
          <w:fldChar w:fldCharType="begin"/>
        </w:r>
        <w:r w:rsidR="00577176">
          <w:rPr>
            <w:webHidden/>
          </w:rPr>
          <w:instrText xml:space="preserve"> PAGEREF _Toc441732655 \h </w:instrText>
        </w:r>
        <w:r w:rsidR="00577176">
          <w:rPr>
            <w:webHidden/>
          </w:rPr>
        </w:r>
        <w:r w:rsidR="00577176">
          <w:rPr>
            <w:webHidden/>
          </w:rPr>
          <w:fldChar w:fldCharType="separate"/>
        </w:r>
        <w:r w:rsidR="00577176">
          <w:rPr>
            <w:webHidden/>
          </w:rPr>
          <w:t>2</w:t>
        </w:r>
        <w:r w:rsidR="00577176">
          <w:rPr>
            <w:webHidden/>
          </w:rPr>
          <w:fldChar w:fldCharType="end"/>
        </w:r>
      </w:hyperlink>
    </w:p>
    <w:p w14:paraId="61C62FC6" w14:textId="77777777" w:rsidR="00577176" w:rsidRDefault="00396143">
      <w:pPr>
        <w:pStyle w:val="TOC1"/>
        <w:rPr>
          <w:rFonts w:asciiTheme="minorHAnsi" w:eastAsiaTheme="minorEastAsia" w:hAnsiTheme="minorHAnsi" w:cstheme="minorBidi"/>
          <w:sz w:val="22"/>
        </w:rPr>
      </w:pPr>
      <w:hyperlink w:anchor="_Toc441732656" w:history="1">
        <w:r w:rsidR="00577176" w:rsidRPr="00374236">
          <w:rPr>
            <w:rStyle w:val="Hyperlink"/>
          </w:rPr>
          <w:t>Introduction to Rating Analysis</w:t>
        </w:r>
        <w:r w:rsidR="00577176">
          <w:rPr>
            <w:webHidden/>
          </w:rPr>
          <w:tab/>
        </w:r>
        <w:r w:rsidR="00577176">
          <w:rPr>
            <w:webHidden/>
          </w:rPr>
          <w:fldChar w:fldCharType="begin"/>
        </w:r>
        <w:r w:rsidR="00577176">
          <w:rPr>
            <w:webHidden/>
          </w:rPr>
          <w:instrText xml:space="preserve"> PAGEREF _Toc441732656 \h </w:instrText>
        </w:r>
        <w:r w:rsidR="00577176">
          <w:rPr>
            <w:webHidden/>
          </w:rPr>
        </w:r>
        <w:r w:rsidR="00577176">
          <w:rPr>
            <w:webHidden/>
          </w:rPr>
          <w:fldChar w:fldCharType="separate"/>
        </w:r>
        <w:r w:rsidR="00577176">
          <w:rPr>
            <w:webHidden/>
          </w:rPr>
          <w:t>4</w:t>
        </w:r>
        <w:r w:rsidR="00577176">
          <w:rPr>
            <w:webHidden/>
          </w:rPr>
          <w:fldChar w:fldCharType="end"/>
        </w:r>
      </w:hyperlink>
    </w:p>
    <w:p w14:paraId="0B239E2B" w14:textId="77777777" w:rsidR="00577176" w:rsidRDefault="00396143">
      <w:pPr>
        <w:pStyle w:val="TOC1"/>
        <w:rPr>
          <w:rFonts w:asciiTheme="minorHAnsi" w:eastAsiaTheme="minorEastAsia" w:hAnsiTheme="minorHAnsi" w:cstheme="minorBidi"/>
          <w:sz w:val="22"/>
        </w:rPr>
      </w:pPr>
      <w:hyperlink w:anchor="_Toc441732657" w:history="1">
        <w:r w:rsidR="00577176" w:rsidRPr="00374236">
          <w:rPr>
            <w:rStyle w:val="Hyperlink"/>
          </w:rPr>
          <w:t>Topic 1: Bases of Weighing Evidence</w:t>
        </w:r>
        <w:r w:rsidR="00577176">
          <w:rPr>
            <w:webHidden/>
          </w:rPr>
          <w:tab/>
        </w:r>
        <w:r w:rsidR="00577176">
          <w:rPr>
            <w:webHidden/>
          </w:rPr>
          <w:fldChar w:fldCharType="begin"/>
        </w:r>
        <w:r w:rsidR="00577176">
          <w:rPr>
            <w:webHidden/>
          </w:rPr>
          <w:instrText xml:space="preserve"> PAGEREF _Toc441732657 \h </w:instrText>
        </w:r>
        <w:r w:rsidR="00577176">
          <w:rPr>
            <w:webHidden/>
          </w:rPr>
        </w:r>
        <w:r w:rsidR="00577176">
          <w:rPr>
            <w:webHidden/>
          </w:rPr>
          <w:fldChar w:fldCharType="separate"/>
        </w:r>
        <w:r w:rsidR="00577176">
          <w:rPr>
            <w:webHidden/>
          </w:rPr>
          <w:t>6</w:t>
        </w:r>
        <w:r w:rsidR="00577176">
          <w:rPr>
            <w:webHidden/>
          </w:rPr>
          <w:fldChar w:fldCharType="end"/>
        </w:r>
      </w:hyperlink>
    </w:p>
    <w:p w14:paraId="707785ED" w14:textId="77777777" w:rsidR="00577176" w:rsidRDefault="00396143">
      <w:pPr>
        <w:pStyle w:val="TOC1"/>
        <w:rPr>
          <w:rFonts w:asciiTheme="minorHAnsi" w:eastAsiaTheme="minorEastAsia" w:hAnsiTheme="minorHAnsi" w:cstheme="minorBidi"/>
          <w:sz w:val="22"/>
        </w:rPr>
      </w:pPr>
      <w:hyperlink w:anchor="_Toc441732658" w:history="1">
        <w:r w:rsidR="00577176" w:rsidRPr="00374236">
          <w:rPr>
            <w:rStyle w:val="Hyperlink"/>
          </w:rPr>
          <w:t>Topic 2: Evidentiary Concepts</w:t>
        </w:r>
        <w:r w:rsidR="00577176">
          <w:rPr>
            <w:webHidden/>
          </w:rPr>
          <w:tab/>
        </w:r>
        <w:r w:rsidR="00577176">
          <w:rPr>
            <w:webHidden/>
          </w:rPr>
          <w:fldChar w:fldCharType="begin"/>
        </w:r>
        <w:r w:rsidR="00577176">
          <w:rPr>
            <w:webHidden/>
          </w:rPr>
          <w:instrText xml:space="preserve"> PAGEREF _Toc441732658 \h </w:instrText>
        </w:r>
        <w:r w:rsidR="00577176">
          <w:rPr>
            <w:webHidden/>
          </w:rPr>
        </w:r>
        <w:r w:rsidR="00577176">
          <w:rPr>
            <w:webHidden/>
          </w:rPr>
          <w:fldChar w:fldCharType="separate"/>
        </w:r>
        <w:r w:rsidR="00577176">
          <w:rPr>
            <w:webHidden/>
          </w:rPr>
          <w:t>8</w:t>
        </w:r>
        <w:r w:rsidR="00577176">
          <w:rPr>
            <w:webHidden/>
          </w:rPr>
          <w:fldChar w:fldCharType="end"/>
        </w:r>
      </w:hyperlink>
    </w:p>
    <w:p w14:paraId="3459B8AE" w14:textId="77777777" w:rsidR="00577176" w:rsidRDefault="00396143">
      <w:pPr>
        <w:pStyle w:val="TOC1"/>
        <w:rPr>
          <w:rFonts w:asciiTheme="minorHAnsi" w:eastAsiaTheme="minorEastAsia" w:hAnsiTheme="minorHAnsi" w:cstheme="minorBidi"/>
          <w:sz w:val="22"/>
        </w:rPr>
      </w:pPr>
      <w:hyperlink w:anchor="_Toc441732659" w:history="1">
        <w:r w:rsidR="00577176" w:rsidRPr="00374236">
          <w:rPr>
            <w:rStyle w:val="Hyperlink"/>
          </w:rPr>
          <w:t>Topic 3: Making Evidentiary Decisions</w:t>
        </w:r>
        <w:r w:rsidR="00577176">
          <w:rPr>
            <w:webHidden/>
          </w:rPr>
          <w:tab/>
        </w:r>
        <w:r w:rsidR="00577176">
          <w:rPr>
            <w:webHidden/>
          </w:rPr>
          <w:fldChar w:fldCharType="begin"/>
        </w:r>
        <w:r w:rsidR="00577176">
          <w:rPr>
            <w:webHidden/>
          </w:rPr>
          <w:instrText xml:space="preserve"> PAGEREF _Toc441732659 \h </w:instrText>
        </w:r>
        <w:r w:rsidR="00577176">
          <w:rPr>
            <w:webHidden/>
          </w:rPr>
        </w:r>
        <w:r w:rsidR="00577176">
          <w:rPr>
            <w:webHidden/>
          </w:rPr>
          <w:fldChar w:fldCharType="separate"/>
        </w:r>
        <w:r w:rsidR="00577176">
          <w:rPr>
            <w:webHidden/>
          </w:rPr>
          <w:t>11</w:t>
        </w:r>
        <w:r w:rsidR="00577176">
          <w:rPr>
            <w:webHidden/>
          </w:rPr>
          <w:fldChar w:fldCharType="end"/>
        </w:r>
      </w:hyperlink>
    </w:p>
    <w:p w14:paraId="710EAE1F" w14:textId="77777777" w:rsidR="00577176" w:rsidRDefault="00396143">
      <w:pPr>
        <w:pStyle w:val="TOC1"/>
        <w:rPr>
          <w:rFonts w:asciiTheme="minorHAnsi" w:eastAsiaTheme="minorEastAsia" w:hAnsiTheme="minorHAnsi" w:cstheme="minorBidi"/>
          <w:sz w:val="22"/>
        </w:rPr>
      </w:pPr>
      <w:hyperlink w:anchor="_Toc441732660" w:history="1">
        <w:r w:rsidR="00577176" w:rsidRPr="00374236">
          <w:rPr>
            <w:rStyle w:val="Hyperlink"/>
          </w:rPr>
          <w:t>Practical Exercise</w:t>
        </w:r>
        <w:r w:rsidR="00577176">
          <w:rPr>
            <w:webHidden/>
          </w:rPr>
          <w:tab/>
        </w:r>
        <w:r w:rsidR="00577176">
          <w:rPr>
            <w:webHidden/>
          </w:rPr>
          <w:fldChar w:fldCharType="begin"/>
        </w:r>
        <w:r w:rsidR="00577176">
          <w:rPr>
            <w:webHidden/>
          </w:rPr>
          <w:instrText xml:space="preserve"> PAGEREF _Toc441732660 \h </w:instrText>
        </w:r>
        <w:r w:rsidR="00577176">
          <w:rPr>
            <w:webHidden/>
          </w:rPr>
        </w:r>
        <w:r w:rsidR="00577176">
          <w:rPr>
            <w:webHidden/>
          </w:rPr>
          <w:fldChar w:fldCharType="separate"/>
        </w:r>
        <w:r w:rsidR="00577176">
          <w:rPr>
            <w:webHidden/>
          </w:rPr>
          <w:t>13</w:t>
        </w:r>
        <w:r w:rsidR="00577176">
          <w:rPr>
            <w:webHidden/>
          </w:rPr>
          <w:fldChar w:fldCharType="end"/>
        </w:r>
      </w:hyperlink>
    </w:p>
    <w:p w14:paraId="5B3ABCF8" w14:textId="77777777" w:rsidR="00577176" w:rsidRDefault="00396143">
      <w:pPr>
        <w:pStyle w:val="TOC1"/>
        <w:rPr>
          <w:rFonts w:asciiTheme="minorHAnsi" w:eastAsiaTheme="minorEastAsia" w:hAnsiTheme="minorHAnsi" w:cstheme="minorBidi"/>
          <w:sz w:val="22"/>
        </w:rPr>
      </w:pPr>
      <w:hyperlink w:anchor="_Toc441732661" w:history="1">
        <w:r w:rsidR="00577176" w:rsidRPr="00374236">
          <w:rPr>
            <w:rStyle w:val="Hyperlink"/>
          </w:rPr>
          <w:t>Lesson Review, Assessment, and Wrap-up</w:t>
        </w:r>
        <w:r w:rsidR="00577176">
          <w:rPr>
            <w:webHidden/>
          </w:rPr>
          <w:tab/>
        </w:r>
        <w:r w:rsidR="00577176">
          <w:rPr>
            <w:webHidden/>
          </w:rPr>
          <w:fldChar w:fldCharType="begin"/>
        </w:r>
        <w:r w:rsidR="00577176">
          <w:rPr>
            <w:webHidden/>
          </w:rPr>
          <w:instrText xml:space="preserve"> PAGEREF _Toc441732661 \h </w:instrText>
        </w:r>
        <w:r w:rsidR="00577176">
          <w:rPr>
            <w:webHidden/>
          </w:rPr>
        </w:r>
        <w:r w:rsidR="00577176">
          <w:rPr>
            <w:webHidden/>
          </w:rPr>
          <w:fldChar w:fldCharType="separate"/>
        </w:r>
        <w:r w:rsidR="00577176">
          <w:rPr>
            <w:webHidden/>
          </w:rPr>
          <w:t>14</w:t>
        </w:r>
        <w:r w:rsidR="00577176">
          <w:rPr>
            <w:webHidden/>
          </w:rPr>
          <w:fldChar w:fldCharType="end"/>
        </w:r>
      </w:hyperlink>
    </w:p>
    <w:p w14:paraId="235F4129" w14:textId="77777777" w:rsidR="009B2F5A" w:rsidRPr="00EA0AE9" w:rsidRDefault="009B2F5A">
      <w:pPr>
        <w:pStyle w:val="TOC1"/>
      </w:pPr>
      <w:r w:rsidRPr="00EA0AE9">
        <w:rPr>
          <w:rStyle w:val="Hyperlink"/>
          <w:bCs/>
          <w:color w:val="auto"/>
          <w:szCs w:val="24"/>
          <w:u w:val="none"/>
        </w:rPr>
        <w:fldChar w:fldCharType="end"/>
      </w:r>
    </w:p>
    <w:p w14:paraId="235F412A" w14:textId="77777777" w:rsidR="009B2F5A" w:rsidRPr="00EA0AE9" w:rsidRDefault="009B2F5A">
      <w:pPr>
        <w:pStyle w:val="LessonTitle"/>
        <w:rPr>
          <w:rFonts w:ascii="Times New Roman" w:hAnsi="Times New Roman"/>
        </w:rPr>
      </w:pPr>
      <w:r w:rsidRPr="00EA0AE9">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EA0AE9" w:rsidRPr="00EA0AE9" w14:paraId="235F412C" w14:textId="77777777">
        <w:tc>
          <w:tcPr>
            <w:tcW w:w="9572" w:type="dxa"/>
            <w:gridSpan w:val="2"/>
            <w:tcBorders>
              <w:top w:val="nil"/>
              <w:left w:val="nil"/>
              <w:bottom w:val="nil"/>
              <w:right w:val="nil"/>
            </w:tcBorders>
          </w:tcPr>
          <w:p w14:paraId="235F412B" w14:textId="77777777" w:rsidR="009B2F5A" w:rsidRPr="00EA0AE9" w:rsidRDefault="009B2F5A">
            <w:pPr>
              <w:pStyle w:val="VBALessonTopicTitle"/>
              <w:rPr>
                <w:rFonts w:ascii="Times New Roman" w:hAnsi="Times New Roman"/>
                <w:color w:val="auto"/>
              </w:rPr>
            </w:pPr>
            <w:bookmarkStart w:id="5" w:name="_Toc271527085"/>
            <w:bookmarkStart w:id="6" w:name="_Toc441732655"/>
            <w:r w:rsidRPr="00EA0AE9">
              <w:rPr>
                <w:rFonts w:ascii="Times New Roman" w:hAnsi="Times New Roman"/>
                <w:color w:val="auto"/>
              </w:rPr>
              <w:lastRenderedPageBreak/>
              <w:t>Lesson Description</w:t>
            </w:r>
            <w:bookmarkEnd w:id="5"/>
            <w:bookmarkEnd w:id="6"/>
          </w:p>
        </w:tc>
      </w:tr>
      <w:tr w:rsidR="00EA0AE9" w:rsidRPr="00EA0AE9" w14:paraId="235F412E" w14:textId="77777777">
        <w:tc>
          <w:tcPr>
            <w:tcW w:w="9572" w:type="dxa"/>
            <w:gridSpan w:val="2"/>
            <w:tcBorders>
              <w:top w:val="nil"/>
              <w:left w:val="nil"/>
              <w:bottom w:val="nil"/>
              <w:right w:val="nil"/>
            </w:tcBorders>
          </w:tcPr>
          <w:p w14:paraId="235F412D" w14:textId="77777777" w:rsidR="009B2F5A" w:rsidRPr="00EA0AE9" w:rsidRDefault="009B2F5A">
            <w:pPr>
              <w:pStyle w:val="VBABodyText"/>
              <w:spacing w:after="120"/>
              <w:rPr>
                <w:color w:val="auto"/>
              </w:rPr>
            </w:pPr>
            <w:r w:rsidRPr="00EA0AE9">
              <w:rPr>
                <w:color w:val="auto"/>
                <w:szCs w:val="24"/>
              </w:rPr>
              <w:t xml:space="preserve">The information below provides </w:t>
            </w:r>
            <w:r w:rsidRPr="00EA0AE9">
              <w:rPr>
                <w:color w:val="auto"/>
              </w:rPr>
              <w:t xml:space="preserve">the instructor with </w:t>
            </w:r>
            <w:r w:rsidRPr="00EA0AE9">
              <w:rPr>
                <w:color w:val="auto"/>
                <w:szCs w:val="24"/>
              </w:rPr>
              <w:t>an overview of the lesson and the materials that are required to effectively present this instruction.</w:t>
            </w:r>
          </w:p>
        </w:tc>
      </w:tr>
      <w:tr w:rsidR="00EA0AE9" w:rsidRPr="00EA0AE9" w14:paraId="235F4131" w14:textId="77777777">
        <w:trPr>
          <w:trHeight w:val="80"/>
        </w:trPr>
        <w:tc>
          <w:tcPr>
            <w:tcW w:w="2348" w:type="dxa"/>
            <w:tcBorders>
              <w:top w:val="nil"/>
              <w:left w:val="nil"/>
              <w:bottom w:val="nil"/>
              <w:right w:val="nil"/>
            </w:tcBorders>
          </w:tcPr>
          <w:p w14:paraId="235F412F" w14:textId="77777777" w:rsidR="009B2F5A" w:rsidRPr="00EA0AE9" w:rsidRDefault="000F1A72">
            <w:pPr>
              <w:pStyle w:val="VBALevel1Heading"/>
              <w:spacing w:after="120"/>
            </w:pPr>
            <w:r w:rsidRPr="00EA0AE9">
              <w:t>TMS</w:t>
            </w:r>
            <w:r w:rsidR="009B2F5A" w:rsidRPr="00EA0AE9">
              <w:t xml:space="preserve"> #</w:t>
            </w:r>
          </w:p>
        </w:tc>
        <w:tc>
          <w:tcPr>
            <w:tcW w:w="7224" w:type="dxa"/>
            <w:tcBorders>
              <w:top w:val="nil"/>
              <w:left w:val="nil"/>
              <w:bottom w:val="nil"/>
              <w:right w:val="nil"/>
            </w:tcBorders>
          </w:tcPr>
          <w:p w14:paraId="235F4130" w14:textId="2F0D3A5F" w:rsidR="009B2F5A" w:rsidRPr="00EA0AE9" w:rsidRDefault="003C3319">
            <w:pPr>
              <w:pStyle w:val="VBALMS"/>
              <w:rPr>
                <w:color w:val="auto"/>
              </w:rPr>
            </w:pPr>
            <w:r w:rsidRPr="003C3319">
              <w:rPr>
                <w:color w:val="auto"/>
              </w:rPr>
              <w:t>4178055</w:t>
            </w:r>
            <w:bookmarkStart w:id="7" w:name="_GoBack"/>
            <w:bookmarkEnd w:id="7"/>
          </w:p>
        </w:tc>
      </w:tr>
      <w:tr w:rsidR="00EA0AE9" w:rsidRPr="00EA0AE9" w14:paraId="235F4134" w14:textId="77777777">
        <w:trPr>
          <w:trHeight w:val="1296"/>
        </w:trPr>
        <w:tc>
          <w:tcPr>
            <w:tcW w:w="2348" w:type="dxa"/>
            <w:tcBorders>
              <w:top w:val="nil"/>
              <w:left w:val="nil"/>
              <w:bottom w:val="nil"/>
              <w:right w:val="nil"/>
            </w:tcBorders>
          </w:tcPr>
          <w:p w14:paraId="235F4132" w14:textId="77777777" w:rsidR="009B2F5A" w:rsidRPr="00EA0AE9" w:rsidRDefault="009B2F5A">
            <w:pPr>
              <w:pStyle w:val="VBALevel1Heading"/>
            </w:pPr>
            <w:bookmarkStart w:id="8" w:name="_Toc269888397"/>
            <w:bookmarkStart w:id="9" w:name="_Toc269888740"/>
            <w:r w:rsidRPr="00EA0AE9">
              <w:t>Prerequisites</w:t>
            </w:r>
            <w:bookmarkEnd w:id="8"/>
            <w:bookmarkEnd w:id="9"/>
          </w:p>
        </w:tc>
        <w:tc>
          <w:tcPr>
            <w:tcW w:w="7224" w:type="dxa"/>
            <w:tcBorders>
              <w:top w:val="nil"/>
              <w:left w:val="nil"/>
              <w:bottom w:val="nil"/>
              <w:right w:val="nil"/>
            </w:tcBorders>
          </w:tcPr>
          <w:p w14:paraId="235F4133" w14:textId="75F7A479" w:rsidR="009B2F5A" w:rsidRPr="00EA0AE9" w:rsidRDefault="00EA0AE9" w:rsidP="009C2595">
            <w:pPr>
              <w:pStyle w:val="VBABodyText"/>
              <w:rPr>
                <w:b/>
                <w:color w:val="auto"/>
                <w:sz w:val="36"/>
                <w:szCs w:val="36"/>
              </w:rPr>
            </w:pPr>
            <w:r w:rsidRPr="00EA0AE9">
              <w:rPr>
                <w:color w:val="auto"/>
              </w:rPr>
              <w:t>Prior to this lesson, the Rating Veteran Service Representatives (RVSRs) should have completed the RVSR Challenge course</w:t>
            </w:r>
            <w:proofErr w:type="gramStart"/>
            <w:r w:rsidR="009C2595">
              <w:rPr>
                <w:color w:val="auto"/>
              </w:rPr>
              <w:t>.</w:t>
            </w:r>
            <w:r w:rsidRPr="00EA0AE9">
              <w:rPr>
                <w:color w:val="auto"/>
              </w:rPr>
              <w:t>.</w:t>
            </w:r>
            <w:proofErr w:type="gramEnd"/>
          </w:p>
        </w:tc>
      </w:tr>
      <w:tr w:rsidR="00EA0AE9" w:rsidRPr="00EA0AE9" w14:paraId="235F4138" w14:textId="77777777">
        <w:trPr>
          <w:trHeight w:val="1296"/>
        </w:trPr>
        <w:tc>
          <w:tcPr>
            <w:tcW w:w="2348" w:type="dxa"/>
            <w:tcBorders>
              <w:top w:val="nil"/>
              <w:left w:val="nil"/>
              <w:bottom w:val="nil"/>
              <w:right w:val="nil"/>
            </w:tcBorders>
          </w:tcPr>
          <w:p w14:paraId="235F4135" w14:textId="77777777" w:rsidR="009B2F5A" w:rsidRPr="00EA0AE9" w:rsidRDefault="009B2F5A">
            <w:pPr>
              <w:pStyle w:val="VBALevel1Heading"/>
            </w:pPr>
            <w:r w:rsidRPr="00EA0AE9">
              <w:t>target audience</w:t>
            </w:r>
          </w:p>
        </w:tc>
        <w:tc>
          <w:tcPr>
            <w:tcW w:w="7224" w:type="dxa"/>
            <w:tcBorders>
              <w:top w:val="nil"/>
              <w:left w:val="nil"/>
              <w:bottom w:val="nil"/>
              <w:right w:val="nil"/>
            </w:tcBorders>
          </w:tcPr>
          <w:p w14:paraId="759591A9" w14:textId="386DA992" w:rsidR="00EA0AE9" w:rsidRPr="00EA0AE9" w:rsidRDefault="00EA0AE9" w:rsidP="00EA0AE9">
            <w:pPr>
              <w:pStyle w:val="VBABodyText"/>
              <w:rPr>
                <w:color w:val="auto"/>
              </w:rPr>
            </w:pPr>
            <w:r w:rsidRPr="00EA0AE9">
              <w:rPr>
                <w:color w:val="auto"/>
              </w:rPr>
              <w:t xml:space="preserve">The target audience for Weighing Evidence is RVSR </w:t>
            </w:r>
            <w:r w:rsidR="009C2595">
              <w:rPr>
                <w:color w:val="auto"/>
              </w:rPr>
              <w:t>(Post Challenge)</w:t>
            </w:r>
          </w:p>
          <w:p w14:paraId="235F4137" w14:textId="7A9E9A39" w:rsidR="009B2F5A" w:rsidRPr="00EA0AE9" w:rsidRDefault="00EA0AE9" w:rsidP="009C2595">
            <w:pPr>
              <w:pStyle w:val="VBABodyText"/>
              <w:rPr>
                <w:color w:val="auto"/>
              </w:rPr>
            </w:pPr>
            <w:r w:rsidRPr="00EA0AE9">
              <w:rPr>
                <w:color w:val="auto"/>
              </w:rPr>
              <w:t>Although this lesson is targeted to teach the RVSR employee, it may be taught to other VA personnel as mandatory or refresher type training.</w:t>
            </w:r>
          </w:p>
        </w:tc>
      </w:tr>
      <w:tr w:rsidR="00EA0AE9" w:rsidRPr="00EA0AE9" w14:paraId="235F413B" w14:textId="77777777">
        <w:trPr>
          <w:trHeight w:val="80"/>
        </w:trPr>
        <w:tc>
          <w:tcPr>
            <w:tcW w:w="2348" w:type="dxa"/>
            <w:tcBorders>
              <w:top w:val="nil"/>
              <w:left w:val="nil"/>
              <w:bottom w:val="nil"/>
              <w:right w:val="nil"/>
            </w:tcBorders>
          </w:tcPr>
          <w:p w14:paraId="235F4139" w14:textId="77777777" w:rsidR="009B2F5A" w:rsidRPr="00EA0AE9" w:rsidRDefault="009B2F5A">
            <w:pPr>
              <w:pStyle w:val="VBALevel1Heading"/>
            </w:pPr>
            <w:bookmarkStart w:id="10" w:name="_Toc269888398"/>
            <w:bookmarkStart w:id="11" w:name="_Toc269888741"/>
            <w:r w:rsidRPr="00EA0AE9">
              <w:t>Time Required</w:t>
            </w:r>
            <w:bookmarkEnd w:id="10"/>
            <w:bookmarkEnd w:id="11"/>
          </w:p>
        </w:tc>
        <w:tc>
          <w:tcPr>
            <w:tcW w:w="7224" w:type="dxa"/>
            <w:tcBorders>
              <w:top w:val="nil"/>
              <w:left w:val="nil"/>
              <w:bottom w:val="nil"/>
              <w:right w:val="nil"/>
            </w:tcBorders>
          </w:tcPr>
          <w:p w14:paraId="235F413A" w14:textId="3DDD806B" w:rsidR="009B2F5A" w:rsidRPr="00EA0AE9" w:rsidRDefault="00EA0AE9" w:rsidP="00EA0AE9">
            <w:pPr>
              <w:pStyle w:val="VBATimeReq"/>
              <w:rPr>
                <w:color w:val="auto"/>
              </w:rPr>
            </w:pPr>
            <w:r>
              <w:rPr>
                <w:color w:val="auto"/>
              </w:rPr>
              <w:t>3</w:t>
            </w:r>
            <w:r w:rsidR="00060FBE">
              <w:rPr>
                <w:color w:val="auto"/>
              </w:rPr>
              <w:t>.25</w:t>
            </w:r>
            <w:r w:rsidR="009B2F5A" w:rsidRPr="00EA0AE9">
              <w:rPr>
                <w:color w:val="auto"/>
              </w:rPr>
              <w:t xml:space="preserve"> hour</w:t>
            </w:r>
            <w:r w:rsidR="00060FBE">
              <w:rPr>
                <w:color w:val="auto"/>
              </w:rPr>
              <w:t>s</w:t>
            </w:r>
          </w:p>
        </w:tc>
      </w:tr>
      <w:tr w:rsidR="00EA0AE9" w:rsidRPr="00EA0AE9" w14:paraId="235F4142" w14:textId="77777777">
        <w:trPr>
          <w:trHeight w:val="80"/>
        </w:trPr>
        <w:tc>
          <w:tcPr>
            <w:tcW w:w="2348" w:type="dxa"/>
            <w:tcBorders>
              <w:top w:val="nil"/>
              <w:left w:val="nil"/>
              <w:bottom w:val="nil"/>
              <w:right w:val="nil"/>
            </w:tcBorders>
          </w:tcPr>
          <w:p w14:paraId="235F413C" w14:textId="77777777" w:rsidR="009B2F5A" w:rsidRPr="00EA0AE9" w:rsidRDefault="009B2F5A">
            <w:pPr>
              <w:pStyle w:val="VBALevel1Heading"/>
            </w:pPr>
            <w:bookmarkStart w:id="12" w:name="_Toc269888399"/>
            <w:bookmarkStart w:id="13" w:name="_Toc269888742"/>
            <w:r w:rsidRPr="00EA0AE9">
              <w:t>Materials/</w:t>
            </w:r>
            <w:r w:rsidRPr="00EA0AE9">
              <w:br/>
              <w:t>TRAINING AIDS</w:t>
            </w:r>
            <w:bookmarkEnd w:id="12"/>
            <w:bookmarkEnd w:id="13"/>
          </w:p>
        </w:tc>
        <w:tc>
          <w:tcPr>
            <w:tcW w:w="7224" w:type="dxa"/>
            <w:tcBorders>
              <w:top w:val="nil"/>
              <w:left w:val="nil"/>
              <w:bottom w:val="nil"/>
              <w:right w:val="nil"/>
            </w:tcBorders>
          </w:tcPr>
          <w:p w14:paraId="235F413D" w14:textId="77777777" w:rsidR="009B2F5A" w:rsidRPr="00EA0AE9" w:rsidRDefault="009B2F5A">
            <w:pPr>
              <w:pStyle w:val="VBABodyText"/>
              <w:rPr>
                <w:color w:val="auto"/>
              </w:rPr>
            </w:pPr>
            <w:r w:rsidRPr="00EA0AE9">
              <w:rPr>
                <w:color w:val="auto"/>
              </w:rPr>
              <w:t>Lesson materials:</w:t>
            </w:r>
          </w:p>
          <w:p w14:paraId="0445985B" w14:textId="77777777" w:rsidR="00EA0AE9" w:rsidRPr="006B6344" w:rsidRDefault="00EA0AE9" w:rsidP="00EA0AE9">
            <w:pPr>
              <w:pStyle w:val="VBAFirstLevelBullet"/>
              <w:rPr>
                <w:iCs/>
              </w:rPr>
            </w:pPr>
            <w:r w:rsidRPr="006B6344">
              <w:rPr>
                <w:iCs/>
              </w:rPr>
              <w:t>Weighing Evidence PowerPoint Presentation</w:t>
            </w:r>
          </w:p>
          <w:p w14:paraId="7CF289E3" w14:textId="77777777" w:rsidR="00EA0AE9" w:rsidRPr="006B6344" w:rsidRDefault="00EA0AE9" w:rsidP="00EA0AE9">
            <w:pPr>
              <w:pStyle w:val="VBAFirstLevelBullet"/>
              <w:rPr>
                <w:iCs/>
              </w:rPr>
            </w:pPr>
            <w:r w:rsidRPr="006B6344">
              <w:rPr>
                <w:iCs/>
              </w:rPr>
              <w:t>Weighing Evidence Student Handout Packet</w:t>
            </w:r>
          </w:p>
          <w:p w14:paraId="235F4141" w14:textId="0E9BA640" w:rsidR="009B2F5A" w:rsidRPr="00EA0AE9" w:rsidRDefault="009B2F5A" w:rsidP="00EA0AE9">
            <w:pPr>
              <w:pStyle w:val="VBAFirstLevelBullet"/>
              <w:numPr>
                <w:ilvl w:val="0"/>
                <w:numId w:val="0"/>
              </w:numPr>
              <w:ind w:left="720" w:hanging="360"/>
            </w:pPr>
          </w:p>
        </w:tc>
      </w:tr>
      <w:tr w:rsidR="00EA0AE9" w:rsidRPr="00EA0AE9" w14:paraId="235F4150" w14:textId="77777777">
        <w:trPr>
          <w:trHeight w:val="80"/>
        </w:trPr>
        <w:tc>
          <w:tcPr>
            <w:tcW w:w="2348" w:type="dxa"/>
            <w:tcBorders>
              <w:top w:val="nil"/>
              <w:left w:val="nil"/>
              <w:bottom w:val="nil"/>
              <w:right w:val="nil"/>
            </w:tcBorders>
          </w:tcPr>
          <w:p w14:paraId="235F4143" w14:textId="77777777" w:rsidR="009B2F5A" w:rsidRPr="00EA0AE9" w:rsidRDefault="009B2F5A">
            <w:pPr>
              <w:pStyle w:val="VBALevel1Heading"/>
            </w:pPr>
            <w:r w:rsidRPr="00EA0AE9">
              <w:t xml:space="preserve">Training Area/Tools </w:t>
            </w:r>
          </w:p>
        </w:tc>
        <w:tc>
          <w:tcPr>
            <w:tcW w:w="7224" w:type="dxa"/>
            <w:tcBorders>
              <w:top w:val="nil"/>
              <w:left w:val="nil"/>
              <w:bottom w:val="nil"/>
              <w:right w:val="nil"/>
            </w:tcBorders>
          </w:tcPr>
          <w:p w14:paraId="235F4144" w14:textId="77777777" w:rsidR="009B2F5A" w:rsidRPr="00EA0AE9" w:rsidRDefault="009B2F5A">
            <w:pPr>
              <w:pStyle w:val="VBABodyText"/>
              <w:rPr>
                <w:color w:val="auto"/>
              </w:rPr>
            </w:pPr>
            <w:r w:rsidRPr="00EA0AE9">
              <w:rPr>
                <w:color w:val="auto"/>
              </w:rPr>
              <w:t xml:space="preserve">The following are required to ensure the trainees are able to meet the lesson objectives: </w:t>
            </w:r>
          </w:p>
          <w:p w14:paraId="235F4145" w14:textId="77777777" w:rsidR="009B2F5A" w:rsidRPr="00EA0AE9" w:rsidRDefault="009B2F5A">
            <w:pPr>
              <w:pStyle w:val="VBAFirstLevelBullet"/>
            </w:pPr>
            <w:r w:rsidRPr="00EA0AE9">
              <w:t>Classroom or private area suitable for participatory discussions</w:t>
            </w:r>
          </w:p>
          <w:p w14:paraId="235F4146" w14:textId="77777777" w:rsidR="009B2F5A" w:rsidRPr="00EA0AE9" w:rsidRDefault="009B2F5A">
            <w:pPr>
              <w:pStyle w:val="VBAFirstLevelBullet"/>
            </w:pPr>
            <w:r w:rsidRPr="00EA0AE9">
              <w:t xml:space="preserve">Seating, writing materials, and writing surfaces for trainee note taking and participation </w:t>
            </w:r>
          </w:p>
          <w:p w14:paraId="235F4147" w14:textId="77777777" w:rsidR="009B2F5A" w:rsidRPr="00EA0AE9" w:rsidRDefault="009B2F5A">
            <w:pPr>
              <w:pStyle w:val="VBAFirstLevelBullet"/>
            </w:pPr>
            <w:r w:rsidRPr="00EA0AE9">
              <w:t>Handouts, which include a practical exercise</w:t>
            </w:r>
          </w:p>
          <w:p w14:paraId="235F4148" w14:textId="77777777" w:rsidR="009B2F5A" w:rsidRPr="00EA0AE9" w:rsidRDefault="009B2F5A">
            <w:pPr>
              <w:pStyle w:val="VBAFirstLevelBullet"/>
            </w:pPr>
            <w:r w:rsidRPr="00EA0AE9">
              <w:t>Large writing surface (easel pad, chalkboard, dry erase board, overhead projector, etc.) with appropriate writing materials</w:t>
            </w:r>
          </w:p>
          <w:p w14:paraId="235F4149" w14:textId="77777777" w:rsidR="009B2F5A" w:rsidRPr="00EA0AE9" w:rsidRDefault="009B2F5A">
            <w:pPr>
              <w:pStyle w:val="VBAFirstLevelBullet"/>
            </w:pPr>
            <w:r w:rsidRPr="00EA0AE9">
              <w:t>Computer with PowerPoint software to present the lesson material</w:t>
            </w:r>
          </w:p>
          <w:p w14:paraId="235F414A" w14:textId="77777777" w:rsidR="009B2F5A" w:rsidRPr="00EA0AE9" w:rsidRDefault="009B2F5A">
            <w:pPr>
              <w:pStyle w:val="VBABodyText"/>
              <w:rPr>
                <w:color w:val="auto"/>
              </w:rPr>
            </w:pPr>
            <w:r w:rsidRPr="00EA0AE9">
              <w:rPr>
                <w:color w:val="auto"/>
              </w:rPr>
              <w:t xml:space="preserve">Trainees require access to the following tools: </w:t>
            </w:r>
          </w:p>
          <w:p w14:paraId="235F414B" w14:textId="77777777" w:rsidR="009B2F5A" w:rsidRPr="00EA0AE9" w:rsidRDefault="000F1A72">
            <w:pPr>
              <w:pStyle w:val="VBAFirstLevelBullet"/>
            </w:pPr>
            <w:r w:rsidRPr="00EA0AE9">
              <w:t>VA T</w:t>
            </w:r>
            <w:r w:rsidR="009B2F5A" w:rsidRPr="00EA0AE9">
              <w:t>MS to complete the assessment</w:t>
            </w:r>
          </w:p>
          <w:p w14:paraId="235F414F" w14:textId="1B746614" w:rsidR="009B2F5A" w:rsidRPr="00EA0AE9" w:rsidRDefault="009B2F5A" w:rsidP="00A24655">
            <w:pPr>
              <w:pStyle w:val="VBAFirstLevelBullet"/>
              <w:numPr>
                <w:ilvl w:val="0"/>
                <w:numId w:val="0"/>
              </w:numPr>
              <w:ind w:left="360"/>
            </w:pPr>
          </w:p>
        </w:tc>
      </w:tr>
      <w:tr w:rsidR="00EA0AE9" w:rsidRPr="00EA0AE9" w14:paraId="235F415B" w14:textId="77777777">
        <w:trPr>
          <w:trHeight w:val="80"/>
        </w:trPr>
        <w:tc>
          <w:tcPr>
            <w:tcW w:w="2348" w:type="dxa"/>
            <w:tcBorders>
              <w:top w:val="nil"/>
              <w:left w:val="nil"/>
              <w:bottom w:val="nil"/>
              <w:right w:val="nil"/>
            </w:tcBorders>
          </w:tcPr>
          <w:p w14:paraId="235F4151" w14:textId="77777777" w:rsidR="009B2F5A" w:rsidRPr="00EA0AE9" w:rsidRDefault="009B2F5A">
            <w:pPr>
              <w:pStyle w:val="VBALevel1Heading"/>
            </w:pPr>
            <w:r w:rsidRPr="00EA0AE9">
              <w:t xml:space="preserve">Pre-Planning </w:t>
            </w:r>
          </w:p>
          <w:p w14:paraId="235F4152" w14:textId="77777777" w:rsidR="009B2F5A" w:rsidRPr="00EA0AE9"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EA0AE9"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EA0AE9">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EA0AE9" w:rsidRDefault="009B2F5A">
            <w:pPr>
              <w:pStyle w:val="VBABulletList"/>
            </w:pPr>
            <w:r w:rsidRPr="00EA0AE9">
              <w:t xml:space="preserve">Become familiar with the content of the trainee handouts and their </w:t>
            </w:r>
            <w:r w:rsidRPr="00EA0AE9">
              <w:lastRenderedPageBreak/>
              <w:t xml:space="preserve">association to the Lesson Plan. </w:t>
            </w:r>
          </w:p>
          <w:p w14:paraId="235F4155" w14:textId="77777777" w:rsidR="009B2F5A" w:rsidRPr="00EA0AE9" w:rsidRDefault="009B2F5A">
            <w:pPr>
              <w:pStyle w:val="VBABulletList"/>
            </w:pPr>
            <w:r w:rsidRPr="00EA0AE9">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EA0AE9" w:rsidRDefault="009B2F5A">
            <w:pPr>
              <w:pStyle w:val="VBABulletList"/>
            </w:pPr>
            <w:r w:rsidRPr="00EA0AE9">
              <w:t>Ensure that there are copies of all handouts before the training session.</w:t>
            </w:r>
          </w:p>
          <w:p w14:paraId="235F4157" w14:textId="77777777" w:rsidR="009B2F5A" w:rsidRPr="00EA0AE9" w:rsidRDefault="009B2F5A">
            <w:pPr>
              <w:pStyle w:val="VBABulletList"/>
            </w:pPr>
            <w:r w:rsidRPr="00EA0AE9">
              <w:t>When required, reserve the training room.</w:t>
            </w:r>
          </w:p>
          <w:p w14:paraId="235F4158" w14:textId="77777777" w:rsidR="009B2F5A" w:rsidRPr="00EA0AE9" w:rsidRDefault="009B2F5A">
            <w:pPr>
              <w:pStyle w:val="VBABulletList"/>
            </w:pPr>
            <w:r w:rsidRPr="00EA0AE9">
              <w:t>Arrange for equipment such as flip charts, an overhead projector, and any other equipment (as needed).</w:t>
            </w:r>
          </w:p>
          <w:p w14:paraId="235F4159" w14:textId="77777777" w:rsidR="009B2F5A" w:rsidRPr="00EA0AE9" w:rsidRDefault="009B2F5A">
            <w:pPr>
              <w:pStyle w:val="VBABulletList"/>
            </w:pPr>
            <w:r w:rsidRPr="00EA0AE9">
              <w:t xml:space="preserve">Talk to people in your office who are most familiar with this topic to collect experiences that you can include as examples in the lesson. </w:t>
            </w:r>
          </w:p>
          <w:p w14:paraId="235F415A" w14:textId="77777777" w:rsidR="009B2F5A" w:rsidRPr="00EA0AE9" w:rsidRDefault="009B2F5A">
            <w:pPr>
              <w:pStyle w:val="VBABulletList"/>
            </w:pPr>
            <w:r w:rsidRPr="00EA0AE9">
              <w:t xml:space="preserve">This lesson plan belongs to you. Feel free to highlight headings, key phrases, or other information to help the instruction flow smoothly. Feel free to add any notes or information that you need in the margins. </w:t>
            </w:r>
          </w:p>
        </w:tc>
      </w:tr>
      <w:tr w:rsidR="009B2F5A" w:rsidRPr="00EA0AE9" w14:paraId="235F4164" w14:textId="77777777">
        <w:trPr>
          <w:trHeight w:val="80"/>
        </w:trPr>
        <w:tc>
          <w:tcPr>
            <w:tcW w:w="2348" w:type="dxa"/>
            <w:tcBorders>
              <w:top w:val="nil"/>
              <w:left w:val="nil"/>
              <w:bottom w:val="nil"/>
              <w:right w:val="nil"/>
            </w:tcBorders>
          </w:tcPr>
          <w:p w14:paraId="235F415C" w14:textId="77777777" w:rsidR="009B2F5A" w:rsidRPr="00EA0AE9" w:rsidRDefault="009B2F5A">
            <w:pPr>
              <w:pStyle w:val="VBALevel1Heading"/>
            </w:pPr>
            <w:r w:rsidRPr="00EA0AE9">
              <w:lastRenderedPageBreak/>
              <w:t xml:space="preserve">Training Day </w:t>
            </w:r>
          </w:p>
          <w:p w14:paraId="235F415D" w14:textId="77777777" w:rsidR="009B2F5A" w:rsidRPr="00EA0AE9"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EA0AE9" w:rsidRDefault="009B2F5A">
            <w:pPr>
              <w:pStyle w:val="VBABulletList"/>
            </w:pPr>
            <w:r w:rsidRPr="00EA0AE9">
              <w:t xml:space="preserve">Arrive as early as possible to ensure access to the facility and computers. </w:t>
            </w:r>
          </w:p>
          <w:p w14:paraId="235F415F" w14:textId="77777777" w:rsidR="009B2F5A" w:rsidRPr="00EA0AE9" w:rsidRDefault="009B2F5A">
            <w:pPr>
              <w:pStyle w:val="VBABulletList"/>
            </w:pPr>
            <w:r w:rsidRPr="00EA0AE9">
              <w:t xml:space="preserve">Become familiar with the location of restrooms and other facilities that the trainees will require. </w:t>
            </w:r>
          </w:p>
          <w:p w14:paraId="235F4160" w14:textId="77777777" w:rsidR="009B2F5A" w:rsidRPr="00EA0AE9" w:rsidRDefault="009B2F5A">
            <w:pPr>
              <w:pStyle w:val="VBABulletList"/>
            </w:pPr>
            <w:r w:rsidRPr="00EA0AE9">
              <w:t xml:space="preserve">Test the computer and projector to ensure they are working properly. </w:t>
            </w:r>
          </w:p>
          <w:p w14:paraId="235F4161" w14:textId="77777777" w:rsidR="009B2F5A" w:rsidRPr="00EA0AE9" w:rsidRDefault="009B2F5A">
            <w:pPr>
              <w:pStyle w:val="VBABulletList"/>
            </w:pPr>
            <w:r w:rsidRPr="00EA0AE9">
              <w:t xml:space="preserve">Before class begins, open the PowerPoint presentation to the first slide. This will help to ensure the presentation is functioning properly. </w:t>
            </w:r>
          </w:p>
          <w:p w14:paraId="235F4162" w14:textId="77777777" w:rsidR="009B2F5A" w:rsidRPr="00EA0AE9" w:rsidRDefault="009B2F5A">
            <w:pPr>
              <w:pStyle w:val="VBABulletList"/>
            </w:pPr>
            <w:r w:rsidRPr="00EA0AE9">
              <w:t>Make sure that a whiteboard or flip chart and the associated markers are available.</w:t>
            </w:r>
          </w:p>
          <w:p w14:paraId="235F4163" w14:textId="1AE044F5" w:rsidR="009B2F5A" w:rsidRPr="00EA0AE9" w:rsidRDefault="00B71A72">
            <w:pPr>
              <w:pStyle w:val="VBABulletList"/>
            </w:pPr>
            <w:r w:rsidRPr="00EA0AE9">
              <w:t>The instructor completes a roll call attendance sheet or provides a sign-in sheet to the students</w:t>
            </w:r>
            <w:r w:rsidR="009B2F5A" w:rsidRPr="00EA0AE9">
              <w:t>.</w:t>
            </w:r>
            <w:r w:rsidRPr="00EA0AE9">
              <w:t xml:space="preserve"> The attendance records are forwarded to the Regional Office Training Managers.</w:t>
            </w:r>
            <w:r w:rsidR="009B2F5A" w:rsidRPr="00EA0AE9">
              <w:t xml:space="preserve"> </w:t>
            </w:r>
          </w:p>
        </w:tc>
      </w:tr>
    </w:tbl>
    <w:p w14:paraId="235F4165" w14:textId="77777777" w:rsidR="009B2F5A" w:rsidRPr="00EA0AE9" w:rsidRDefault="009B2F5A">
      <w:pPr>
        <w:spacing w:before="60" w:after="60"/>
      </w:pPr>
    </w:p>
    <w:p w14:paraId="235F4166" w14:textId="77777777" w:rsidR="009B2F5A" w:rsidRPr="00EA0AE9" w:rsidRDefault="009B2F5A">
      <w:pPr>
        <w:pStyle w:val="Heading1"/>
        <w:rPr>
          <w:rFonts w:ascii="Times New Roman" w:hAnsi="Times New Roman"/>
        </w:rPr>
      </w:pPr>
      <w:r w:rsidRPr="00EA0AE9">
        <w:rPr>
          <w:rFonts w:ascii="Times New Roman" w:hAnsi="Times New Roman"/>
        </w:rPr>
        <w:br w:type="page"/>
      </w:r>
    </w:p>
    <w:p w14:paraId="235F4167" w14:textId="77777777" w:rsidR="009B2F5A" w:rsidRPr="00EA0AE9"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EA0AE9" w:rsidRPr="00EA0AE9" w14:paraId="235F4169" w14:textId="77777777">
        <w:trPr>
          <w:trHeight w:val="630"/>
        </w:trPr>
        <w:tc>
          <w:tcPr>
            <w:tcW w:w="9752" w:type="dxa"/>
            <w:gridSpan w:val="3"/>
            <w:tcBorders>
              <w:top w:val="nil"/>
              <w:left w:val="nil"/>
              <w:bottom w:val="nil"/>
              <w:right w:val="nil"/>
            </w:tcBorders>
            <w:vAlign w:val="center"/>
          </w:tcPr>
          <w:p w14:paraId="235F4168" w14:textId="02271BC9" w:rsidR="009B2F5A" w:rsidRPr="00EA0AE9" w:rsidRDefault="009B2F5A" w:rsidP="00EA0AE9">
            <w:pPr>
              <w:pStyle w:val="VBALessonTopicTitle"/>
              <w:rPr>
                <w:rFonts w:ascii="Times New Roman" w:hAnsi="Times New Roman"/>
                <w:color w:val="auto"/>
              </w:rPr>
            </w:pPr>
            <w:bookmarkStart w:id="21" w:name="_Toc441732656"/>
            <w:r w:rsidRPr="00EA0AE9">
              <w:rPr>
                <w:rFonts w:ascii="Times New Roman" w:hAnsi="Times New Roman"/>
                <w:color w:val="auto"/>
              </w:rPr>
              <w:t xml:space="preserve">Introduction to </w:t>
            </w:r>
            <w:r w:rsidR="00EA0AE9">
              <w:rPr>
                <w:rFonts w:ascii="Times New Roman" w:hAnsi="Times New Roman"/>
                <w:color w:val="auto"/>
              </w:rPr>
              <w:t>Rating Analysis</w:t>
            </w:r>
            <w:bookmarkEnd w:id="21"/>
          </w:p>
        </w:tc>
      </w:tr>
      <w:tr w:rsidR="00EA0AE9" w:rsidRPr="00EA0AE9" w14:paraId="235F416F" w14:textId="77777777">
        <w:trPr>
          <w:trHeight w:val="1003"/>
        </w:trPr>
        <w:tc>
          <w:tcPr>
            <w:tcW w:w="2528" w:type="dxa"/>
            <w:gridSpan w:val="2"/>
            <w:tcBorders>
              <w:top w:val="nil"/>
              <w:left w:val="nil"/>
              <w:bottom w:val="nil"/>
              <w:right w:val="nil"/>
            </w:tcBorders>
          </w:tcPr>
          <w:p w14:paraId="235F416A" w14:textId="77777777" w:rsidR="009B2F5A" w:rsidRPr="00EA0AE9" w:rsidRDefault="009B2F5A">
            <w:pPr>
              <w:pStyle w:val="VBALevel1Heading"/>
            </w:pPr>
            <w:r w:rsidRPr="00EA0AE9">
              <w:t>INSTRUCTOR INTRODUCTION</w:t>
            </w:r>
          </w:p>
        </w:tc>
        <w:tc>
          <w:tcPr>
            <w:tcW w:w="7224" w:type="dxa"/>
            <w:tcBorders>
              <w:top w:val="nil"/>
              <w:left w:val="nil"/>
              <w:bottom w:val="nil"/>
              <w:right w:val="nil"/>
            </w:tcBorders>
          </w:tcPr>
          <w:p w14:paraId="235F416B" w14:textId="77777777" w:rsidR="009B2F5A" w:rsidRPr="00EA0AE9" w:rsidRDefault="009B2F5A">
            <w:pPr>
              <w:pStyle w:val="VBABodyText"/>
              <w:rPr>
                <w:color w:val="auto"/>
              </w:rPr>
            </w:pPr>
            <w:r w:rsidRPr="00EA0AE9">
              <w:rPr>
                <w:color w:val="auto"/>
              </w:rPr>
              <w:t>Complete the following:</w:t>
            </w:r>
          </w:p>
          <w:p w14:paraId="235F416C" w14:textId="77777777" w:rsidR="009B2F5A" w:rsidRPr="00EA0AE9" w:rsidRDefault="009B2F5A">
            <w:pPr>
              <w:pStyle w:val="VBAFirstLevelBullet"/>
            </w:pPr>
            <w:r w:rsidRPr="00EA0AE9">
              <w:t>Introduce yourself</w:t>
            </w:r>
          </w:p>
          <w:p w14:paraId="235F416D" w14:textId="77777777" w:rsidR="009B2F5A" w:rsidRPr="00EA0AE9" w:rsidRDefault="009B2F5A">
            <w:pPr>
              <w:pStyle w:val="VBAFirstLevelBullet"/>
            </w:pPr>
            <w:r w:rsidRPr="00EA0AE9">
              <w:t>Orient learners to the facilities</w:t>
            </w:r>
          </w:p>
          <w:p w14:paraId="235F416E" w14:textId="77777777" w:rsidR="009B2F5A" w:rsidRPr="00EA0AE9" w:rsidRDefault="009B2F5A">
            <w:pPr>
              <w:pStyle w:val="VBAFirstLevelBullet"/>
            </w:pPr>
            <w:r w:rsidRPr="00EA0AE9">
              <w:t>Ensure that all learners have the required handouts</w:t>
            </w:r>
          </w:p>
        </w:tc>
      </w:tr>
      <w:tr w:rsidR="00EA0AE9" w:rsidRPr="00EA0AE9" w14:paraId="235F4172" w14:textId="77777777">
        <w:trPr>
          <w:trHeight w:val="639"/>
        </w:trPr>
        <w:tc>
          <w:tcPr>
            <w:tcW w:w="2528" w:type="dxa"/>
            <w:gridSpan w:val="2"/>
            <w:tcBorders>
              <w:top w:val="nil"/>
              <w:left w:val="nil"/>
              <w:bottom w:val="nil"/>
              <w:right w:val="nil"/>
            </w:tcBorders>
          </w:tcPr>
          <w:p w14:paraId="235F4170" w14:textId="77777777" w:rsidR="009B2F5A" w:rsidRPr="00EA0AE9" w:rsidRDefault="009B2F5A">
            <w:pPr>
              <w:pStyle w:val="VBALevel1Heading"/>
              <w:spacing w:after="120"/>
            </w:pPr>
            <w:r w:rsidRPr="00EA0AE9">
              <w:t>time required</w:t>
            </w:r>
          </w:p>
        </w:tc>
        <w:tc>
          <w:tcPr>
            <w:tcW w:w="7224" w:type="dxa"/>
            <w:tcBorders>
              <w:top w:val="nil"/>
              <w:left w:val="nil"/>
              <w:bottom w:val="nil"/>
              <w:right w:val="nil"/>
            </w:tcBorders>
          </w:tcPr>
          <w:p w14:paraId="235F4171" w14:textId="359D3494" w:rsidR="009B2F5A" w:rsidRPr="00EA0AE9" w:rsidRDefault="00EA0AE9">
            <w:pPr>
              <w:pStyle w:val="VBATimeReq"/>
              <w:spacing w:after="120"/>
              <w:rPr>
                <w:color w:val="auto"/>
              </w:rPr>
            </w:pPr>
            <w:r>
              <w:rPr>
                <w:color w:val="auto"/>
              </w:rPr>
              <w:t>0.25</w:t>
            </w:r>
            <w:r w:rsidR="009B2F5A" w:rsidRPr="00EA0AE9">
              <w:rPr>
                <w:color w:val="auto"/>
              </w:rPr>
              <w:t xml:space="preserve"> </w:t>
            </w:r>
            <w:r>
              <w:rPr>
                <w:color w:val="auto"/>
              </w:rPr>
              <w:t>hour</w:t>
            </w:r>
          </w:p>
        </w:tc>
      </w:tr>
      <w:tr w:rsidR="00EA0AE9" w:rsidRPr="00EA0AE9" w14:paraId="235F417A" w14:textId="77777777">
        <w:trPr>
          <w:trHeight w:val="1075"/>
        </w:trPr>
        <w:tc>
          <w:tcPr>
            <w:tcW w:w="2528" w:type="dxa"/>
            <w:gridSpan w:val="2"/>
            <w:tcBorders>
              <w:top w:val="nil"/>
              <w:left w:val="nil"/>
              <w:bottom w:val="nil"/>
              <w:right w:val="nil"/>
            </w:tcBorders>
          </w:tcPr>
          <w:p w14:paraId="235F4173" w14:textId="77777777" w:rsidR="009B2F5A" w:rsidRPr="00EA0AE9" w:rsidRDefault="009B2F5A">
            <w:pPr>
              <w:pStyle w:val="VBALevel1Heading"/>
            </w:pPr>
            <w:bookmarkStart w:id="22" w:name="_Toc269888401"/>
            <w:bookmarkStart w:id="23" w:name="_Toc269888744"/>
            <w:r w:rsidRPr="00EA0AE9">
              <w:t>Purpose of Lesson</w:t>
            </w:r>
            <w:bookmarkEnd w:id="22"/>
            <w:bookmarkEnd w:id="23"/>
          </w:p>
          <w:p w14:paraId="235F4174" w14:textId="77777777" w:rsidR="009B2F5A" w:rsidRPr="00EA0AE9" w:rsidRDefault="009B2F5A">
            <w:pPr>
              <w:pStyle w:val="VBAInstructorExplanation"/>
              <w:rPr>
                <w:b/>
                <w:bCs/>
                <w:color w:val="auto"/>
              </w:rPr>
            </w:pPr>
            <w:r w:rsidRPr="00EA0AE9">
              <w:rPr>
                <w:color w:val="auto"/>
              </w:rPr>
              <w:t>Explain the following:</w:t>
            </w:r>
          </w:p>
          <w:p w14:paraId="235F4175" w14:textId="77777777" w:rsidR="009B2F5A" w:rsidRPr="00EA0AE9" w:rsidRDefault="009B2F5A">
            <w:pPr>
              <w:pStyle w:val="Header"/>
              <w:spacing w:before="240" w:after="240"/>
              <w:rPr>
                <w:bCs/>
                <w:caps/>
                <w:szCs w:val="24"/>
              </w:rPr>
            </w:pPr>
          </w:p>
        </w:tc>
        <w:tc>
          <w:tcPr>
            <w:tcW w:w="7224" w:type="dxa"/>
            <w:tcBorders>
              <w:top w:val="nil"/>
              <w:left w:val="nil"/>
              <w:bottom w:val="nil"/>
              <w:right w:val="nil"/>
            </w:tcBorders>
          </w:tcPr>
          <w:p w14:paraId="235F4176" w14:textId="70923F8C" w:rsidR="009B2F5A" w:rsidRPr="00EA0AE9" w:rsidRDefault="009B2F5A">
            <w:pPr>
              <w:pStyle w:val="VBABodyText"/>
              <w:rPr>
                <w:b/>
                <w:color w:val="auto"/>
              </w:rPr>
            </w:pPr>
            <w:r w:rsidRPr="00EA0AE9">
              <w:rPr>
                <w:color w:val="auto"/>
              </w:rPr>
              <w:t xml:space="preserve">This lesson is intended to </w:t>
            </w:r>
            <w:r w:rsidR="00A24655">
              <w:rPr>
                <w:color w:val="auto"/>
              </w:rPr>
              <w:t>identify the process of weighing evidence.</w:t>
            </w:r>
            <w:r w:rsidRPr="00EA0AE9">
              <w:rPr>
                <w:color w:val="auto"/>
              </w:rPr>
              <w:t xml:space="preserve"> This lesson will contain discussions and exercises that will allow you to gain a better understanding of: </w:t>
            </w:r>
          </w:p>
          <w:p w14:paraId="55DACC46" w14:textId="56141D02" w:rsidR="00EA0AE9" w:rsidRDefault="009C2595" w:rsidP="00EA0AE9">
            <w:pPr>
              <w:pStyle w:val="VBAFirstLevelBullet"/>
            </w:pPr>
            <w:r>
              <w:t xml:space="preserve">bases </w:t>
            </w:r>
            <w:r w:rsidR="008471E3">
              <w:t xml:space="preserve">of </w:t>
            </w:r>
            <w:r w:rsidR="00EA0AE9">
              <w:t xml:space="preserve">Weighing Evidence </w:t>
            </w:r>
          </w:p>
          <w:p w14:paraId="45DB8926" w14:textId="7B9B0FE1" w:rsidR="00EA0AE9" w:rsidRDefault="009C2595" w:rsidP="00EA0AE9">
            <w:pPr>
              <w:pStyle w:val="VBAFirstLevelBullet"/>
            </w:pPr>
            <w:r>
              <w:t xml:space="preserve">evidentiary </w:t>
            </w:r>
            <w:r w:rsidR="006B6344">
              <w:t>c</w:t>
            </w:r>
            <w:r w:rsidR="008471E3">
              <w:t>oncepts</w:t>
            </w:r>
          </w:p>
          <w:p w14:paraId="235F4179" w14:textId="4725C0E8" w:rsidR="009B2F5A" w:rsidRPr="00EA0AE9" w:rsidRDefault="009C2595" w:rsidP="00EA0AE9">
            <w:pPr>
              <w:pStyle w:val="VBAFirstLevelBullet"/>
            </w:pPr>
            <w:r>
              <w:t xml:space="preserve">making </w:t>
            </w:r>
            <w:r w:rsidR="008471E3">
              <w:t>Evidentiary Decisions</w:t>
            </w:r>
          </w:p>
        </w:tc>
      </w:tr>
      <w:tr w:rsidR="00EA0AE9" w:rsidRPr="00EA0AE9" w14:paraId="235F4184" w14:textId="77777777">
        <w:trPr>
          <w:trHeight w:val="212"/>
        </w:trPr>
        <w:tc>
          <w:tcPr>
            <w:tcW w:w="2520" w:type="dxa"/>
            <w:tcBorders>
              <w:top w:val="nil"/>
              <w:left w:val="nil"/>
              <w:bottom w:val="nil"/>
              <w:right w:val="nil"/>
            </w:tcBorders>
          </w:tcPr>
          <w:p w14:paraId="235F417B" w14:textId="7E5337C8" w:rsidR="009B2F5A" w:rsidRPr="00EA0AE9" w:rsidRDefault="009B2F5A">
            <w:pPr>
              <w:pStyle w:val="VBALevel1Heading"/>
            </w:pPr>
            <w:bookmarkStart w:id="24" w:name="_Toc269888402"/>
            <w:bookmarkStart w:id="25" w:name="_Toc269888745"/>
            <w:r w:rsidRPr="00EA0AE9">
              <w:t>Lesson Objectives</w:t>
            </w:r>
            <w:bookmarkEnd w:id="24"/>
            <w:bookmarkEnd w:id="25"/>
          </w:p>
          <w:p w14:paraId="235F417C" w14:textId="77777777" w:rsidR="009B2F5A" w:rsidRPr="00EA0AE9" w:rsidRDefault="009B2F5A">
            <w:pPr>
              <w:pStyle w:val="VBAInstructorExplanation"/>
              <w:rPr>
                <w:color w:val="auto"/>
              </w:rPr>
            </w:pPr>
            <w:r w:rsidRPr="00EA0AE9">
              <w:rPr>
                <w:color w:val="auto"/>
              </w:rPr>
              <w:t>Discuss the following:</w:t>
            </w:r>
          </w:p>
          <w:p w14:paraId="235F417D" w14:textId="1BADDC4F" w:rsidR="009B2F5A" w:rsidRPr="00EA0AE9" w:rsidRDefault="009B2F5A">
            <w:pPr>
              <w:pStyle w:val="VBASlideNumber"/>
              <w:rPr>
                <w:color w:val="auto"/>
              </w:rPr>
            </w:pPr>
            <w:r w:rsidRPr="00EA0AE9">
              <w:rPr>
                <w:color w:val="auto"/>
              </w:rPr>
              <w:t xml:space="preserve">Slide </w:t>
            </w:r>
            <w:r w:rsidR="00060FBE">
              <w:rPr>
                <w:color w:val="auto"/>
              </w:rPr>
              <w:t>2</w:t>
            </w:r>
          </w:p>
          <w:p w14:paraId="235F417E" w14:textId="22640F55" w:rsidR="009B2F5A" w:rsidRPr="00EA0AE9" w:rsidRDefault="009B2F5A" w:rsidP="00577176">
            <w:pPr>
              <w:pStyle w:val="VBAHandoutNumber"/>
              <w:rPr>
                <w:color w:val="auto"/>
              </w:rPr>
            </w:pPr>
            <w:r w:rsidRPr="00EA0AE9">
              <w:rPr>
                <w:color w:val="auto"/>
              </w:rPr>
              <w:br/>
              <w:t xml:space="preserve"> Handout  </w:t>
            </w:r>
            <w:r w:rsidR="00577176">
              <w:rPr>
                <w:color w:val="auto"/>
              </w:rPr>
              <w:t>2</w:t>
            </w:r>
          </w:p>
        </w:tc>
        <w:tc>
          <w:tcPr>
            <w:tcW w:w="7232" w:type="dxa"/>
            <w:gridSpan w:val="2"/>
            <w:tcBorders>
              <w:top w:val="nil"/>
              <w:left w:val="nil"/>
              <w:bottom w:val="nil"/>
              <w:right w:val="nil"/>
            </w:tcBorders>
          </w:tcPr>
          <w:p w14:paraId="390E91F7" w14:textId="77777777" w:rsidR="00EA0AE9" w:rsidRPr="00EA0AE9" w:rsidRDefault="00EA0AE9" w:rsidP="00EA0AE9">
            <w:pPr>
              <w:pStyle w:val="VBABodyText"/>
              <w:rPr>
                <w:color w:val="auto"/>
              </w:rPr>
            </w:pPr>
            <w:r w:rsidRPr="00EA0AE9">
              <w:rPr>
                <w:color w:val="auto"/>
              </w:rPr>
              <w:t>In order to accomplish the purpose of this lesson, the RVSR will be required to accomplish the following lesson objectives.</w:t>
            </w:r>
          </w:p>
          <w:p w14:paraId="7F027D3B" w14:textId="77777777" w:rsidR="00EA0AE9" w:rsidRPr="00EA0AE9" w:rsidRDefault="00EA0AE9" w:rsidP="00EA0AE9">
            <w:pPr>
              <w:pStyle w:val="VBABodyText"/>
              <w:rPr>
                <w:color w:val="auto"/>
              </w:rPr>
            </w:pPr>
            <w:r w:rsidRPr="00EA0AE9">
              <w:rPr>
                <w:color w:val="auto"/>
              </w:rPr>
              <w:t>The RVSR  will be able to:</w:t>
            </w:r>
          </w:p>
          <w:p w14:paraId="04501EA8" w14:textId="77777777" w:rsidR="00060FBE" w:rsidRPr="00060FBE" w:rsidRDefault="00060FBE" w:rsidP="00060FBE">
            <w:pPr>
              <w:pStyle w:val="VBABodyText"/>
              <w:numPr>
                <w:ilvl w:val="0"/>
                <w:numId w:val="39"/>
              </w:numPr>
              <w:spacing w:after="120"/>
              <w:rPr>
                <w:color w:val="auto"/>
              </w:rPr>
            </w:pPr>
            <w:r w:rsidRPr="00060FBE">
              <w:rPr>
                <w:color w:val="auto"/>
              </w:rPr>
              <w:t>Identify guidelines for weighing evidence</w:t>
            </w:r>
          </w:p>
          <w:p w14:paraId="10B4BA86" w14:textId="570A765C" w:rsidR="00060FBE" w:rsidRPr="00060FBE" w:rsidRDefault="00060FBE" w:rsidP="00060FBE">
            <w:pPr>
              <w:pStyle w:val="VBABodyText"/>
              <w:numPr>
                <w:ilvl w:val="0"/>
                <w:numId w:val="39"/>
              </w:numPr>
              <w:spacing w:after="120"/>
              <w:rPr>
                <w:color w:val="auto"/>
              </w:rPr>
            </w:pPr>
            <w:r w:rsidRPr="00060FBE">
              <w:rPr>
                <w:color w:val="auto"/>
              </w:rPr>
              <w:t>Identify the major concept</w:t>
            </w:r>
            <w:r>
              <w:rPr>
                <w:color w:val="auto"/>
              </w:rPr>
              <w:t>s involved in weighing evidence</w:t>
            </w:r>
          </w:p>
          <w:p w14:paraId="00644F98" w14:textId="77777777" w:rsidR="00060FBE" w:rsidRPr="00060FBE" w:rsidRDefault="00060FBE" w:rsidP="00060FBE">
            <w:pPr>
              <w:pStyle w:val="VBABodyText"/>
              <w:numPr>
                <w:ilvl w:val="0"/>
                <w:numId w:val="39"/>
              </w:numPr>
              <w:spacing w:after="120"/>
              <w:rPr>
                <w:color w:val="auto"/>
              </w:rPr>
            </w:pPr>
            <w:r w:rsidRPr="00060FBE">
              <w:rPr>
                <w:color w:val="auto"/>
              </w:rPr>
              <w:t xml:space="preserve">Identify different types of evidence and the </w:t>
            </w:r>
            <w:proofErr w:type="spellStart"/>
            <w:r w:rsidRPr="00060FBE">
              <w:rPr>
                <w:color w:val="auto"/>
              </w:rPr>
              <w:t>principles</w:t>
            </w:r>
            <w:proofErr w:type="spellEnd"/>
            <w:r w:rsidRPr="00060FBE">
              <w:rPr>
                <w:color w:val="auto"/>
              </w:rPr>
              <w:t xml:space="preserve"> involved in decision making</w:t>
            </w:r>
          </w:p>
          <w:p w14:paraId="235F4183" w14:textId="234E3471" w:rsidR="009B2F5A" w:rsidRPr="00EA0AE9" w:rsidRDefault="00060FBE" w:rsidP="00060FBE">
            <w:pPr>
              <w:pStyle w:val="VBAFirstLevelBullet"/>
              <w:numPr>
                <w:ilvl w:val="0"/>
                <w:numId w:val="39"/>
              </w:numPr>
              <w:spacing w:before="120" w:after="120"/>
            </w:pPr>
            <w:r w:rsidRPr="00060FBE">
              <w:t>Write clear and concise rating decision narratives discussing the evidence reviewed in the decision process</w:t>
            </w:r>
          </w:p>
        </w:tc>
      </w:tr>
      <w:tr w:rsidR="00EA0AE9" w:rsidRPr="00EA0AE9" w14:paraId="235F4187" w14:textId="77777777">
        <w:trPr>
          <w:trHeight w:val="212"/>
        </w:trPr>
        <w:tc>
          <w:tcPr>
            <w:tcW w:w="2520" w:type="dxa"/>
            <w:tcBorders>
              <w:top w:val="nil"/>
              <w:left w:val="nil"/>
              <w:bottom w:val="nil"/>
              <w:right w:val="nil"/>
            </w:tcBorders>
          </w:tcPr>
          <w:p w14:paraId="235F4185" w14:textId="77777777" w:rsidR="009B2F5A" w:rsidRPr="00EA0AE9" w:rsidRDefault="009B2F5A">
            <w:pPr>
              <w:pStyle w:val="VBAInstructorExplanation"/>
              <w:rPr>
                <w:color w:val="auto"/>
              </w:rPr>
            </w:pPr>
            <w:r w:rsidRPr="00EA0AE9">
              <w:rPr>
                <w:color w:val="auto"/>
              </w:rPr>
              <w:t xml:space="preserve">Explain </w:t>
            </w:r>
            <w:r w:rsidRPr="00EA0AE9">
              <w:rPr>
                <w:color w:val="auto"/>
                <w:szCs w:val="24"/>
              </w:rPr>
              <w:t>the</w:t>
            </w:r>
            <w:r w:rsidRPr="00EA0AE9">
              <w:rPr>
                <w:color w:val="auto"/>
              </w:rPr>
              <w:t xml:space="preserve"> following:</w:t>
            </w:r>
          </w:p>
        </w:tc>
        <w:tc>
          <w:tcPr>
            <w:tcW w:w="7232" w:type="dxa"/>
            <w:gridSpan w:val="2"/>
            <w:tcBorders>
              <w:top w:val="nil"/>
              <w:left w:val="nil"/>
              <w:bottom w:val="nil"/>
              <w:right w:val="nil"/>
            </w:tcBorders>
          </w:tcPr>
          <w:p w14:paraId="235F4186" w14:textId="77777777" w:rsidR="009B2F5A" w:rsidRPr="00EA0AE9" w:rsidRDefault="009B2F5A">
            <w:pPr>
              <w:pStyle w:val="VBABodyText"/>
              <w:rPr>
                <w:color w:val="auto"/>
                <w:szCs w:val="24"/>
              </w:rPr>
            </w:pPr>
            <w:r w:rsidRPr="00EA0AE9">
              <w:rPr>
                <w:color w:val="auto"/>
              </w:rPr>
              <w:t xml:space="preserve">Each learning objective is covered in the associated topic. At the conclusion of the lesson, the learning objectives will be reviewed. </w:t>
            </w:r>
          </w:p>
        </w:tc>
      </w:tr>
      <w:tr w:rsidR="00EA0AE9" w:rsidRPr="00EA0AE9" w14:paraId="235F418A" w14:textId="77777777">
        <w:trPr>
          <w:trHeight w:val="212"/>
        </w:trPr>
        <w:tc>
          <w:tcPr>
            <w:tcW w:w="2520" w:type="dxa"/>
            <w:tcBorders>
              <w:top w:val="nil"/>
              <w:left w:val="nil"/>
              <w:bottom w:val="nil"/>
              <w:right w:val="nil"/>
            </w:tcBorders>
          </w:tcPr>
          <w:p w14:paraId="235F4188" w14:textId="77777777" w:rsidR="009B2F5A" w:rsidRPr="00EA0AE9" w:rsidRDefault="009B2F5A">
            <w:pPr>
              <w:pStyle w:val="VBALevel1Heading"/>
            </w:pPr>
            <w:bookmarkStart w:id="26" w:name="_Toc269888403"/>
            <w:bookmarkStart w:id="27" w:name="_Toc269888746"/>
            <w:r w:rsidRPr="00EA0AE9">
              <w:t>Motivation</w:t>
            </w:r>
            <w:bookmarkEnd w:id="26"/>
            <w:bookmarkEnd w:id="27"/>
          </w:p>
        </w:tc>
        <w:tc>
          <w:tcPr>
            <w:tcW w:w="7232" w:type="dxa"/>
            <w:gridSpan w:val="2"/>
            <w:tcBorders>
              <w:top w:val="nil"/>
              <w:left w:val="nil"/>
              <w:bottom w:val="nil"/>
              <w:right w:val="nil"/>
            </w:tcBorders>
          </w:tcPr>
          <w:p w14:paraId="235F4189" w14:textId="0BB8214D" w:rsidR="009B2F5A" w:rsidRPr="00EA0AE9" w:rsidRDefault="00EA0AE9">
            <w:pPr>
              <w:pStyle w:val="VBABodyText"/>
              <w:rPr>
                <w:color w:val="auto"/>
              </w:rPr>
            </w:pPr>
            <w:r w:rsidRPr="00EA0AE9">
              <w:rPr>
                <w:color w:val="auto"/>
              </w:rPr>
              <w:t>This lesson is designed to provide the knowledge, skills and abilities to understand weighing evidence and to apply the principles to properly weigh evidence based on law and the facts of the claim.</w:t>
            </w:r>
          </w:p>
        </w:tc>
      </w:tr>
      <w:tr w:rsidR="00EA0AE9" w:rsidRPr="00EA0AE9" w14:paraId="235F418D" w14:textId="77777777">
        <w:trPr>
          <w:trHeight w:val="212"/>
        </w:trPr>
        <w:tc>
          <w:tcPr>
            <w:tcW w:w="2520" w:type="dxa"/>
            <w:tcBorders>
              <w:top w:val="nil"/>
              <w:left w:val="nil"/>
              <w:bottom w:val="nil"/>
              <w:right w:val="nil"/>
            </w:tcBorders>
          </w:tcPr>
          <w:p w14:paraId="235F418B" w14:textId="77777777" w:rsidR="009B2F5A" w:rsidRPr="00EA0AE9" w:rsidRDefault="009B2F5A">
            <w:pPr>
              <w:pStyle w:val="VBALevel1Heading"/>
              <w:spacing w:after="120"/>
            </w:pPr>
            <w:r w:rsidRPr="00EA0AE9">
              <w:t>STAR Error code(s)</w:t>
            </w:r>
          </w:p>
        </w:tc>
        <w:tc>
          <w:tcPr>
            <w:tcW w:w="7232" w:type="dxa"/>
            <w:gridSpan w:val="2"/>
            <w:tcBorders>
              <w:top w:val="nil"/>
              <w:left w:val="nil"/>
              <w:bottom w:val="nil"/>
              <w:right w:val="nil"/>
            </w:tcBorders>
          </w:tcPr>
          <w:p w14:paraId="235F418C" w14:textId="77777777" w:rsidR="009B2F5A" w:rsidRPr="00EA0AE9" w:rsidRDefault="009B2F5A">
            <w:pPr>
              <w:pStyle w:val="VBABodyText"/>
              <w:rPr>
                <w:color w:val="auto"/>
              </w:rPr>
            </w:pPr>
            <w:r w:rsidRPr="00EA0AE9">
              <w:rPr>
                <w:color w:val="auto"/>
              </w:rPr>
              <w:t>TBD</w:t>
            </w:r>
          </w:p>
        </w:tc>
      </w:tr>
      <w:tr w:rsidR="009B2F5A" w:rsidRPr="00EA0AE9" w14:paraId="235F4196" w14:textId="77777777">
        <w:trPr>
          <w:trHeight w:val="212"/>
        </w:trPr>
        <w:tc>
          <w:tcPr>
            <w:tcW w:w="2520" w:type="dxa"/>
            <w:tcBorders>
              <w:top w:val="nil"/>
              <w:left w:val="nil"/>
              <w:bottom w:val="nil"/>
              <w:right w:val="nil"/>
            </w:tcBorders>
          </w:tcPr>
          <w:p w14:paraId="235F418E" w14:textId="2ED6CBC5" w:rsidR="009B2F5A" w:rsidRPr="00EA0AE9" w:rsidRDefault="009B2F5A">
            <w:pPr>
              <w:pStyle w:val="VBALevel1Heading"/>
            </w:pPr>
            <w:bookmarkStart w:id="28" w:name="_Toc269888405"/>
            <w:bookmarkStart w:id="29" w:name="_Toc269888748"/>
            <w:r w:rsidRPr="00EA0AE9">
              <w:t>References</w:t>
            </w:r>
            <w:bookmarkEnd w:id="28"/>
            <w:bookmarkEnd w:id="29"/>
          </w:p>
          <w:p w14:paraId="235F418F" w14:textId="5635E22D" w:rsidR="009B2F5A" w:rsidRPr="00EA0AE9" w:rsidRDefault="009B2F5A">
            <w:pPr>
              <w:pStyle w:val="VBASlideNumber"/>
              <w:rPr>
                <w:color w:val="auto"/>
              </w:rPr>
            </w:pPr>
            <w:r w:rsidRPr="00EA0AE9">
              <w:rPr>
                <w:color w:val="auto"/>
              </w:rPr>
              <w:t xml:space="preserve">Slide </w:t>
            </w:r>
            <w:r w:rsidR="00060FBE">
              <w:rPr>
                <w:color w:val="auto"/>
              </w:rPr>
              <w:t>3&amp;4</w:t>
            </w:r>
            <w:r w:rsidRPr="00EA0AE9">
              <w:rPr>
                <w:color w:val="auto"/>
              </w:rPr>
              <w:br/>
            </w:r>
          </w:p>
          <w:p w14:paraId="235F4190" w14:textId="4DCB4700" w:rsidR="009B2F5A" w:rsidRPr="00EA0AE9" w:rsidRDefault="009B2F5A" w:rsidP="00577176">
            <w:pPr>
              <w:pStyle w:val="VBAHandoutNumber"/>
              <w:rPr>
                <w:color w:val="auto"/>
              </w:rPr>
            </w:pPr>
            <w:r w:rsidRPr="00EA0AE9">
              <w:rPr>
                <w:color w:val="auto"/>
              </w:rPr>
              <w:lastRenderedPageBreak/>
              <w:t xml:space="preserve"> Handout </w:t>
            </w:r>
            <w:r w:rsidR="00577176">
              <w:rPr>
                <w:color w:val="auto"/>
              </w:rPr>
              <w:t>3</w:t>
            </w:r>
          </w:p>
        </w:tc>
        <w:tc>
          <w:tcPr>
            <w:tcW w:w="7232" w:type="dxa"/>
            <w:gridSpan w:val="2"/>
            <w:tcBorders>
              <w:top w:val="nil"/>
              <w:left w:val="nil"/>
              <w:bottom w:val="nil"/>
              <w:right w:val="nil"/>
            </w:tcBorders>
          </w:tcPr>
          <w:p w14:paraId="235F4191" w14:textId="77777777" w:rsidR="009B2F5A" w:rsidRPr="00EA0AE9" w:rsidRDefault="009B2F5A">
            <w:pPr>
              <w:pStyle w:val="VBABodyText"/>
              <w:rPr>
                <w:noProof/>
                <w:color w:val="auto"/>
              </w:rPr>
            </w:pPr>
            <w:r w:rsidRPr="00EA0AE9">
              <w:rPr>
                <w:noProof/>
                <w:color w:val="auto"/>
              </w:rPr>
              <w:lastRenderedPageBreak/>
              <w:t>Explain where these references are located in the workplace.</w:t>
            </w:r>
          </w:p>
          <w:p w14:paraId="06D16F78" w14:textId="6A484857" w:rsidR="00EC4B58" w:rsidRPr="00EA0AE9" w:rsidRDefault="00EC4B58" w:rsidP="00EC4B58">
            <w:pPr>
              <w:pStyle w:val="VBABodyText"/>
              <w:spacing w:before="0" w:after="0"/>
              <w:rPr>
                <w:b/>
                <w:noProof/>
                <w:color w:val="auto"/>
              </w:rPr>
            </w:pPr>
            <w:r w:rsidRPr="00EA0AE9">
              <w:rPr>
                <w:noProof/>
                <w:color w:val="auto"/>
              </w:rPr>
              <w:t xml:space="preserve">All M21-1 </w:t>
            </w:r>
            <w:r w:rsidR="00CA3852" w:rsidRPr="00EA0AE9">
              <w:rPr>
                <w:noProof/>
                <w:color w:val="auto"/>
              </w:rPr>
              <w:t xml:space="preserve">references </w:t>
            </w:r>
            <w:r w:rsidRPr="00EA0AE9">
              <w:rPr>
                <w:noProof/>
                <w:color w:val="auto"/>
              </w:rPr>
              <w:t xml:space="preserve">are found in the </w:t>
            </w:r>
            <w:hyperlink r:id="rId12" w:history="1">
              <w:r w:rsidRPr="00EA0AE9">
                <w:rPr>
                  <w:rStyle w:val="Hyperlink"/>
                  <w:noProof/>
                  <w:color w:val="auto"/>
                </w:rPr>
                <w:t>Live Manual Website</w:t>
              </w:r>
            </w:hyperlink>
            <w:r w:rsidRPr="00EA0AE9">
              <w:rPr>
                <w:noProof/>
                <w:color w:val="auto"/>
              </w:rPr>
              <w:t>.</w:t>
            </w:r>
          </w:p>
          <w:p w14:paraId="1EC83DA7" w14:textId="04D34696" w:rsidR="00500A1C" w:rsidRPr="00500A1C" w:rsidRDefault="00396143" w:rsidP="00500A1C">
            <w:pPr>
              <w:pStyle w:val="VBAFirstLevelBullet"/>
            </w:pPr>
            <w:hyperlink r:id="rId13" w:history="1">
              <w:r w:rsidR="00500A1C" w:rsidRPr="009C2595">
                <w:rPr>
                  <w:rStyle w:val="Hyperlink"/>
                </w:rPr>
                <w:t>38 CFR 3.102 Reasonable Doubt</w:t>
              </w:r>
            </w:hyperlink>
          </w:p>
          <w:p w14:paraId="6A584F54" w14:textId="39811371" w:rsidR="0040068B" w:rsidRDefault="00396143" w:rsidP="0040068B">
            <w:pPr>
              <w:pStyle w:val="VBAFirstLevelBullet"/>
            </w:pPr>
            <w:hyperlink r:id="rId14" w:history="1">
              <w:r w:rsidR="0040068B" w:rsidRPr="0040068B">
                <w:rPr>
                  <w:rStyle w:val="Hyperlink"/>
                </w:rPr>
                <w:t>38 CFR 4.2 Interpretation of Exam Reports</w:t>
              </w:r>
            </w:hyperlink>
          </w:p>
          <w:p w14:paraId="02F1EA44" w14:textId="356C37AF" w:rsidR="00500A1C" w:rsidRDefault="00396143" w:rsidP="00500A1C">
            <w:pPr>
              <w:pStyle w:val="VBAFirstLevelBullet"/>
            </w:pPr>
            <w:hyperlink r:id="rId15" w:anchor="se38.1.4_13" w:history="1">
              <w:r w:rsidR="00500A1C" w:rsidRPr="0040068B">
                <w:rPr>
                  <w:rStyle w:val="Hyperlink"/>
                </w:rPr>
                <w:t>38 CFR 4.3 Resolution of Reasonable Doubt</w:t>
              </w:r>
            </w:hyperlink>
          </w:p>
          <w:p w14:paraId="28397425" w14:textId="21B54D3C" w:rsidR="0040068B" w:rsidRPr="00500A1C" w:rsidRDefault="00396143" w:rsidP="0040068B">
            <w:pPr>
              <w:pStyle w:val="VBAFirstLevelBullet"/>
            </w:pPr>
            <w:hyperlink r:id="rId16" w:anchor="se38.1.4_16" w:history="1">
              <w:r w:rsidR="0040068B" w:rsidRPr="0040068B">
                <w:rPr>
                  <w:rStyle w:val="Hyperlink"/>
                </w:rPr>
                <w:t>38 CFR 4.6 Evaluation of Evidence</w:t>
              </w:r>
            </w:hyperlink>
          </w:p>
          <w:p w14:paraId="10FA03E7" w14:textId="732CA613" w:rsidR="0040068B" w:rsidRPr="0040068B" w:rsidRDefault="00396143" w:rsidP="0040068B">
            <w:pPr>
              <w:pStyle w:val="VBAFirstLevelBullet"/>
            </w:pPr>
            <w:hyperlink r:id="rId17" w:anchor="se38.1.4_17" w:history="1">
              <w:r w:rsidR="0040068B" w:rsidRPr="0040068B">
                <w:rPr>
                  <w:rStyle w:val="Hyperlink"/>
                </w:rPr>
                <w:t>38 CFR 4.7 Higher of Two Evaluations</w:t>
              </w:r>
            </w:hyperlink>
          </w:p>
          <w:p w14:paraId="28FA5FC9" w14:textId="2B04EE83" w:rsidR="0040068B" w:rsidRPr="00500A1C" w:rsidRDefault="00396143" w:rsidP="0040068B">
            <w:pPr>
              <w:pStyle w:val="VBAFirstLevelBullet"/>
            </w:pPr>
            <w:hyperlink r:id="rId18" w:anchor="se38.1.4_123" w:history="1">
              <w:r w:rsidR="0040068B" w:rsidRPr="0040068B">
                <w:rPr>
                  <w:rStyle w:val="Hyperlink"/>
                </w:rPr>
                <w:t>38 CFR 4.23 Attitude of Rating Officers</w:t>
              </w:r>
            </w:hyperlink>
          </w:p>
          <w:p w14:paraId="15B4E7D5" w14:textId="1F81DE5A" w:rsidR="00500A1C" w:rsidRPr="00500A1C" w:rsidRDefault="00396143" w:rsidP="00500A1C">
            <w:pPr>
              <w:pStyle w:val="VBAFirstLevelBullet"/>
            </w:pPr>
            <w:hyperlink r:id="rId19" w:anchor="se38.1.3_1159" w:history="1">
              <w:r w:rsidR="00500A1C" w:rsidRPr="0040068B">
                <w:rPr>
                  <w:rStyle w:val="Hyperlink"/>
                </w:rPr>
                <w:t>38 CFR 3.159 Duty to Assist</w:t>
              </w:r>
            </w:hyperlink>
          </w:p>
          <w:p w14:paraId="0B2C6D98" w14:textId="74518E6C" w:rsidR="00500A1C" w:rsidRPr="00500A1C" w:rsidRDefault="00396143" w:rsidP="00500A1C">
            <w:pPr>
              <w:pStyle w:val="VBAFirstLevelBullet"/>
            </w:pPr>
            <w:hyperlink r:id="rId20" w:anchor="se38.1.3_1303" w:history="1">
              <w:r w:rsidR="00500A1C" w:rsidRPr="0040068B">
                <w:rPr>
                  <w:rStyle w:val="Hyperlink"/>
                </w:rPr>
                <w:t>38 CFR 3.303 Principles of Service Connection</w:t>
              </w:r>
            </w:hyperlink>
          </w:p>
          <w:p w14:paraId="1EA43ACE" w14:textId="76FEFFC9" w:rsidR="00500A1C" w:rsidRPr="00500A1C" w:rsidRDefault="00396143" w:rsidP="00500A1C">
            <w:pPr>
              <w:pStyle w:val="VBAFirstLevelBullet"/>
            </w:pPr>
            <w:hyperlink r:id="rId21" w:anchor="se38.1.3_1304" w:history="1">
              <w:r w:rsidR="00500A1C" w:rsidRPr="0040068B">
                <w:rPr>
                  <w:rStyle w:val="Hyperlink"/>
                </w:rPr>
                <w:t>38 CFR 3.304 Direct Service Connection</w:t>
              </w:r>
            </w:hyperlink>
          </w:p>
          <w:p w14:paraId="0A13AC6C" w14:textId="53C2890C" w:rsidR="00500A1C" w:rsidRDefault="00396143" w:rsidP="00500A1C">
            <w:pPr>
              <w:pStyle w:val="VBAFirstLevelBullet"/>
            </w:pPr>
            <w:hyperlink r:id="rId22" w:anchor="se38.1.3_1328" w:history="1">
              <w:r w:rsidR="00500A1C" w:rsidRPr="0040068B">
                <w:rPr>
                  <w:rStyle w:val="Hyperlink"/>
                </w:rPr>
                <w:t>38 CFR 3.328 Independent Medical Opinions</w:t>
              </w:r>
            </w:hyperlink>
          </w:p>
          <w:p w14:paraId="2FCA59C4" w14:textId="4CD2E750" w:rsidR="00500A1C" w:rsidRPr="00500A1C" w:rsidRDefault="00396143" w:rsidP="00500A1C">
            <w:pPr>
              <w:pStyle w:val="VBAFirstLevelBullet"/>
            </w:pPr>
            <w:hyperlink r:id="rId23" w:anchor="!agent/portal/554400000001034/article/554400000014203/M21-1-Part-III-Subpart-iv-Chapter-5" w:history="1">
              <w:r w:rsidR="00500A1C" w:rsidRPr="0040068B">
                <w:rPr>
                  <w:rStyle w:val="Hyperlink"/>
                </w:rPr>
                <w:t>M21-1</w:t>
              </w:r>
              <w:r w:rsidR="0040068B" w:rsidRPr="0040068B">
                <w:rPr>
                  <w:rStyle w:val="Hyperlink"/>
                </w:rPr>
                <w:t>, Part</w:t>
              </w:r>
              <w:r w:rsidR="00500A1C" w:rsidRPr="0040068B">
                <w:rPr>
                  <w:rStyle w:val="Hyperlink"/>
                </w:rPr>
                <w:t xml:space="preserve"> III</w:t>
              </w:r>
              <w:r w:rsidR="0040068B" w:rsidRPr="0040068B">
                <w:rPr>
                  <w:rStyle w:val="Hyperlink"/>
                </w:rPr>
                <w:t xml:space="preserve">, Subpart </w:t>
              </w:r>
              <w:r w:rsidR="00500A1C" w:rsidRPr="0040068B">
                <w:rPr>
                  <w:rStyle w:val="Hyperlink"/>
                </w:rPr>
                <w:t>i</w:t>
              </w:r>
              <w:r w:rsidR="0040068B" w:rsidRPr="0040068B">
                <w:rPr>
                  <w:rStyle w:val="Hyperlink"/>
                </w:rPr>
                <w:t xml:space="preserve">v, </w:t>
              </w:r>
              <w:r w:rsidR="00500A1C" w:rsidRPr="0040068B">
                <w:rPr>
                  <w:rStyle w:val="Hyperlink"/>
                </w:rPr>
                <w:t>5  Evaluating Evidence and making a Decision</w:t>
              </w:r>
            </w:hyperlink>
          </w:p>
          <w:p w14:paraId="64FDC968" w14:textId="134F2DC7" w:rsidR="009B2F5A" w:rsidRPr="00500A1C" w:rsidRDefault="00396143" w:rsidP="00500A1C">
            <w:pPr>
              <w:pStyle w:val="VBAFirstLevelBullet"/>
            </w:pPr>
            <w:hyperlink r:id="rId24" w:anchor="!agent/portal/554400000001034/article/554400000014206/M21-1-Part-III-Subpart-iv-Chapter-6" w:history="1">
              <w:r w:rsidR="00500A1C" w:rsidRPr="00610817">
                <w:rPr>
                  <w:rStyle w:val="Hyperlink"/>
                </w:rPr>
                <w:t xml:space="preserve">M21-1 </w:t>
              </w:r>
              <w:r w:rsidR="00610817" w:rsidRPr="00610817">
                <w:rPr>
                  <w:rStyle w:val="Hyperlink"/>
                </w:rPr>
                <w:t>Part III, Subpart iv, 6.C  Completing the rating d</w:t>
              </w:r>
              <w:r w:rsidR="00500A1C" w:rsidRPr="00610817">
                <w:rPr>
                  <w:rStyle w:val="Hyperlink"/>
                </w:rPr>
                <w:t>ecision</w:t>
              </w:r>
              <w:r w:rsidR="00610817" w:rsidRPr="00610817">
                <w:rPr>
                  <w:rStyle w:val="Hyperlink"/>
                </w:rPr>
                <w:t xml:space="preserve"> narrative</w:t>
              </w:r>
            </w:hyperlink>
          </w:p>
          <w:p w14:paraId="53D41409" w14:textId="2DBC174B" w:rsidR="00B52933" w:rsidRDefault="00396143" w:rsidP="00B52933">
            <w:pPr>
              <w:pStyle w:val="VBAFirstLevelBullet"/>
            </w:pPr>
            <w:hyperlink r:id="rId25" w:anchor="bmm" w:history="1">
              <w:r w:rsidR="00B52933" w:rsidRPr="00B52933">
                <w:rPr>
                  <w:rStyle w:val="Hyperlink"/>
                </w:rPr>
                <w:t xml:space="preserve">Charles v. </w:t>
              </w:r>
              <w:proofErr w:type="spellStart"/>
              <w:r w:rsidR="00B52933" w:rsidRPr="00B52933">
                <w:rPr>
                  <w:rStyle w:val="Hyperlink"/>
                </w:rPr>
                <w:t>Principi</w:t>
              </w:r>
              <w:proofErr w:type="spellEnd"/>
              <w:r w:rsidR="00B52933" w:rsidRPr="00B52933">
                <w:rPr>
                  <w:rStyle w:val="Hyperlink"/>
                </w:rPr>
                <w:t>, No. 01-1536, October 3, 2002</w:t>
              </w:r>
            </w:hyperlink>
          </w:p>
          <w:p w14:paraId="7496ED43" w14:textId="5FE54344" w:rsidR="00500A1C" w:rsidRPr="00500A1C" w:rsidRDefault="00396143" w:rsidP="00B52933">
            <w:pPr>
              <w:pStyle w:val="VBAFirstLevelBullet"/>
            </w:pPr>
            <w:hyperlink r:id="rId26" w:anchor="bmw" w:history="1">
              <w:r w:rsidR="00500A1C" w:rsidRPr="00774DF0">
                <w:rPr>
                  <w:rStyle w:val="Hyperlink"/>
                </w:rPr>
                <w:t>Wray v. Brown</w:t>
              </w:r>
              <w:r w:rsidR="00774DF0" w:rsidRPr="00774DF0">
                <w:rPr>
                  <w:rStyle w:val="Hyperlink"/>
                </w:rPr>
                <w:t>, No. 93-289, April 6, 1995</w:t>
              </w:r>
            </w:hyperlink>
          </w:p>
          <w:p w14:paraId="5D1922A4" w14:textId="1BDA30BF" w:rsidR="00500A1C" w:rsidRPr="00500A1C" w:rsidRDefault="00396143" w:rsidP="00500A1C">
            <w:pPr>
              <w:pStyle w:val="VBAFirstLevelBullet"/>
            </w:pPr>
            <w:hyperlink r:id="rId27" w:anchor="bmm" w:history="1">
              <w:r w:rsidR="00500A1C" w:rsidRPr="00B52933">
                <w:rPr>
                  <w:rStyle w:val="Hyperlink"/>
                </w:rPr>
                <w:t xml:space="preserve">White v. </w:t>
              </w:r>
              <w:proofErr w:type="spellStart"/>
              <w:r w:rsidR="00500A1C" w:rsidRPr="00B52933">
                <w:rPr>
                  <w:rStyle w:val="Hyperlink"/>
                </w:rPr>
                <w:t>Principi</w:t>
              </w:r>
              <w:proofErr w:type="spellEnd"/>
              <w:r w:rsidR="00B52933" w:rsidRPr="00B52933">
                <w:rPr>
                  <w:rStyle w:val="Hyperlink"/>
                </w:rPr>
                <w:t>, No. 00-7130, March 27, 2001</w:t>
              </w:r>
            </w:hyperlink>
          </w:p>
          <w:p w14:paraId="1BEE0C5D" w14:textId="2FD58D9F" w:rsidR="00B52933" w:rsidRDefault="00396143" w:rsidP="00B52933">
            <w:pPr>
              <w:pStyle w:val="VBAFirstLevelBullet"/>
            </w:pPr>
            <w:hyperlink r:id="rId28" w:anchor="bmm" w:history="1">
              <w:proofErr w:type="spellStart"/>
              <w:r w:rsidR="00B52933" w:rsidRPr="00B52933">
                <w:rPr>
                  <w:rStyle w:val="Hyperlink"/>
                </w:rPr>
                <w:t>McLendon</w:t>
              </w:r>
              <w:proofErr w:type="spellEnd"/>
              <w:r w:rsidR="00B52933" w:rsidRPr="00B52933">
                <w:rPr>
                  <w:rStyle w:val="Hyperlink"/>
                </w:rPr>
                <w:t xml:space="preserve"> v. Nicholson, No. 04-0185, June 5, 2006</w:t>
              </w:r>
            </w:hyperlink>
          </w:p>
          <w:p w14:paraId="235F4195" w14:textId="2EEB56AF" w:rsidR="00500A1C" w:rsidRPr="00EA0AE9" w:rsidRDefault="00396143" w:rsidP="00B52933">
            <w:pPr>
              <w:pStyle w:val="VBAFirstLevelBullet"/>
              <w:rPr>
                <w:b/>
              </w:rPr>
            </w:pPr>
            <w:hyperlink r:id="rId29" w:anchor="bmw" w:history="1">
              <w:r w:rsidR="00B52933" w:rsidRPr="00B52933">
                <w:rPr>
                  <w:rStyle w:val="Hyperlink"/>
                </w:rPr>
                <w:t>Barr v. Nicholson, No. 04-0534, June 15, 2007</w:t>
              </w:r>
            </w:hyperlink>
          </w:p>
        </w:tc>
      </w:tr>
    </w:tbl>
    <w:p w14:paraId="235F4197" w14:textId="77777777" w:rsidR="009B2F5A" w:rsidRPr="00EA0AE9" w:rsidRDefault="009B2F5A">
      <w:pPr>
        <w:rPr>
          <w:b/>
        </w:rPr>
      </w:pPr>
    </w:p>
    <w:p w14:paraId="235F4198" w14:textId="1BF1DA25" w:rsidR="00500A1C" w:rsidRDefault="00500A1C">
      <w:pPr>
        <w:overflowPunct/>
        <w:autoSpaceDE/>
        <w:autoSpaceDN/>
        <w:adjustRightInd/>
        <w:spacing w:before="0"/>
        <w:textAlignment w:val="auto"/>
        <w:rPr>
          <w:b/>
        </w:rPr>
      </w:pPr>
      <w:r>
        <w:rPr>
          <w:b/>
        </w:rPr>
        <w:br w:type="page"/>
      </w:r>
    </w:p>
    <w:p w14:paraId="284A70D8" w14:textId="77777777" w:rsidR="009B2F5A" w:rsidRPr="00EA0AE9"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EA0AE9" w:rsidRPr="00EA0AE9" w14:paraId="235F419A" w14:textId="77777777">
        <w:trPr>
          <w:trHeight w:val="212"/>
        </w:trPr>
        <w:tc>
          <w:tcPr>
            <w:tcW w:w="9777" w:type="dxa"/>
            <w:gridSpan w:val="2"/>
            <w:tcBorders>
              <w:top w:val="nil"/>
              <w:left w:val="nil"/>
              <w:bottom w:val="nil"/>
              <w:right w:val="nil"/>
            </w:tcBorders>
            <w:vAlign w:val="center"/>
          </w:tcPr>
          <w:p w14:paraId="235F4199" w14:textId="7D6ACED1" w:rsidR="009B2F5A" w:rsidRPr="00EA0AE9" w:rsidRDefault="009B2F5A" w:rsidP="008471E3">
            <w:pPr>
              <w:pStyle w:val="VBALessonTopicTitle"/>
              <w:rPr>
                <w:rFonts w:ascii="Times New Roman" w:hAnsi="Times New Roman"/>
                <w:color w:val="auto"/>
              </w:rPr>
            </w:pPr>
            <w:bookmarkStart w:id="30" w:name="_Toc269888406"/>
            <w:bookmarkStart w:id="31" w:name="_Toc269888749"/>
            <w:bookmarkStart w:id="32" w:name="_Toc269888789"/>
            <w:bookmarkStart w:id="33" w:name="_Toc441732657"/>
            <w:r w:rsidRPr="00EA0AE9">
              <w:rPr>
                <w:rFonts w:ascii="Times New Roman" w:hAnsi="Times New Roman"/>
                <w:color w:val="auto"/>
              </w:rPr>
              <w:t xml:space="preserve">Topic 1: </w:t>
            </w:r>
            <w:bookmarkEnd w:id="30"/>
            <w:bookmarkEnd w:id="31"/>
            <w:bookmarkEnd w:id="32"/>
            <w:r w:rsidR="008471E3">
              <w:rPr>
                <w:rFonts w:ascii="Times New Roman" w:hAnsi="Times New Roman"/>
                <w:color w:val="auto"/>
              </w:rPr>
              <w:t xml:space="preserve">Bases of </w:t>
            </w:r>
            <w:r w:rsidR="00500A1C">
              <w:rPr>
                <w:rFonts w:ascii="Times New Roman" w:hAnsi="Times New Roman"/>
                <w:color w:val="auto"/>
              </w:rPr>
              <w:t>Weighing Evidence</w:t>
            </w:r>
            <w:bookmarkEnd w:id="33"/>
          </w:p>
        </w:tc>
      </w:tr>
      <w:tr w:rsidR="00EA0AE9" w:rsidRPr="00EA0AE9" w14:paraId="235F419D" w14:textId="77777777">
        <w:trPr>
          <w:trHeight w:val="212"/>
        </w:trPr>
        <w:tc>
          <w:tcPr>
            <w:tcW w:w="2560" w:type="dxa"/>
            <w:tcBorders>
              <w:top w:val="nil"/>
              <w:left w:val="nil"/>
              <w:bottom w:val="nil"/>
              <w:right w:val="nil"/>
            </w:tcBorders>
          </w:tcPr>
          <w:p w14:paraId="235F419B" w14:textId="77777777" w:rsidR="009B2F5A" w:rsidRPr="00EA0AE9" w:rsidRDefault="009B2F5A">
            <w:pPr>
              <w:pStyle w:val="VBALevel1Heading"/>
            </w:pPr>
            <w:bookmarkStart w:id="34" w:name="_Toc269888407"/>
            <w:bookmarkStart w:id="35" w:name="_Toc269888750"/>
            <w:r w:rsidRPr="00EA0AE9">
              <w:t>Introduction</w:t>
            </w:r>
            <w:bookmarkEnd w:id="34"/>
            <w:bookmarkEnd w:id="35"/>
          </w:p>
        </w:tc>
        <w:tc>
          <w:tcPr>
            <w:tcW w:w="7217" w:type="dxa"/>
            <w:tcBorders>
              <w:top w:val="nil"/>
              <w:left w:val="nil"/>
              <w:bottom w:val="nil"/>
              <w:right w:val="nil"/>
            </w:tcBorders>
          </w:tcPr>
          <w:p w14:paraId="235F419C" w14:textId="1281A9C2" w:rsidR="009B2F5A" w:rsidRPr="00EA0AE9" w:rsidRDefault="00500A1C">
            <w:pPr>
              <w:pStyle w:val="VBABodyText"/>
              <w:rPr>
                <w:b/>
                <w:color w:val="auto"/>
              </w:rPr>
            </w:pPr>
            <w:r w:rsidRPr="00500A1C">
              <w:rPr>
                <w:color w:val="auto"/>
              </w:rPr>
              <w:t>This topic will illustrate the general principles for weighing evidence, the types of evidence and the laws and regulations that form the basis for weighing evidence.</w:t>
            </w:r>
          </w:p>
        </w:tc>
      </w:tr>
      <w:tr w:rsidR="00EA0AE9" w:rsidRPr="00EA0AE9" w14:paraId="235F41A0" w14:textId="77777777">
        <w:trPr>
          <w:trHeight w:val="212"/>
        </w:trPr>
        <w:tc>
          <w:tcPr>
            <w:tcW w:w="2560" w:type="dxa"/>
            <w:tcBorders>
              <w:top w:val="nil"/>
              <w:left w:val="nil"/>
              <w:bottom w:val="nil"/>
              <w:right w:val="nil"/>
            </w:tcBorders>
          </w:tcPr>
          <w:p w14:paraId="235F419E" w14:textId="77777777" w:rsidR="009B2F5A" w:rsidRPr="00EA0AE9" w:rsidRDefault="009B2F5A">
            <w:pPr>
              <w:pStyle w:val="VBALevel1Heading"/>
            </w:pPr>
            <w:bookmarkStart w:id="36" w:name="_Toc269888408"/>
            <w:bookmarkStart w:id="37" w:name="_Toc269888751"/>
            <w:r w:rsidRPr="00EA0AE9">
              <w:t>Time Required</w:t>
            </w:r>
            <w:bookmarkEnd w:id="36"/>
            <w:bookmarkEnd w:id="37"/>
          </w:p>
        </w:tc>
        <w:tc>
          <w:tcPr>
            <w:tcW w:w="7217" w:type="dxa"/>
            <w:tcBorders>
              <w:top w:val="nil"/>
              <w:left w:val="nil"/>
              <w:bottom w:val="nil"/>
              <w:right w:val="nil"/>
            </w:tcBorders>
          </w:tcPr>
          <w:p w14:paraId="235F419F" w14:textId="23FC32E1" w:rsidR="009B2F5A" w:rsidRPr="00EA0AE9" w:rsidRDefault="00500A1C">
            <w:pPr>
              <w:pStyle w:val="VBATimeReq"/>
              <w:rPr>
                <w:color w:val="auto"/>
              </w:rPr>
            </w:pPr>
            <w:r>
              <w:rPr>
                <w:color w:val="auto"/>
              </w:rPr>
              <w:t>0.</w:t>
            </w:r>
            <w:r w:rsidR="00A24655">
              <w:rPr>
                <w:color w:val="auto"/>
              </w:rPr>
              <w:t>7</w:t>
            </w:r>
            <w:r>
              <w:rPr>
                <w:color w:val="auto"/>
              </w:rPr>
              <w:t>5</w:t>
            </w:r>
            <w:r w:rsidR="009B2F5A" w:rsidRPr="00EA0AE9">
              <w:rPr>
                <w:color w:val="auto"/>
              </w:rPr>
              <w:t xml:space="preserve"> </w:t>
            </w:r>
            <w:r>
              <w:rPr>
                <w:color w:val="auto"/>
              </w:rPr>
              <w:t>hour</w:t>
            </w:r>
          </w:p>
        </w:tc>
      </w:tr>
      <w:tr w:rsidR="00EA0AE9" w:rsidRPr="00EA0AE9" w14:paraId="235F41AB" w14:textId="77777777">
        <w:trPr>
          <w:trHeight w:val="212"/>
        </w:trPr>
        <w:tc>
          <w:tcPr>
            <w:tcW w:w="2560" w:type="dxa"/>
            <w:tcBorders>
              <w:top w:val="nil"/>
              <w:left w:val="nil"/>
              <w:bottom w:val="nil"/>
              <w:right w:val="nil"/>
            </w:tcBorders>
          </w:tcPr>
          <w:p w14:paraId="235F41A1" w14:textId="77777777" w:rsidR="009B2F5A" w:rsidRPr="00EA0AE9" w:rsidRDefault="009B2F5A">
            <w:pPr>
              <w:pStyle w:val="VBALevel1Heading"/>
            </w:pPr>
            <w:r w:rsidRPr="00EA0AE9">
              <w:t>OBJECTIVES/</w:t>
            </w:r>
            <w:r w:rsidRPr="00EA0AE9">
              <w:br/>
              <w:t>Teaching Points</w:t>
            </w:r>
          </w:p>
          <w:p w14:paraId="235F41A2" w14:textId="77777777" w:rsidR="009B2F5A" w:rsidRPr="00EA0AE9"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EA0AE9" w:rsidRDefault="009B2F5A">
            <w:pPr>
              <w:tabs>
                <w:tab w:val="left" w:pos="590"/>
              </w:tabs>
              <w:spacing w:after="120"/>
              <w:rPr>
                <w:szCs w:val="24"/>
              </w:rPr>
            </w:pPr>
            <w:r w:rsidRPr="00EA0AE9">
              <w:rPr>
                <w:szCs w:val="24"/>
              </w:rPr>
              <w:t>Topic objectives:</w:t>
            </w:r>
          </w:p>
          <w:p w14:paraId="11FDF101" w14:textId="313603DB" w:rsidR="00500A1C" w:rsidRPr="00500A1C" w:rsidRDefault="00A24655" w:rsidP="00500A1C">
            <w:pPr>
              <w:numPr>
                <w:ilvl w:val="0"/>
                <w:numId w:val="9"/>
              </w:numPr>
              <w:tabs>
                <w:tab w:val="left" w:pos="590"/>
              </w:tabs>
              <w:spacing w:before="60" w:after="60"/>
              <w:rPr>
                <w:szCs w:val="24"/>
              </w:rPr>
            </w:pPr>
            <w:r>
              <w:rPr>
                <w:szCs w:val="24"/>
              </w:rPr>
              <w:t>I</w:t>
            </w:r>
            <w:r w:rsidR="00500A1C" w:rsidRPr="00500A1C">
              <w:rPr>
                <w:szCs w:val="24"/>
              </w:rPr>
              <w:t>dentify guidelines for weighing evidence.</w:t>
            </w:r>
          </w:p>
          <w:p w14:paraId="235F41A7" w14:textId="77777777" w:rsidR="009B2F5A" w:rsidRPr="00EA0AE9" w:rsidRDefault="009B2F5A">
            <w:pPr>
              <w:tabs>
                <w:tab w:val="left" w:pos="590"/>
              </w:tabs>
              <w:spacing w:after="120"/>
              <w:rPr>
                <w:bCs/>
                <w:szCs w:val="24"/>
              </w:rPr>
            </w:pPr>
            <w:r w:rsidRPr="00EA0AE9">
              <w:rPr>
                <w:szCs w:val="24"/>
              </w:rPr>
              <w:t>The following topic teaching points support the topic objectives</w:t>
            </w:r>
            <w:r w:rsidRPr="00EA0AE9">
              <w:rPr>
                <w:bCs/>
                <w:szCs w:val="24"/>
              </w:rPr>
              <w:t xml:space="preserve">: </w:t>
            </w:r>
          </w:p>
          <w:p w14:paraId="0C78F7E7" w14:textId="77777777" w:rsidR="008471E3" w:rsidRDefault="008471E3" w:rsidP="00500A1C">
            <w:pPr>
              <w:numPr>
                <w:ilvl w:val="0"/>
                <w:numId w:val="9"/>
              </w:numPr>
              <w:tabs>
                <w:tab w:val="left" w:pos="590"/>
              </w:tabs>
              <w:spacing w:before="60" w:after="60"/>
              <w:rPr>
                <w:szCs w:val="24"/>
              </w:rPr>
            </w:pPr>
            <w:r>
              <w:rPr>
                <w:szCs w:val="24"/>
              </w:rPr>
              <w:t>Overview of evaluating evidence</w:t>
            </w:r>
          </w:p>
          <w:p w14:paraId="317631C3" w14:textId="77777777" w:rsidR="008471E3" w:rsidRDefault="00B17F05" w:rsidP="00500A1C">
            <w:pPr>
              <w:numPr>
                <w:ilvl w:val="0"/>
                <w:numId w:val="9"/>
              </w:numPr>
              <w:tabs>
                <w:tab w:val="left" w:pos="590"/>
              </w:tabs>
              <w:spacing w:before="60" w:after="60"/>
              <w:rPr>
                <w:szCs w:val="24"/>
              </w:rPr>
            </w:pPr>
            <w:r>
              <w:rPr>
                <w:szCs w:val="24"/>
              </w:rPr>
              <w:t>Standards of evidentiary proof</w:t>
            </w:r>
          </w:p>
          <w:p w14:paraId="6B3E7C12" w14:textId="1E3AA027" w:rsidR="00FC4B9A" w:rsidRPr="00FC4B9A" w:rsidRDefault="00FC4B9A" w:rsidP="00FC4B9A">
            <w:pPr>
              <w:numPr>
                <w:ilvl w:val="0"/>
                <w:numId w:val="9"/>
              </w:numPr>
              <w:tabs>
                <w:tab w:val="left" w:pos="590"/>
              </w:tabs>
              <w:spacing w:before="60" w:after="60"/>
              <w:rPr>
                <w:szCs w:val="24"/>
              </w:rPr>
            </w:pPr>
            <w:r>
              <w:rPr>
                <w:szCs w:val="24"/>
              </w:rPr>
              <w:t>Reasonable doubt</w:t>
            </w:r>
          </w:p>
          <w:p w14:paraId="1E5FE573" w14:textId="77777777" w:rsidR="00FC4B9A" w:rsidRDefault="00FC4B9A" w:rsidP="00FC4B9A">
            <w:pPr>
              <w:numPr>
                <w:ilvl w:val="0"/>
                <w:numId w:val="9"/>
              </w:numPr>
              <w:tabs>
                <w:tab w:val="left" w:pos="590"/>
              </w:tabs>
              <w:spacing w:before="60" w:after="60"/>
              <w:rPr>
                <w:szCs w:val="24"/>
              </w:rPr>
            </w:pPr>
            <w:r>
              <w:rPr>
                <w:szCs w:val="24"/>
              </w:rPr>
              <w:t>Attitude of the rating officer</w:t>
            </w:r>
          </w:p>
          <w:p w14:paraId="235F41AA" w14:textId="587778F3" w:rsidR="00FC4B9A" w:rsidRPr="00EA0AE9" w:rsidRDefault="00FC4B9A" w:rsidP="00FC4B9A">
            <w:pPr>
              <w:tabs>
                <w:tab w:val="left" w:pos="590"/>
              </w:tabs>
              <w:spacing w:before="60" w:after="60"/>
              <w:ind w:left="720"/>
              <w:rPr>
                <w:szCs w:val="24"/>
              </w:rPr>
            </w:pPr>
          </w:p>
        </w:tc>
      </w:tr>
      <w:tr w:rsidR="00FC4B9A" w:rsidRPr="00EA0AE9" w14:paraId="3395E403" w14:textId="77777777">
        <w:trPr>
          <w:trHeight w:val="212"/>
        </w:trPr>
        <w:tc>
          <w:tcPr>
            <w:tcW w:w="2560" w:type="dxa"/>
            <w:tcBorders>
              <w:top w:val="nil"/>
              <w:left w:val="nil"/>
              <w:bottom w:val="nil"/>
              <w:right w:val="nil"/>
            </w:tcBorders>
          </w:tcPr>
          <w:p w14:paraId="2A201E9B" w14:textId="77777777" w:rsidR="00FC4B9A" w:rsidRPr="00EA0AE9" w:rsidRDefault="00FC4B9A" w:rsidP="00FC4B9A">
            <w:pPr>
              <w:pStyle w:val="VBALevel2Heading"/>
              <w:rPr>
                <w:bCs/>
                <w:i/>
                <w:color w:val="auto"/>
              </w:rPr>
            </w:pPr>
            <w:r>
              <w:rPr>
                <w:color w:val="auto"/>
              </w:rPr>
              <w:t>Overview of Evaluating Evidence</w:t>
            </w:r>
            <w:r w:rsidRPr="00EA0AE9">
              <w:rPr>
                <w:color w:val="auto"/>
              </w:rPr>
              <w:br/>
            </w:r>
          </w:p>
          <w:p w14:paraId="2D42EEFC" w14:textId="77777777" w:rsidR="00FC4B9A" w:rsidRPr="00EA0AE9" w:rsidRDefault="00FC4B9A" w:rsidP="00FC4B9A">
            <w:pPr>
              <w:pStyle w:val="VBASlideNumber"/>
              <w:rPr>
                <w:color w:val="auto"/>
              </w:rPr>
            </w:pPr>
            <w:r w:rsidRPr="00EA0AE9">
              <w:rPr>
                <w:color w:val="auto"/>
              </w:rPr>
              <w:t xml:space="preserve">Slide </w:t>
            </w:r>
            <w:r>
              <w:rPr>
                <w:color w:val="auto"/>
              </w:rPr>
              <w:t>7</w:t>
            </w:r>
            <w:r w:rsidRPr="00EA0AE9">
              <w:rPr>
                <w:color w:val="auto"/>
              </w:rPr>
              <w:br/>
            </w:r>
          </w:p>
          <w:p w14:paraId="666E5C51" w14:textId="13B2B13F" w:rsidR="00FC4B9A" w:rsidRPr="00FC4B9A" w:rsidRDefault="00FC4B9A" w:rsidP="004C711C">
            <w:pPr>
              <w:pStyle w:val="VBALevel2Heading"/>
              <w:rPr>
                <w:b w:val="0"/>
                <w:i/>
                <w:color w:val="auto"/>
              </w:rPr>
            </w:pPr>
            <w:r w:rsidRPr="00FC4B9A">
              <w:rPr>
                <w:b w:val="0"/>
                <w:i/>
                <w:color w:val="auto"/>
              </w:rPr>
              <w:t xml:space="preserve">Handout </w:t>
            </w:r>
            <w:r w:rsidR="004C711C">
              <w:rPr>
                <w:b w:val="0"/>
                <w:i/>
                <w:color w:val="auto"/>
              </w:rPr>
              <w:t>4</w:t>
            </w:r>
          </w:p>
        </w:tc>
        <w:tc>
          <w:tcPr>
            <w:tcW w:w="7217" w:type="dxa"/>
            <w:tcBorders>
              <w:top w:val="nil"/>
              <w:left w:val="nil"/>
              <w:bottom w:val="nil"/>
              <w:right w:val="nil"/>
            </w:tcBorders>
          </w:tcPr>
          <w:p w14:paraId="16A97D74" w14:textId="77777777" w:rsidR="00FC4B9A" w:rsidRDefault="00FC4B9A">
            <w:pPr>
              <w:pStyle w:val="VBABodyText"/>
              <w:rPr>
                <w:color w:val="auto"/>
              </w:rPr>
            </w:pPr>
            <w:r>
              <w:rPr>
                <w:color w:val="auto"/>
              </w:rPr>
              <w:t xml:space="preserve">There is no </w:t>
            </w:r>
            <w:r w:rsidR="00F02C8D">
              <w:rPr>
                <w:color w:val="auto"/>
              </w:rPr>
              <w:t>single formula for weighing evidence.  However, there is a series of analytical steps which may be utilized to assist in findings of fact.</w:t>
            </w:r>
          </w:p>
          <w:p w14:paraId="65BBDA13" w14:textId="77777777" w:rsidR="00F02C8D" w:rsidRDefault="00F02C8D" w:rsidP="002F0FED">
            <w:pPr>
              <w:pStyle w:val="VBABodyText"/>
              <w:numPr>
                <w:ilvl w:val="0"/>
                <w:numId w:val="21"/>
              </w:numPr>
              <w:spacing w:after="120"/>
              <w:rPr>
                <w:color w:val="auto"/>
              </w:rPr>
            </w:pPr>
            <w:r w:rsidRPr="00F02C8D">
              <w:rPr>
                <w:color w:val="auto"/>
              </w:rPr>
              <w:t>Determine what facts are required and what standard of proof applies</w:t>
            </w:r>
          </w:p>
          <w:p w14:paraId="4F4A0CA9" w14:textId="77777777" w:rsidR="00F02C8D" w:rsidRDefault="00F02C8D" w:rsidP="002F0FED">
            <w:pPr>
              <w:pStyle w:val="VBABodyText"/>
              <w:numPr>
                <w:ilvl w:val="0"/>
                <w:numId w:val="21"/>
              </w:numPr>
              <w:spacing w:after="120"/>
              <w:rPr>
                <w:color w:val="auto"/>
              </w:rPr>
            </w:pPr>
            <w:r w:rsidRPr="00F02C8D">
              <w:rPr>
                <w:color w:val="auto"/>
              </w:rPr>
              <w:t xml:space="preserve">Discount any admitted evidence that is not material </w:t>
            </w:r>
          </w:p>
          <w:p w14:paraId="775730F5" w14:textId="77777777" w:rsidR="00F02C8D" w:rsidRDefault="00F02C8D" w:rsidP="002F0FED">
            <w:pPr>
              <w:pStyle w:val="VBABodyText"/>
              <w:numPr>
                <w:ilvl w:val="0"/>
                <w:numId w:val="21"/>
              </w:numPr>
              <w:spacing w:after="120"/>
              <w:rPr>
                <w:color w:val="auto"/>
              </w:rPr>
            </w:pPr>
            <w:r w:rsidRPr="00F02C8D">
              <w:rPr>
                <w:color w:val="auto"/>
              </w:rPr>
              <w:t>Determine the probative value of evidence that bears on the entitlement standard or procedural issue</w:t>
            </w:r>
          </w:p>
          <w:p w14:paraId="2EB4B99F" w14:textId="77777777" w:rsidR="00F02C8D" w:rsidRDefault="00F02C8D" w:rsidP="002F0FED">
            <w:pPr>
              <w:pStyle w:val="VBABodyText"/>
              <w:numPr>
                <w:ilvl w:val="0"/>
                <w:numId w:val="21"/>
              </w:numPr>
              <w:spacing w:after="120"/>
              <w:rPr>
                <w:color w:val="auto"/>
              </w:rPr>
            </w:pPr>
            <w:r w:rsidRPr="00F02C8D">
              <w:rPr>
                <w:color w:val="auto"/>
              </w:rPr>
              <w:t>Resolve questions of relative weight or persuasiveness when there are various items of evidence that have been determined to have probative value in order to find facts</w:t>
            </w:r>
          </w:p>
          <w:p w14:paraId="32D86B37" w14:textId="6641DFC1" w:rsidR="00F02C8D" w:rsidRPr="00F02C8D" w:rsidRDefault="00F02C8D" w:rsidP="002F0FED">
            <w:pPr>
              <w:pStyle w:val="VBABodyText"/>
              <w:numPr>
                <w:ilvl w:val="0"/>
                <w:numId w:val="21"/>
              </w:numPr>
              <w:spacing w:after="120"/>
              <w:rPr>
                <w:color w:val="auto"/>
              </w:rPr>
            </w:pPr>
            <w:r w:rsidRPr="00F02C8D">
              <w:rPr>
                <w:color w:val="auto"/>
              </w:rPr>
              <w:t>Apply the found facts to draw corresponding conclusions of law necessary to support the decision outcome for the benefit sought and procedural issue</w:t>
            </w:r>
          </w:p>
        </w:tc>
      </w:tr>
      <w:tr w:rsidR="00EA0AE9" w:rsidRPr="00EA0AE9" w14:paraId="235F41B0" w14:textId="77777777">
        <w:trPr>
          <w:trHeight w:val="212"/>
        </w:trPr>
        <w:tc>
          <w:tcPr>
            <w:tcW w:w="2560" w:type="dxa"/>
            <w:tcBorders>
              <w:top w:val="nil"/>
              <w:left w:val="nil"/>
              <w:bottom w:val="nil"/>
              <w:right w:val="nil"/>
            </w:tcBorders>
          </w:tcPr>
          <w:p w14:paraId="34800C26" w14:textId="2D6E0BD5" w:rsidR="00FC4B9A" w:rsidRPr="00EA0AE9" w:rsidRDefault="00FC4B9A" w:rsidP="00FC4B9A">
            <w:pPr>
              <w:pStyle w:val="VBALevel2Heading"/>
              <w:rPr>
                <w:color w:val="auto"/>
              </w:rPr>
            </w:pPr>
            <w:r>
              <w:rPr>
                <w:color w:val="auto"/>
              </w:rPr>
              <w:t>Standards of Evidentiary Proof</w:t>
            </w:r>
          </w:p>
          <w:p w14:paraId="2F5EE27A" w14:textId="77777777" w:rsidR="00FC4B9A" w:rsidRPr="00EA0AE9" w:rsidRDefault="00FC4B9A" w:rsidP="00FC4B9A">
            <w:pPr>
              <w:pStyle w:val="VBASlideNumber"/>
              <w:rPr>
                <w:color w:val="auto"/>
              </w:rPr>
            </w:pPr>
            <w:r w:rsidRPr="00EA0AE9">
              <w:rPr>
                <w:color w:val="auto"/>
              </w:rPr>
              <w:t xml:space="preserve">Slide </w:t>
            </w:r>
            <w:r>
              <w:rPr>
                <w:color w:val="auto"/>
              </w:rPr>
              <w:t>6</w:t>
            </w:r>
            <w:r w:rsidRPr="00EA0AE9">
              <w:rPr>
                <w:color w:val="auto"/>
              </w:rPr>
              <w:br/>
            </w:r>
          </w:p>
          <w:p w14:paraId="235F41AE" w14:textId="4071B8F5" w:rsidR="009B2F5A" w:rsidRPr="00EA0AE9" w:rsidRDefault="00FC4B9A" w:rsidP="004C711C">
            <w:pPr>
              <w:pStyle w:val="VBAHandoutNumber"/>
              <w:rPr>
                <w:color w:val="auto"/>
              </w:rPr>
            </w:pPr>
            <w:r w:rsidRPr="00EA0AE9">
              <w:rPr>
                <w:color w:val="auto"/>
              </w:rPr>
              <w:t xml:space="preserve">Handout </w:t>
            </w:r>
            <w:r w:rsidR="004C711C">
              <w:rPr>
                <w:color w:val="auto"/>
              </w:rPr>
              <w:t>4</w:t>
            </w:r>
          </w:p>
        </w:tc>
        <w:tc>
          <w:tcPr>
            <w:tcW w:w="7217" w:type="dxa"/>
            <w:tcBorders>
              <w:top w:val="nil"/>
              <w:left w:val="nil"/>
              <w:bottom w:val="nil"/>
              <w:right w:val="nil"/>
            </w:tcBorders>
          </w:tcPr>
          <w:p w14:paraId="652F294C" w14:textId="77777777" w:rsidR="00B17F05" w:rsidRDefault="00F02C8D">
            <w:pPr>
              <w:pStyle w:val="VBABodyText"/>
              <w:rPr>
                <w:color w:val="auto"/>
              </w:rPr>
            </w:pPr>
            <w:r>
              <w:rPr>
                <w:color w:val="auto"/>
              </w:rPr>
              <w:t xml:space="preserve">The first step in evaluating evidence is determining </w:t>
            </w:r>
            <w:r w:rsidR="00156CBE" w:rsidRPr="00156CBE">
              <w:rPr>
                <w:color w:val="auto"/>
              </w:rPr>
              <w:t>what facts are required and what standard of proof applies</w:t>
            </w:r>
            <w:r w:rsidR="00156CBE">
              <w:rPr>
                <w:color w:val="auto"/>
              </w:rPr>
              <w:t xml:space="preserve">.  This is a qualitative, not quantitative assessment.  Weight or persuasiveness of the evidence, not the number of items of evidence, is the determining factor.  </w:t>
            </w:r>
          </w:p>
          <w:p w14:paraId="12BE566E" w14:textId="50AE4D78" w:rsidR="00156CBE" w:rsidRDefault="00156CBE">
            <w:pPr>
              <w:pStyle w:val="VBABodyText"/>
              <w:rPr>
                <w:color w:val="auto"/>
              </w:rPr>
            </w:pPr>
            <w:r>
              <w:rPr>
                <w:color w:val="auto"/>
              </w:rPr>
              <w:t xml:space="preserve">There are </w:t>
            </w:r>
            <w:r w:rsidR="00F85573">
              <w:rPr>
                <w:color w:val="auto"/>
              </w:rPr>
              <w:t xml:space="preserve">five </w:t>
            </w:r>
            <w:r>
              <w:rPr>
                <w:color w:val="auto"/>
              </w:rPr>
              <w:t xml:space="preserve">different standards which </w:t>
            </w:r>
            <w:r w:rsidR="008D025F">
              <w:rPr>
                <w:color w:val="auto"/>
              </w:rPr>
              <w:t>specify</w:t>
            </w:r>
            <w:r w:rsidRPr="00156CBE">
              <w:rPr>
                <w:color w:val="auto"/>
              </w:rPr>
              <w:t xml:space="preserve"> the degree of persuasion or confidence in the evidence with regard to the subject of the proof that is required in order to find a fact proven.</w:t>
            </w:r>
          </w:p>
          <w:p w14:paraId="1B618E4E" w14:textId="77777777" w:rsidR="00156CBE" w:rsidRDefault="00156CBE" w:rsidP="006B6344">
            <w:pPr>
              <w:pStyle w:val="VBABodyText"/>
              <w:numPr>
                <w:ilvl w:val="0"/>
                <w:numId w:val="40"/>
              </w:numPr>
              <w:spacing w:after="120"/>
              <w:rPr>
                <w:color w:val="auto"/>
              </w:rPr>
            </w:pPr>
            <w:r>
              <w:rPr>
                <w:color w:val="auto"/>
              </w:rPr>
              <w:lastRenderedPageBreak/>
              <w:t xml:space="preserve">Relative equipoise – evidence must </w:t>
            </w:r>
            <w:r w:rsidRPr="00156CBE">
              <w:rPr>
                <w:color w:val="auto"/>
              </w:rPr>
              <w:t>persuade the decision maker that the fact is as likely as not</w:t>
            </w:r>
          </w:p>
          <w:p w14:paraId="3E3FBF39" w14:textId="77777777" w:rsidR="00156CBE" w:rsidRDefault="00156CBE" w:rsidP="006B6344">
            <w:pPr>
              <w:pStyle w:val="VBABodyText"/>
              <w:numPr>
                <w:ilvl w:val="0"/>
                <w:numId w:val="40"/>
              </w:numPr>
              <w:spacing w:after="120"/>
              <w:rPr>
                <w:color w:val="auto"/>
              </w:rPr>
            </w:pPr>
            <w:r>
              <w:rPr>
                <w:color w:val="auto"/>
              </w:rPr>
              <w:t>Preponderance of the evidence - t</w:t>
            </w:r>
            <w:r w:rsidRPr="00156CBE">
              <w:rPr>
                <w:color w:val="auto"/>
              </w:rPr>
              <w:t>he greater weight of evidence is that the fact exists. The fact is more likely than not</w:t>
            </w:r>
          </w:p>
          <w:p w14:paraId="2B38FFDC" w14:textId="77777777" w:rsidR="00156CBE" w:rsidRDefault="00156CBE" w:rsidP="006B6344">
            <w:pPr>
              <w:pStyle w:val="VBABodyText"/>
              <w:numPr>
                <w:ilvl w:val="0"/>
                <w:numId w:val="40"/>
              </w:numPr>
              <w:spacing w:after="120"/>
              <w:rPr>
                <w:color w:val="auto"/>
              </w:rPr>
            </w:pPr>
            <w:r>
              <w:rPr>
                <w:color w:val="auto"/>
              </w:rPr>
              <w:t>Affirmative evidence to the contrary - t</w:t>
            </w:r>
            <w:r w:rsidRPr="00156CBE">
              <w:rPr>
                <w:color w:val="auto"/>
              </w:rPr>
              <w:t>he fact is unlikely; and the evidence against the matter is of greater weight. This standard is the opposite of the preponderance standard</w:t>
            </w:r>
          </w:p>
          <w:p w14:paraId="236AC0C3" w14:textId="77777777" w:rsidR="00156CBE" w:rsidRDefault="00156CBE" w:rsidP="006B6344">
            <w:pPr>
              <w:pStyle w:val="VBABodyText"/>
              <w:numPr>
                <w:ilvl w:val="0"/>
                <w:numId w:val="40"/>
              </w:numPr>
              <w:spacing w:after="120"/>
              <w:rPr>
                <w:color w:val="auto"/>
              </w:rPr>
            </w:pPr>
            <w:r>
              <w:rPr>
                <w:color w:val="auto"/>
              </w:rPr>
              <w:t xml:space="preserve">Clear and convincing - </w:t>
            </w:r>
            <w:r w:rsidR="00300321">
              <w:rPr>
                <w:color w:val="auto"/>
              </w:rPr>
              <w:t>t</w:t>
            </w:r>
            <w:r w:rsidRPr="00156CBE">
              <w:rPr>
                <w:color w:val="auto"/>
              </w:rPr>
              <w:t>he fact finder has reasonable certainty of the truth of a fact. This is a higher standard of proof than having to find a fact is more likely than not</w:t>
            </w:r>
          </w:p>
          <w:p w14:paraId="235F41AF" w14:textId="65D280C5" w:rsidR="00300321" w:rsidRPr="00EA0AE9" w:rsidRDefault="00300321" w:rsidP="006B6344">
            <w:pPr>
              <w:pStyle w:val="VBABodyText"/>
              <w:numPr>
                <w:ilvl w:val="0"/>
                <w:numId w:val="40"/>
              </w:numPr>
              <w:spacing w:after="120"/>
              <w:rPr>
                <w:color w:val="auto"/>
              </w:rPr>
            </w:pPr>
            <w:r>
              <w:rPr>
                <w:color w:val="auto"/>
              </w:rPr>
              <w:t>Clear and unmistakable - t</w:t>
            </w:r>
            <w:r w:rsidRPr="00300321">
              <w:rPr>
                <w:color w:val="auto"/>
              </w:rPr>
              <w:t>he evidence must establish the fact without question</w:t>
            </w:r>
          </w:p>
        </w:tc>
      </w:tr>
      <w:tr w:rsidR="00EA0AE9" w:rsidRPr="00EA0AE9" w14:paraId="235F41B5" w14:textId="77777777">
        <w:trPr>
          <w:trHeight w:val="212"/>
        </w:trPr>
        <w:tc>
          <w:tcPr>
            <w:tcW w:w="2560" w:type="dxa"/>
            <w:tcBorders>
              <w:top w:val="nil"/>
              <w:left w:val="nil"/>
              <w:bottom w:val="nil"/>
              <w:right w:val="nil"/>
            </w:tcBorders>
          </w:tcPr>
          <w:p w14:paraId="235F41B1" w14:textId="4FA4BA34" w:rsidR="009B2F5A" w:rsidRPr="00EA0AE9" w:rsidRDefault="00BD2C47" w:rsidP="002570A6">
            <w:pPr>
              <w:pStyle w:val="VBALevel2Heading"/>
              <w:rPr>
                <w:color w:val="auto"/>
              </w:rPr>
            </w:pPr>
            <w:r w:rsidRPr="00BD2C47">
              <w:rPr>
                <w:color w:val="auto"/>
              </w:rPr>
              <w:lastRenderedPageBreak/>
              <w:t>Reasonable Doubt</w:t>
            </w:r>
          </w:p>
          <w:p w14:paraId="235F41B2" w14:textId="3DEE6C16" w:rsidR="009B2F5A" w:rsidRPr="00EA0AE9" w:rsidRDefault="009B2F5A">
            <w:pPr>
              <w:pStyle w:val="VBASlideNumber"/>
              <w:rPr>
                <w:color w:val="auto"/>
              </w:rPr>
            </w:pPr>
            <w:r w:rsidRPr="00EA0AE9">
              <w:rPr>
                <w:color w:val="auto"/>
              </w:rPr>
              <w:t xml:space="preserve">Slide </w:t>
            </w:r>
            <w:r w:rsidR="00FC4B9A">
              <w:rPr>
                <w:color w:val="auto"/>
              </w:rPr>
              <w:t>7</w:t>
            </w:r>
            <w:r w:rsidRPr="00EA0AE9">
              <w:rPr>
                <w:color w:val="auto"/>
              </w:rPr>
              <w:br/>
            </w:r>
          </w:p>
          <w:p w14:paraId="235F41B3" w14:textId="7C1ABA3B" w:rsidR="009B2F5A" w:rsidRPr="00EA0AE9" w:rsidRDefault="009B2F5A" w:rsidP="004C711C">
            <w:pPr>
              <w:pStyle w:val="VBAHandoutNumber"/>
              <w:rPr>
                <w:color w:val="auto"/>
              </w:rPr>
            </w:pPr>
            <w:r w:rsidRPr="00EA0AE9">
              <w:rPr>
                <w:color w:val="auto"/>
              </w:rPr>
              <w:t xml:space="preserve">Handout </w:t>
            </w:r>
            <w:r w:rsidR="004C711C">
              <w:rPr>
                <w:color w:val="auto"/>
              </w:rPr>
              <w:t>5</w:t>
            </w:r>
          </w:p>
        </w:tc>
        <w:tc>
          <w:tcPr>
            <w:tcW w:w="7217" w:type="dxa"/>
            <w:tcBorders>
              <w:top w:val="nil"/>
              <w:left w:val="nil"/>
              <w:bottom w:val="nil"/>
              <w:right w:val="nil"/>
            </w:tcBorders>
          </w:tcPr>
          <w:p w14:paraId="706EFAA4" w14:textId="77777777" w:rsidR="00BD2C47" w:rsidRPr="00BD2C47" w:rsidRDefault="00BD2C47" w:rsidP="00BD2C47">
            <w:pPr>
              <w:widowControl w:val="0"/>
              <w:overflowPunct/>
              <w:autoSpaceDE/>
              <w:autoSpaceDN/>
              <w:adjustRightInd/>
              <w:spacing w:before="106"/>
              <w:ind w:right="366"/>
              <w:textAlignment w:val="auto"/>
              <w:rPr>
                <w:szCs w:val="24"/>
              </w:rPr>
            </w:pPr>
            <w:r w:rsidRPr="00BD2C47">
              <w:rPr>
                <w:rFonts w:eastAsia="Calibri" w:hAnsi="Calibri"/>
                <w:spacing w:val="-1"/>
                <w:szCs w:val="22"/>
              </w:rPr>
              <w:t>Reasonable</w:t>
            </w:r>
            <w:r w:rsidRPr="00BD2C47">
              <w:rPr>
                <w:rFonts w:eastAsia="Calibri" w:hAnsi="Calibri"/>
                <w:szCs w:val="22"/>
              </w:rPr>
              <w:t xml:space="preserve"> doubt exists </w:t>
            </w:r>
            <w:r w:rsidRPr="00BD2C47">
              <w:rPr>
                <w:rFonts w:eastAsia="Calibri" w:hAnsi="Calibri"/>
                <w:spacing w:val="-1"/>
                <w:szCs w:val="22"/>
              </w:rPr>
              <w:t>because</w:t>
            </w:r>
            <w:r w:rsidRPr="00BD2C47">
              <w:rPr>
                <w:rFonts w:eastAsia="Calibri" w:hAnsi="Calibri"/>
                <w:szCs w:val="22"/>
              </w:rPr>
              <w:t xml:space="preserve"> of </w:t>
            </w:r>
            <w:r w:rsidRPr="00BD2C47">
              <w:rPr>
                <w:rFonts w:eastAsia="Calibri" w:hAnsi="Calibri"/>
                <w:spacing w:val="-1"/>
                <w:szCs w:val="22"/>
              </w:rPr>
              <w:t>an</w:t>
            </w:r>
            <w:r w:rsidRPr="00BD2C47">
              <w:rPr>
                <w:rFonts w:eastAsia="Calibri" w:hAnsi="Calibri"/>
                <w:spacing w:val="2"/>
                <w:szCs w:val="22"/>
              </w:rPr>
              <w:t xml:space="preserve"> </w:t>
            </w:r>
            <w:r w:rsidRPr="00BD2C47">
              <w:rPr>
                <w:rFonts w:eastAsia="Calibri" w:hAnsi="Calibri"/>
                <w:spacing w:val="-1"/>
                <w:szCs w:val="22"/>
              </w:rPr>
              <w:t>approximate</w:t>
            </w:r>
            <w:r w:rsidRPr="00BD2C47">
              <w:rPr>
                <w:rFonts w:eastAsia="Calibri" w:hAnsi="Calibri"/>
                <w:szCs w:val="22"/>
              </w:rPr>
              <w:t xml:space="preserve"> </w:t>
            </w:r>
            <w:r w:rsidRPr="00BD2C47">
              <w:rPr>
                <w:rFonts w:eastAsia="Calibri" w:hAnsi="Calibri"/>
                <w:spacing w:val="-1"/>
                <w:szCs w:val="22"/>
              </w:rPr>
              <w:t xml:space="preserve">balance </w:t>
            </w:r>
            <w:r w:rsidRPr="00BD2C47">
              <w:rPr>
                <w:rFonts w:eastAsia="Calibri" w:hAnsi="Calibri"/>
                <w:szCs w:val="22"/>
              </w:rPr>
              <w:t xml:space="preserve">of </w:t>
            </w:r>
            <w:r w:rsidRPr="00BD2C47">
              <w:rPr>
                <w:rFonts w:eastAsia="Calibri" w:hAnsi="Calibri"/>
                <w:spacing w:val="-1"/>
                <w:szCs w:val="22"/>
              </w:rPr>
              <w:t>positive</w:t>
            </w:r>
            <w:r w:rsidRPr="00BD2C47">
              <w:rPr>
                <w:rFonts w:eastAsia="Calibri" w:hAnsi="Calibri"/>
                <w:spacing w:val="71"/>
                <w:szCs w:val="22"/>
              </w:rPr>
              <w:t xml:space="preserve"> </w:t>
            </w:r>
            <w:r w:rsidRPr="00BD2C47">
              <w:rPr>
                <w:rFonts w:eastAsia="Calibri" w:hAnsi="Calibri"/>
                <w:spacing w:val="-1"/>
                <w:szCs w:val="22"/>
              </w:rPr>
              <w:t>and</w:t>
            </w:r>
            <w:r w:rsidRPr="00BD2C47">
              <w:rPr>
                <w:rFonts w:eastAsia="Calibri" w:hAnsi="Calibri"/>
                <w:szCs w:val="22"/>
              </w:rPr>
              <w:t xml:space="preserve"> </w:t>
            </w:r>
            <w:r w:rsidRPr="00BD2C47">
              <w:rPr>
                <w:rFonts w:eastAsia="Calibri" w:hAnsi="Calibri"/>
                <w:spacing w:val="-1"/>
                <w:szCs w:val="22"/>
              </w:rPr>
              <w:t>negative</w:t>
            </w:r>
            <w:r w:rsidRPr="00BD2C47">
              <w:rPr>
                <w:rFonts w:eastAsia="Calibri" w:hAnsi="Calibri"/>
                <w:spacing w:val="1"/>
                <w:szCs w:val="22"/>
              </w:rPr>
              <w:t xml:space="preserve"> </w:t>
            </w:r>
            <w:r w:rsidRPr="00BD2C47">
              <w:rPr>
                <w:rFonts w:eastAsia="Calibri" w:hAnsi="Calibri"/>
                <w:spacing w:val="-1"/>
                <w:szCs w:val="22"/>
              </w:rPr>
              <w:t>evidence.</w:t>
            </w:r>
          </w:p>
          <w:p w14:paraId="6C92584A" w14:textId="77777777" w:rsidR="00BD2C47" w:rsidRPr="00BD2C47" w:rsidRDefault="00BD2C47" w:rsidP="00BD2C47">
            <w:pPr>
              <w:widowControl w:val="0"/>
              <w:overflowPunct/>
              <w:autoSpaceDE/>
              <w:autoSpaceDN/>
              <w:adjustRightInd/>
              <w:ind w:right="841"/>
              <w:textAlignment w:val="auto"/>
              <w:rPr>
                <w:szCs w:val="24"/>
              </w:rPr>
            </w:pPr>
            <w:r w:rsidRPr="00BD2C47">
              <w:rPr>
                <w:rFonts w:eastAsia="Calibri" w:hAnsi="Calibri"/>
                <w:szCs w:val="22"/>
              </w:rPr>
              <w:t xml:space="preserve">38 </w:t>
            </w:r>
            <w:r w:rsidRPr="00BD2C47">
              <w:rPr>
                <w:rFonts w:eastAsia="Calibri" w:hAnsi="Calibri"/>
                <w:spacing w:val="-1"/>
                <w:szCs w:val="22"/>
              </w:rPr>
              <w:t>CFR</w:t>
            </w:r>
            <w:r w:rsidRPr="00BD2C47">
              <w:rPr>
                <w:rFonts w:eastAsia="Calibri" w:hAnsi="Calibri"/>
                <w:szCs w:val="22"/>
              </w:rPr>
              <w:t xml:space="preserve"> 4.2 </w:t>
            </w:r>
            <w:r w:rsidRPr="00BD2C47">
              <w:rPr>
                <w:rFonts w:eastAsia="Calibri" w:hAnsi="Calibri"/>
                <w:spacing w:val="-1"/>
                <w:szCs w:val="22"/>
              </w:rPr>
              <w:t>and</w:t>
            </w:r>
            <w:r w:rsidRPr="00BD2C47">
              <w:rPr>
                <w:rFonts w:eastAsia="Calibri" w:hAnsi="Calibri"/>
                <w:szCs w:val="22"/>
              </w:rPr>
              <w:t xml:space="preserve"> 38 </w:t>
            </w:r>
            <w:r w:rsidRPr="00BD2C47">
              <w:rPr>
                <w:rFonts w:eastAsia="Calibri" w:hAnsi="Calibri"/>
                <w:spacing w:val="-1"/>
                <w:szCs w:val="22"/>
              </w:rPr>
              <w:t>CFR</w:t>
            </w:r>
            <w:r w:rsidRPr="00BD2C47">
              <w:rPr>
                <w:rFonts w:eastAsia="Calibri" w:hAnsi="Calibri"/>
                <w:szCs w:val="22"/>
              </w:rPr>
              <w:t xml:space="preserve"> 3.102 </w:t>
            </w:r>
            <w:r w:rsidRPr="00BD2C47">
              <w:rPr>
                <w:rFonts w:eastAsia="Calibri" w:hAnsi="Calibri"/>
                <w:spacing w:val="-1"/>
                <w:szCs w:val="22"/>
              </w:rPr>
              <w:t>states</w:t>
            </w:r>
            <w:r w:rsidRPr="00BD2C47">
              <w:rPr>
                <w:rFonts w:eastAsia="Calibri" w:hAnsi="Calibri"/>
                <w:szCs w:val="22"/>
              </w:rPr>
              <w:t xml:space="preserve"> </w:t>
            </w:r>
            <w:r w:rsidRPr="00BD2C47">
              <w:rPr>
                <w:rFonts w:eastAsia="Calibri" w:hAnsi="Calibri"/>
                <w:spacing w:val="-1"/>
                <w:szCs w:val="22"/>
              </w:rPr>
              <w:t>that</w:t>
            </w:r>
            <w:r w:rsidRPr="00BD2C47">
              <w:rPr>
                <w:rFonts w:eastAsia="Calibri" w:hAnsi="Calibri"/>
                <w:szCs w:val="22"/>
              </w:rPr>
              <w:t xml:space="preserve"> reasonable doubt</w:t>
            </w:r>
            <w:r w:rsidRPr="00BD2C47">
              <w:rPr>
                <w:rFonts w:eastAsia="Calibri" w:hAnsi="Calibri"/>
                <w:spacing w:val="2"/>
                <w:szCs w:val="22"/>
              </w:rPr>
              <w:t xml:space="preserve"> </w:t>
            </w:r>
            <w:r w:rsidRPr="00BD2C47">
              <w:rPr>
                <w:rFonts w:eastAsia="Calibri" w:hAnsi="Calibri"/>
                <w:szCs w:val="22"/>
              </w:rPr>
              <w:t>should</w:t>
            </w:r>
            <w:r w:rsidRPr="00BD2C47">
              <w:rPr>
                <w:rFonts w:eastAsia="Calibri" w:hAnsi="Calibri"/>
                <w:spacing w:val="27"/>
                <w:szCs w:val="22"/>
              </w:rPr>
              <w:t xml:space="preserve"> </w:t>
            </w:r>
            <w:r w:rsidRPr="00BD2C47">
              <w:rPr>
                <w:rFonts w:eastAsia="Calibri" w:hAnsi="Calibri"/>
                <w:spacing w:val="-1"/>
                <w:szCs w:val="22"/>
              </w:rPr>
              <w:t>always</w:t>
            </w:r>
            <w:r w:rsidRPr="00BD2C47">
              <w:rPr>
                <w:rFonts w:eastAsia="Calibri" w:hAnsi="Calibri"/>
                <w:szCs w:val="22"/>
              </w:rPr>
              <w:t xml:space="preserve"> be </w:t>
            </w:r>
            <w:r w:rsidRPr="00BD2C47">
              <w:rPr>
                <w:rFonts w:eastAsia="Calibri" w:hAnsi="Calibri"/>
                <w:spacing w:val="-1"/>
                <w:szCs w:val="22"/>
              </w:rPr>
              <w:t>resolved</w:t>
            </w:r>
            <w:r w:rsidRPr="00BD2C47">
              <w:rPr>
                <w:rFonts w:eastAsia="Calibri" w:hAnsi="Calibri"/>
                <w:szCs w:val="22"/>
              </w:rPr>
              <w:t xml:space="preserve"> in favor</w:t>
            </w:r>
            <w:r w:rsidRPr="00BD2C47">
              <w:rPr>
                <w:rFonts w:eastAsia="Calibri" w:hAnsi="Calibri"/>
                <w:spacing w:val="-1"/>
                <w:szCs w:val="22"/>
              </w:rPr>
              <w:t xml:space="preserve"> </w:t>
            </w:r>
            <w:r w:rsidRPr="00BD2C47">
              <w:rPr>
                <w:rFonts w:eastAsia="Calibri" w:hAnsi="Calibri"/>
                <w:szCs w:val="22"/>
              </w:rPr>
              <w:t>of the</w:t>
            </w:r>
            <w:r w:rsidRPr="00BD2C47">
              <w:rPr>
                <w:rFonts w:eastAsia="Calibri" w:hAnsi="Calibri"/>
                <w:spacing w:val="-2"/>
                <w:szCs w:val="22"/>
              </w:rPr>
              <w:t xml:space="preserve"> </w:t>
            </w:r>
            <w:r w:rsidRPr="00BD2C47">
              <w:rPr>
                <w:rFonts w:eastAsia="Calibri" w:hAnsi="Calibri"/>
                <w:spacing w:val="-1"/>
                <w:szCs w:val="22"/>
              </w:rPr>
              <w:t>claimant.</w:t>
            </w:r>
          </w:p>
          <w:p w14:paraId="235F41B4" w14:textId="455212AF" w:rsidR="009B2F5A" w:rsidRPr="00EA0AE9" w:rsidRDefault="00BD2C47" w:rsidP="00BD2C47">
            <w:pPr>
              <w:pStyle w:val="VBALevel1Heading"/>
              <w:spacing w:before="240" w:after="240"/>
            </w:pPr>
            <w:r w:rsidRPr="00BD2C47">
              <w:rPr>
                <w:b w:val="0"/>
                <w:caps w:val="0"/>
                <w:spacing w:val="-2"/>
                <w:szCs w:val="24"/>
              </w:rPr>
              <w:t>If</w:t>
            </w:r>
            <w:r w:rsidRPr="00BD2C47">
              <w:rPr>
                <w:b w:val="0"/>
                <w:caps w:val="0"/>
                <w:spacing w:val="1"/>
                <w:szCs w:val="24"/>
              </w:rPr>
              <w:t xml:space="preserve"> </w:t>
            </w:r>
            <w:r w:rsidRPr="00BD2C47">
              <w:rPr>
                <w:b w:val="0"/>
                <w:caps w:val="0"/>
                <w:spacing w:val="-1"/>
                <w:szCs w:val="24"/>
              </w:rPr>
              <w:t xml:space="preserve">evidence </w:t>
            </w:r>
            <w:r w:rsidRPr="00BD2C47">
              <w:rPr>
                <w:b w:val="0"/>
                <w:caps w:val="0"/>
                <w:szCs w:val="24"/>
              </w:rPr>
              <w:t xml:space="preserve">for </w:t>
            </w:r>
            <w:r w:rsidRPr="00BD2C47">
              <w:rPr>
                <w:b w:val="0"/>
                <w:caps w:val="0"/>
                <w:spacing w:val="-1"/>
                <w:szCs w:val="24"/>
              </w:rPr>
              <w:t>and</w:t>
            </w:r>
            <w:r w:rsidRPr="00BD2C47">
              <w:rPr>
                <w:b w:val="0"/>
                <w:caps w:val="0"/>
                <w:szCs w:val="24"/>
              </w:rPr>
              <w:t xml:space="preserve"> against is </w:t>
            </w:r>
            <w:r w:rsidRPr="00BD2C47">
              <w:rPr>
                <w:b w:val="0"/>
                <w:caps w:val="0"/>
                <w:spacing w:val="-1"/>
                <w:szCs w:val="24"/>
              </w:rPr>
              <w:t>equal,</w:t>
            </w:r>
            <w:r w:rsidRPr="00BD2C47">
              <w:rPr>
                <w:b w:val="0"/>
                <w:caps w:val="0"/>
                <w:szCs w:val="24"/>
              </w:rPr>
              <w:t xml:space="preserve"> </w:t>
            </w:r>
            <w:r w:rsidRPr="00BD2C47">
              <w:rPr>
                <w:b w:val="0"/>
                <w:caps w:val="0"/>
                <w:spacing w:val="-1"/>
                <w:szCs w:val="24"/>
              </w:rPr>
              <w:t>resolve</w:t>
            </w:r>
            <w:r w:rsidRPr="00BD2C47">
              <w:rPr>
                <w:b w:val="0"/>
                <w:caps w:val="0"/>
                <w:szCs w:val="24"/>
              </w:rPr>
              <w:t xml:space="preserve"> in</w:t>
            </w:r>
            <w:r w:rsidRPr="00BD2C47">
              <w:rPr>
                <w:b w:val="0"/>
                <w:caps w:val="0"/>
                <w:spacing w:val="2"/>
                <w:szCs w:val="24"/>
              </w:rPr>
              <w:t xml:space="preserve"> </w:t>
            </w:r>
            <w:r w:rsidRPr="00BD2C47">
              <w:rPr>
                <w:b w:val="0"/>
                <w:caps w:val="0"/>
                <w:szCs w:val="24"/>
              </w:rPr>
              <w:t>the</w:t>
            </w:r>
            <w:r w:rsidRPr="00BD2C47">
              <w:rPr>
                <w:b w:val="0"/>
                <w:caps w:val="0"/>
                <w:spacing w:val="1"/>
                <w:szCs w:val="24"/>
              </w:rPr>
              <w:t xml:space="preserve"> </w:t>
            </w:r>
            <w:r w:rsidRPr="00BD2C47">
              <w:rPr>
                <w:b w:val="0"/>
                <w:caps w:val="0"/>
                <w:spacing w:val="-1"/>
                <w:szCs w:val="24"/>
              </w:rPr>
              <w:t>claimant’s</w:t>
            </w:r>
            <w:r w:rsidRPr="00BD2C47">
              <w:rPr>
                <w:b w:val="0"/>
                <w:caps w:val="0"/>
                <w:szCs w:val="24"/>
              </w:rPr>
              <w:t xml:space="preserve"> favor </w:t>
            </w:r>
            <w:r w:rsidRPr="00BD2C47">
              <w:rPr>
                <w:b w:val="0"/>
                <w:caps w:val="0"/>
                <w:spacing w:val="-1"/>
                <w:szCs w:val="24"/>
              </w:rPr>
              <w:t>and</w:t>
            </w:r>
            <w:r w:rsidRPr="00BD2C47">
              <w:rPr>
                <w:b w:val="0"/>
                <w:caps w:val="0"/>
                <w:spacing w:val="61"/>
                <w:szCs w:val="24"/>
              </w:rPr>
              <w:t xml:space="preserve"> </w:t>
            </w:r>
            <w:r w:rsidRPr="00BD2C47">
              <w:rPr>
                <w:b w:val="0"/>
                <w:caps w:val="0"/>
                <w:szCs w:val="24"/>
              </w:rPr>
              <w:t>explain</w:t>
            </w:r>
            <w:r w:rsidRPr="00BD2C47">
              <w:rPr>
                <w:b w:val="0"/>
                <w:caps w:val="0"/>
                <w:spacing w:val="2"/>
                <w:szCs w:val="24"/>
              </w:rPr>
              <w:t xml:space="preserve"> </w:t>
            </w:r>
            <w:r w:rsidRPr="00BD2C47">
              <w:rPr>
                <w:b w:val="0"/>
                <w:caps w:val="0"/>
                <w:spacing w:val="-2"/>
                <w:szCs w:val="24"/>
              </w:rPr>
              <w:t>your</w:t>
            </w:r>
            <w:r w:rsidRPr="00BD2C47">
              <w:rPr>
                <w:b w:val="0"/>
                <w:caps w:val="0"/>
                <w:szCs w:val="24"/>
              </w:rPr>
              <w:t xml:space="preserve"> </w:t>
            </w:r>
            <w:r w:rsidRPr="00BD2C47">
              <w:rPr>
                <w:b w:val="0"/>
                <w:caps w:val="0"/>
                <w:spacing w:val="-1"/>
                <w:szCs w:val="24"/>
              </w:rPr>
              <w:t>analysis</w:t>
            </w:r>
            <w:r w:rsidRPr="00BD2C47">
              <w:rPr>
                <w:b w:val="0"/>
                <w:caps w:val="0"/>
                <w:szCs w:val="24"/>
              </w:rPr>
              <w:t xml:space="preserve"> to the</w:t>
            </w:r>
            <w:r w:rsidRPr="00BD2C47">
              <w:rPr>
                <w:b w:val="0"/>
                <w:caps w:val="0"/>
                <w:spacing w:val="-1"/>
                <w:szCs w:val="24"/>
              </w:rPr>
              <w:t xml:space="preserve"> reader.</w:t>
            </w:r>
            <w:r w:rsidRPr="00BD2C47">
              <w:rPr>
                <w:b w:val="0"/>
                <w:caps w:val="0"/>
                <w:spacing w:val="1"/>
                <w:szCs w:val="24"/>
              </w:rPr>
              <w:t xml:space="preserve"> </w:t>
            </w:r>
            <w:r w:rsidRPr="00BD2C47">
              <w:rPr>
                <w:b w:val="0"/>
                <w:caps w:val="0"/>
                <w:spacing w:val="-1"/>
                <w:szCs w:val="24"/>
              </w:rPr>
              <w:t>Conclusions</w:t>
            </w:r>
            <w:r w:rsidRPr="00BD2C47">
              <w:rPr>
                <w:b w:val="0"/>
                <w:caps w:val="0"/>
                <w:szCs w:val="24"/>
              </w:rPr>
              <w:t xml:space="preserve"> should be </w:t>
            </w:r>
            <w:r w:rsidRPr="00BD2C47">
              <w:rPr>
                <w:b w:val="0"/>
                <w:caps w:val="0"/>
                <w:spacing w:val="-1"/>
                <w:szCs w:val="24"/>
              </w:rPr>
              <w:t>supported</w:t>
            </w:r>
            <w:r w:rsidRPr="00BD2C47">
              <w:rPr>
                <w:b w:val="0"/>
                <w:caps w:val="0"/>
                <w:szCs w:val="24"/>
              </w:rPr>
              <w:t xml:space="preserve"> </w:t>
            </w:r>
            <w:r w:rsidRPr="00BD2C47">
              <w:rPr>
                <w:b w:val="0"/>
                <w:caps w:val="0"/>
                <w:spacing w:val="2"/>
                <w:szCs w:val="24"/>
              </w:rPr>
              <w:t>by</w:t>
            </w:r>
            <w:r w:rsidRPr="00BD2C47">
              <w:rPr>
                <w:b w:val="0"/>
                <w:caps w:val="0"/>
                <w:spacing w:val="66"/>
                <w:szCs w:val="24"/>
              </w:rPr>
              <w:t xml:space="preserve"> </w:t>
            </w:r>
            <w:r w:rsidRPr="00BD2C47">
              <w:rPr>
                <w:b w:val="0"/>
                <w:caps w:val="0"/>
                <w:spacing w:val="-1"/>
                <w:szCs w:val="24"/>
              </w:rPr>
              <w:t>evidence.</w:t>
            </w:r>
          </w:p>
        </w:tc>
      </w:tr>
      <w:tr w:rsidR="00FC4B9A" w:rsidRPr="00EA0AE9" w14:paraId="235F41BA" w14:textId="77777777">
        <w:trPr>
          <w:trHeight w:val="212"/>
        </w:trPr>
        <w:tc>
          <w:tcPr>
            <w:tcW w:w="2560" w:type="dxa"/>
            <w:tcBorders>
              <w:top w:val="nil"/>
              <w:left w:val="nil"/>
              <w:bottom w:val="nil"/>
              <w:right w:val="nil"/>
            </w:tcBorders>
          </w:tcPr>
          <w:p w14:paraId="4960A8AB" w14:textId="77777777" w:rsidR="00FC4B9A" w:rsidRPr="00BD2C47" w:rsidRDefault="00FC4B9A" w:rsidP="008D6028">
            <w:pPr>
              <w:pStyle w:val="VBALevel2Heading"/>
              <w:rPr>
                <w:color w:val="auto"/>
              </w:rPr>
            </w:pPr>
            <w:r>
              <w:rPr>
                <w:color w:val="auto"/>
              </w:rPr>
              <w:t>38 CFR 4.23</w:t>
            </w:r>
          </w:p>
          <w:p w14:paraId="1C33925F" w14:textId="0DCD8D32" w:rsidR="00FC4B9A" w:rsidRPr="00EA0AE9" w:rsidRDefault="00FC4B9A" w:rsidP="008D6028">
            <w:pPr>
              <w:pStyle w:val="VBASlideNumber"/>
              <w:rPr>
                <w:color w:val="auto"/>
              </w:rPr>
            </w:pPr>
            <w:r w:rsidRPr="00EA0AE9">
              <w:rPr>
                <w:color w:val="auto"/>
              </w:rPr>
              <w:t xml:space="preserve">Slide </w:t>
            </w:r>
            <w:r>
              <w:rPr>
                <w:color w:val="auto"/>
              </w:rPr>
              <w:t>8</w:t>
            </w:r>
            <w:r w:rsidRPr="00EA0AE9">
              <w:rPr>
                <w:color w:val="auto"/>
              </w:rPr>
              <w:br/>
            </w:r>
          </w:p>
          <w:p w14:paraId="235F41B8" w14:textId="7B494B8D" w:rsidR="00FC4B9A" w:rsidRPr="00EA0AE9" w:rsidRDefault="00FC4B9A" w:rsidP="008047DC">
            <w:pPr>
              <w:pStyle w:val="VBAHandoutNumber"/>
              <w:rPr>
                <w:color w:val="auto"/>
              </w:rPr>
            </w:pPr>
            <w:r w:rsidRPr="00EA0AE9">
              <w:rPr>
                <w:color w:val="auto"/>
              </w:rPr>
              <w:t xml:space="preserve">Handout </w:t>
            </w:r>
            <w:r w:rsidR="008047DC">
              <w:rPr>
                <w:color w:val="auto"/>
              </w:rPr>
              <w:t>5</w:t>
            </w:r>
          </w:p>
        </w:tc>
        <w:tc>
          <w:tcPr>
            <w:tcW w:w="7217" w:type="dxa"/>
            <w:tcBorders>
              <w:top w:val="nil"/>
              <w:left w:val="nil"/>
              <w:bottom w:val="nil"/>
              <w:right w:val="nil"/>
            </w:tcBorders>
          </w:tcPr>
          <w:p w14:paraId="1BFECB14" w14:textId="77777777" w:rsidR="00FC4B9A" w:rsidRDefault="00FC4B9A" w:rsidP="008D6028">
            <w:pPr>
              <w:pStyle w:val="VBABodyText"/>
              <w:rPr>
                <w:color w:val="auto"/>
              </w:rPr>
            </w:pPr>
            <w:r>
              <w:rPr>
                <w:color w:val="auto"/>
              </w:rPr>
              <w:t>There may be times when as a rating officer you find evidence associated with a claim to be contrary to your personal beliefs or values.  It is essential we maintain objectivity and never allow personal feelings to enter into our decision making process.</w:t>
            </w:r>
          </w:p>
          <w:p w14:paraId="235F41B9" w14:textId="18C191D1" w:rsidR="00FC4B9A" w:rsidRPr="00EA0AE9" w:rsidRDefault="00FC4B9A">
            <w:pPr>
              <w:spacing w:before="240" w:after="240"/>
            </w:pPr>
            <w:r>
              <w:t>A claimant may be antagonistic or abusive, but may very well be telling the truth.  Rating officers should maintain impartiality and objectivity, and show fairness and courtesy to claimants at all times.</w:t>
            </w:r>
          </w:p>
        </w:tc>
      </w:tr>
    </w:tbl>
    <w:p w14:paraId="235F41CC" w14:textId="77777777" w:rsidR="002570A6" w:rsidRPr="00EA0AE9" w:rsidRDefault="002570A6">
      <w:r w:rsidRPr="00EA0AE9">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EA0AE9" w:rsidRPr="00EA0AE9" w14:paraId="235F41CE" w14:textId="77777777" w:rsidTr="007056E7">
        <w:trPr>
          <w:trHeight w:val="212"/>
        </w:trPr>
        <w:tc>
          <w:tcPr>
            <w:tcW w:w="9777" w:type="dxa"/>
            <w:gridSpan w:val="2"/>
            <w:tcBorders>
              <w:top w:val="nil"/>
              <w:left w:val="nil"/>
              <w:bottom w:val="nil"/>
              <w:right w:val="nil"/>
            </w:tcBorders>
            <w:vAlign w:val="center"/>
          </w:tcPr>
          <w:p w14:paraId="235F41CD" w14:textId="1155223E" w:rsidR="002570A6" w:rsidRPr="00EA0AE9" w:rsidRDefault="002570A6" w:rsidP="008471E3">
            <w:pPr>
              <w:pStyle w:val="VBALessonTopicTitle"/>
              <w:rPr>
                <w:rFonts w:ascii="Times New Roman" w:hAnsi="Times New Roman"/>
                <w:color w:val="auto"/>
              </w:rPr>
            </w:pPr>
            <w:bookmarkStart w:id="38" w:name="_Toc441732658"/>
            <w:r w:rsidRPr="00EA0AE9">
              <w:rPr>
                <w:rFonts w:ascii="Times New Roman" w:hAnsi="Times New Roman"/>
                <w:color w:val="auto"/>
              </w:rPr>
              <w:lastRenderedPageBreak/>
              <w:t xml:space="preserve">Topic 2: </w:t>
            </w:r>
            <w:r w:rsidR="008471E3">
              <w:rPr>
                <w:rFonts w:ascii="Times New Roman" w:hAnsi="Times New Roman"/>
                <w:color w:val="auto"/>
              </w:rPr>
              <w:t>Evidentiary Concepts</w:t>
            </w:r>
            <w:bookmarkEnd w:id="38"/>
          </w:p>
        </w:tc>
      </w:tr>
      <w:tr w:rsidR="00EA0AE9" w:rsidRPr="00EA0AE9" w14:paraId="235F41D1" w14:textId="77777777" w:rsidTr="007056E7">
        <w:trPr>
          <w:trHeight w:val="212"/>
        </w:trPr>
        <w:tc>
          <w:tcPr>
            <w:tcW w:w="2560" w:type="dxa"/>
            <w:tcBorders>
              <w:top w:val="nil"/>
              <w:left w:val="nil"/>
              <w:bottom w:val="nil"/>
              <w:right w:val="nil"/>
            </w:tcBorders>
          </w:tcPr>
          <w:p w14:paraId="235F41CF" w14:textId="77777777" w:rsidR="002570A6" w:rsidRPr="00EA0AE9" w:rsidRDefault="002570A6" w:rsidP="007056E7">
            <w:pPr>
              <w:pStyle w:val="VBALevel1Heading"/>
            </w:pPr>
            <w:r w:rsidRPr="00EA0AE9">
              <w:t>Introduction</w:t>
            </w:r>
          </w:p>
        </w:tc>
        <w:tc>
          <w:tcPr>
            <w:tcW w:w="7217" w:type="dxa"/>
            <w:tcBorders>
              <w:top w:val="nil"/>
              <w:left w:val="nil"/>
              <w:bottom w:val="nil"/>
              <w:right w:val="nil"/>
            </w:tcBorders>
          </w:tcPr>
          <w:p w14:paraId="235F41D0" w14:textId="51373D56" w:rsidR="002570A6" w:rsidRPr="00EA0AE9" w:rsidRDefault="002570A6" w:rsidP="007056E7">
            <w:pPr>
              <w:pStyle w:val="VBABodyText"/>
              <w:rPr>
                <w:b/>
                <w:color w:val="auto"/>
              </w:rPr>
            </w:pPr>
            <w:r w:rsidRPr="00EA0AE9">
              <w:rPr>
                <w:color w:val="auto"/>
              </w:rPr>
              <w:t xml:space="preserve">This topic </w:t>
            </w:r>
            <w:r w:rsidR="00A24655">
              <w:rPr>
                <w:color w:val="auto"/>
              </w:rPr>
              <w:t>will allow the trainee to determine the value of evidence based on the concepts of credibility, competency, and probative value.</w:t>
            </w:r>
          </w:p>
        </w:tc>
      </w:tr>
      <w:tr w:rsidR="00EA0AE9" w:rsidRPr="00EA0AE9" w14:paraId="235F41D4" w14:textId="77777777" w:rsidTr="007056E7">
        <w:trPr>
          <w:trHeight w:val="212"/>
        </w:trPr>
        <w:tc>
          <w:tcPr>
            <w:tcW w:w="2560" w:type="dxa"/>
            <w:tcBorders>
              <w:top w:val="nil"/>
              <w:left w:val="nil"/>
              <w:bottom w:val="nil"/>
              <w:right w:val="nil"/>
            </w:tcBorders>
          </w:tcPr>
          <w:p w14:paraId="235F41D2" w14:textId="77777777" w:rsidR="002570A6" w:rsidRPr="00EA0AE9" w:rsidRDefault="002570A6" w:rsidP="007056E7">
            <w:pPr>
              <w:pStyle w:val="VBALevel1Heading"/>
            </w:pPr>
            <w:r w:rsidRPr="00EA0AE9">
              <w:t>Time Required</w:t>
            </w:r>
          </w:p>
        </w:tc>
        <w:tc>
          <w:tcPr>
            <w:tcW w:w="7217" w:type="dxa"/>
            <w:tcBorders>
              <w:top w:val="nil"/>
              <w:left w:val="nil"/>
              <w:bottom w:val="nil"/>
              <w:right w:val="nil"/>
            </w:tcBorders>
          </w:tcPr>
          <w:p w14:paraId="235F41D3" w14:textId="242212B5" w:rsidR="002570A6" w:rsidRPr="00EA0AE9" w:rsidRDefault="00A24655" w:rsidP="007056E7">
            <w:pPr>
              <w:pStyle w:val="VBATimeReq"/>
              <w:rPr>
                <w:color w:val="auto"/>
              </w:rPr>
            </w:pPr>
            <w:r>
              <w:rPr>
                <w:color w:val="auto"/>
              </w:rPr>
              <w:t>0.75</w:t>
            </w:r>
            <w:r w:rsidR="002570A6" w:rsidRPr="00EA0AE9">
              <w:rPr>
                <w:color w:val="auto"/>
              </w:rPr>
              <w:t xml:space="preserve"> hours</w:t>
            </w:r>
          </w:p>
        </w:tc>
      </w:tr>
      <w:tr w:rsidR="00EA0AE9" w:rsidRPr="00EA0AE9" w14:paraId="235F41DF" w14:textId="77777777" w:rsidTr="007056E7">
        <w:trPr>
          <w:trHeight w:val="212"/>
        </w:trPr>
        <w:tc>
          <w:tcPr>
            <w:tcW w:w="2560" w:type="dxa"/>
            <w:tcBorders>
              <w:top w:val="nil"/>
              <w:left w:val="nil"/>
              <w:bottom w:val="nil"/>
              <w:right w:val="nil"/>
            </w:tcBorders>
          </w:tcPr>
          <w:p w14:paraId="235F41D5" w14:textId="77777777" w:rsidR="002570A6" w:rsidRPr="00EA0AE9" w:rsidRDefault="002570A6" w:rsidP="007056E7">
            <w:pPr>
              <w:pStyle w:val="VBALevel1Heading"/>
            </w:pPr>
            <w:r w:rsidRPr="00EA0AE9">
              <w:t>OBJECTIVES/</w:t>
            </w:r>
            <w:r w:rsidRPr="00EA0AE9">
              <w:br/>
              <w:t>Teaching Points</w:t>
            </w:r>
          </w:p>
          <w:p w14:paraId="235F41D6" w14:textId="77777777" w:rsidR="002570A6" w:rsidRPr="00EA0AE9" w:rsidRDefault="002570A6" w:rsidP="007056E7">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EA0AE9" w:rsidRDefault="002570A6" w:rsidP="007056E7">
            <w:pPr>
              <w:tabs>
                <w:tab w:val="left" w:pos="590"/>
              </w:tabs>
              <w:spacing w:after="120"/>
              <w:rPr>
                <w:szCs w:val="24"/>
              </w:rPr>
            </w:pPr>
            <w:r w:rsidRPr="00EA0AE9">
              <w:rPr>
                <w:szCs w:val="24"/>
              </w:rPr>
              <w:t>Topic objectives:</w:t>
            </w:r>
          </w:p>
          <w:p w14:paraId="45CAB72E" w14:textId="77777777" w:rsidR="00A24655" w:rsidRPr="00A24655" w:rsidRDefault="00A24655" w:rsidP="00A24655">
            <w:pPr>
              <w:pStyle w:val="ListParagraph"/>
              <w:numPr>
                <w:ilvl w:val="0"/>
                <w:numId w:val="9"/>
              </w:numPr>
              <w:tabs>
                <w:tab w:val="left" w:pos="590"/>
              </w:tabs>
              <w:spacing w:after="120"/>
              <w:rPr>
                <w:bCs/>
                <w:szCs w:val="24"/>
              </w:rPr>
            </w:pPr>
            <w:r w:rsidRPr="00A24655">
              <w:rPr>
                <w:szCs w:val="24"/>
              </w:rPr>
              <w:t>Identify the major concepts involved in weighing evidence</w:t>
            </w:r>
          </w:p>
          <w:p w14:paraId="235F41DB" w14:textId="0CE23AC1" w:rsidR="002570A6" w:rsidRPr="00A24655" w:rsidRDefault="002570A6" w:rsidP="00A24655">
            <w:pPr>
              <w:tabs>
                <w:tab w:val="left" w:pos="590"/>
              </w:tabs>
              <w:spacing w:after="120"/>
              <w:rPr>
                <w:bCs/>
                <w:szCs w:val="24"/>
              </w:rPr>
            </w:pPr>
            <w:r w:rsidRPr="00A24655">
              <w:rPr>
                <w:szCs w:val="24"/>
              </w:rPr>
              <w:t>The following topic teaching points support the topic objectives</w:t>
            </w:r>
            <w:r w:rsidRPr="00A24655">
              <w:rPr>
                <w:bCs/>
                <w:szCs w:val="24"/>
              </w:rPr>
              <w:t xml:space="preserve">: </w:t>
            </w:r>
          </w:p>
          <w:p w14:paraId="44BC37BE" w14:textId="77777777" w:rsidR="002570A6" w:rsidRDefault="00A24655" w:rsidP="007056E7">
            <w:pPr>
              <w:numPr>
                <w:ilvl w:val="0"/>
                <w:numId w:val="9"/>
              </w:numPr>
              <w:tabs>
                <w:tab w:val="left" w:pos="590"/>
              </w:tabs>
              <w:spacing w:before="60" w:after="60"/>
              <w:rPr>
                <w:szCs w:val="24"/>
              </w:rPr>
            </w:pPr>
            <w:r>
              <w:rPr>
                <w:szCs w:val="24"/>
              </w:rPr>
              <w:t>Evidentiary Concepts</w:t>
            </w:r>
          </w:p>
          <w:p w14:paraId="104BEE22" w14:textId="77777777" w:rsidR="00A24655" w:rsidRDefault="00A24655" w:rsidP="007056E7">
            <w:pPr>
              <w:numPr>
                <w:ilvl w:val="0"/>
                <w:numId w:val="9"/>
              </w:numPr>
              <w:tabs>
                <w:tab w:val="left" w:pos="590"/>
              </w:tabs>
              <w:spacing w:before="60" w:after="60"/>
              <w:rPr>
                <w:szCs w:val="24"/>
              </w:rPr>
            </w:pPr>
            <w:r>
              <w:rPr>
                <w:szCs w:val="24"/>
              </w:rPr>
              <w:t>Credibility</w:t>
            </w:r>
          </w:p>
          <w:p w14:paraId="0C2C43A8" w14:textId="77777777" w:rsidR="00A24655" w:rsidRDefault="00A24655" w:rsidP="007056E7">
            <w:pPr>
              <w:numPr>
                <w:ilvl w:val="0"/>
                <w:numId w:val="9"/>
              </w:numPr>
              <w:tabs>
                <w:tab w:val="left" w:pos="590"/>
              </w:tabs>
              <w:spacing w:before="60" w:after="60"/>
              <w:rPr>
                <w:szCs w:val="24"/>
              </w:rPr>
            </w:pPr>
            <w:r>
              <w:rPr>
                <w:szCs w:val="24"/>
              </w:rPr>
              <w:t>Competent Evidence</w:t>
            </w:r>
          </w:p>
          <w:p w14:paraId="504348EF" w14:textId="77777777" w:rsidR="00A24655" w:rsidRDefault="00A24655" w:rsidP="007056E7">
            <w:pPr>
              <w:numPr>
                <w:ilvl w:val="0"/>
                <w:numId w:val="9"/>
              </w:numPr>
              <w:tabs>
                <w:tab w:val="left" w:pos="590"/>
              </w:tabs>
              <w:spacing w:before="60" w:after="60"/>
              <w:rPr>
                <w:szCs w:val="24"/>
              </w:rPr>
            </w:pPr>
            <w:r>
              <w:rPr>
                <w:szCs w:val="24"/>
              </w:rPr>
              <w:t>Probative Value</w:t>
            </w:r>
          </w:p>
          <w:p w14:paraId="235F41DE" w14:textId="1D2B5F85" w:rsidR="00A24655" w:rsidRPr="00EA0AE9" w:rsidRDefault="00A24655" w:rsidP="007056E7">
            <w:pPr>
              <w:numPr>
                <w:ilvl w:val="0"/>
                <w:numId w:val="9"/>
              </w:numPr>
              <w:tabs>
                <w:tab w:val="left" w:pos="590"/>
              </w:tabs>
              <w:spacing w:before="60" w:after="60"/>
              <w:rPr>
                <w:szCs w:val="24"/>
              </w:rPr>
            </w:pPr>
            <w:r>
              <w:rPr>
                <w:szCs w:val="24"/>
              </w:rPr>
              <w:t>Absence of Evidence</w:t>
            </w:r>
          </w:p>
        </w:tc>
      </w:tr>
      <w:tr w:rsidR="00EA0AE9" w:rsidRPr="00EA0AE9" w14:paraId="235F41E4" w14:textId="77777777" w:rsidTr="007056E7">
        <w:trPr>
          <w:trHeight w:val="212"/>
        </w:trPr>
        <w:tc>
          <w:tcPr>
            <w:tcW w:w="2560" w:type="dxa"/>
            <w:tcBorders>
              <w:top w:val="nil"/>
              <w:left w:val="nil"/>
              <w:bottom w:val="nil"/>
              <w:right w:val="nil"/>
            </w:tcBorders>
          </w:tcPr>
          <w:p w14:paraId="235F41E0" w14:textId="4051CCD2" w:rsidR="002570A6" w:rsidRPr="00EA0AE9" w:rsidRDefault="00300321" w:rsidP="007056E7">
            <w:pPr>
              <w:pStyle w:val="VBALevel2Heading"/>
              <w:rPr>
                <w:bCs/>
                <w:i/>
                <w:color w:val="auto"/>
              </w:rPr>
            </w:pPr>
            <w:r>
              <w:rPr>
                <w:color w:val="auto"/>
              </w:rPr>
              <w:t>Evidentiary Concepts</w:t>
            </w:r>
            <w:r w:rsidR="002570A6" w:rsidRPr="00EA0AE9">
              <w:rPr>
                <w:color w:val="auto"/>
              </w:rPr>
              <w:br/>
            </w:r>
          </w:p>
          <w:p w14:paraId="235F41E1" w14:textId="3C60D2BC" w:rsidR="002570A6" w:rsidRPr="00EA0AE9" w:rsidRDefault="002570A6" w:rsidP="007056E7">
            <w:pPr>
              <w:pStyle w:val="VBASlideNumber"/>
              <w:rPr>
                <w:color w:val="auto"/>
              </w:rPr>
            </w:pPr>
            <w:r w:rsidRPr="00EA0AE9">
              <w:rPr>
                <w:color w:val="auto"/>
              </w:rPr>
              <w:t xml:space="preserve">Slide </w:t>
            </w:r>
            <w:r w:rsidR="00300321">
              <w:rPr>
                <w:color w:val="auto"/>
              </w:rPr>
              <w:t>9</w:t>
            </w:r>
            <w:r w:rsidRPr="00EA0AE9">
              <w:rPr>
                <w:color w:val="auto"/>
              </w:rPr>
              <w:br/>
            </w:r>
          </w:p>
          <w:p w14:paraId="235F41E2" w14:textId="0805CE7C" w:rsidR="002570A6" w:rsidRPr="00EA0AE9" w:rsidRDefault="002570A6" w:rsidP="005E707B">
            <w:pPr>
              <w:pStyle w:val="VBAHandoutNumber"/>
              <w:rPr>
                <w:color w:val="auto"/>
              </w:rPr>
            </w:pPr>
            <w:r w:rsidRPr="00EA0AE9">
              <w:rPr>
                <w:color w:val="auto"/>
              </w:rPr>
              <w:t xml:space="preserve">Handout </w:t>
            </w:r>
            <w:r w:rsidR="005E707B">
              <w:rPr>
                <w:color w:val="auto"/>
              </w:rPr>
              <w:t>6</w:t>
            </w:r>
          </w:p>
        </w:tc>
        <w:tc>
          <w:tcPr>
            <w:tcW w:w="7217" w:type="dxa"/>
            <w:tcBorders>
              <w:top w:val="nil"/>
              <w:left w:val="nil"/>
              <w:bottom w:val="nil"/>
              <w:right w:val="nil"/>
            </w:tcBorders>
          </w:tcPr>
          <w:p w14:paraId="019BD655" w14:textId="77777777" w:rsidR="002570A6" w:rsidRDefault="00E8539A" w:rsidP="007056E7">
            <w:pPr>
              <w:pStyle w:val="VBABodyText"/>
              <w:rPr>
                <w:color w:val="auto"/>
              </w:rPr>
            </w:pPr>
            <w:r>
              <w:rPr>
                <w:color w:val="auto"/>
              </w:rPr>
              <w:t>There are a number of concepts pertaining to how evidence is evaluated.  In this lesson, we will define four major concepts:</w:t>
            </w:r>
          </w:p>
          <w:p w14:paraId="76644382" w14:textId="77777777" w:rsidR="00E8539A" w:rsidRDefault="00E8539A" w:rsidP="006B6344">
            <w:pPr>
              <w:pStyle w:val="VBABodyText"/>
              <w:numPr>
                <w:ilvl w:val="0"/>
                <w:numId w:val="41"/>
              </w:numPr>
              <w:spacing w:after="120"/>
              <w:rPr>
                <w:color w:val="auto"/>
              </w:rPr>
            </w:pPr>
            <w:r>
              <w:rPr>
                <w:color w:val="auto"/>
              </w:rPr>
              <w:t>Credibility</w:t>
            </w:r>
          </w:p>
          <w:p w14:paraId="47051717" w14:textId="77777777" w:rsidR="00E8539A" w:rsidRDefault="00E8539A" w:rsidP="006B6344">
            <w:pPr>
              <w:pStyle w:val="VBABodyText"/>
              <w:numPr>
                <w:ilvl w:val="0"/>
                <w:numId w:val="41"/>
              </w:numPr>
              <w:spacing w:after="120"/>
              <w:rPr>
                <w:color w:val="auto"/>
              </w:rPr>
            </w:pPr>
            <w:r>
              <w:rPr>
                <w:color w:val="auto"/>
              </w:rPr>
              <w:t>Competent evidence</w:t>
            </w:r>
          </w:p>
          <w:p w14:paraId="20D19B16" w14:textId="77777777" w:rsidR="00E8539A" w:rsidRDefault="00E8539A" w:rsidP="006B6344">
            <w:pPr>
              <w:pStyle w:val="VBABodyText"/>
              <w:numPr>
                <w:ilvl w:val="0"/>
                <w:numId w:val="41"/>
              </w:numPr>
              <w:spacing w:after="120"/>
              <w:rPr>
                <w:color w:val="auto"/>
              </w:rPr>
            </w:pPr>
            <w:r>
              <w:rPr>
                <w:color w:val="auto"/>
              </w:rPr>
              <w:t>Probative value</w:t>
            </w:r>
          </w:p>
          <w:p w14:paraId="235F41E3" w14:textId="7AE931FE" w:rsidR="00E8539A" w:rsidRPr="00EA0AE9" w:rsidRDefault="00E8539A" w:rsidP="006B6344">
            <w:pPr>
              <w:pStyle w:val="VBABodyText"/>
              <w:numPr>
                <w:ilvl w:val="0"/>
                <w:numId w:val="41"/>
              </w:numPr>
              <w:spacing w:after="120"/>
              <w:rPr>
                <w:color w:val="auto"/>
              </w:rPr>
            </w:pPr>
            <w:r>
              <w:rPr>
                <w:color w:val="auto"/>
              </w:rPr>
              <w:t>Absence of evidence</w:t>
            </w:r>
          </w:p>
        </w:tc>
      </w:tr>
      <w:tr w:rsidR="00EA0AE9" w:rsidRPr="00EA0AE9" w14:paraId="235F41E9" w14:textId="77777777" w:rsidTr="007056E7">
        <w:trPr>
          <w:trHeight w:val="212"/>
        </w:trPr>
        <w:tc>
          <w:tcPr>
            <w:tcW w:w="2560" w:type="dxa"/>
            <w:tcBorders>
              <w:top w:val="nil"/>
              <w:left w:val="nil"/>
              <w:bottom w:val="nil"/>
              <w:right w:val="nil"/>
            </w:tcBorders>
          </w:tcPr>
          <w:p w14:paraId="235F41E5" w14:textId="56C91487" w:rsidR="002570A6" w:rsidRPr="00EA0AE9" w:rsidRDefault="00E8539A" w:rsidP="002570A6">
            <w:pPr>
              <w:pStyle w:val="VBALevel2Heading"/>
              <w:rPr>
                <w:color w:val="auto"/>
              </w:rPr>
            </w:pPr>
            <w:r>
              <w:rPr>
                <w:color w:val="auto"/>
              </w:rPr>
              <w:t>Credibility</w:t>
            </w:r>
            <w:r w:rsidR="002570A6" w:rsidRPr="00EA0AE9">
              <w:rPr>
                <w:color w:val="auto"/>
              </w:rPr>
              <w:br/>
            </w:r>
          </w:p>
          <w:p w14:paraId="235F41E6" w14:textId="30620500" w:rsidR="002570A6" w:rsidRPr="00EA0AE9" w:rsidRDefault="002570A6" w:rsidP="007056E7">
            <w:pPr>
              <w:pStyle w:val="VBASlideNumber"/>
              <w:rPr>
                <w:color w:val="auto"/>
              </w:rPr>
            </w:pPr>
            <w:r w:rsidRPr="00EA0AE9">
              <w:rPr>
                <w:color w:val="auto"/>
              </w:rPr>
              <w:t xml:space="preserve">Slide </w:t>
            </w:r>
            <w:r w:rsidR="00E8539A">
              <w:rPr>
                <w:color w:val="auto"/>
              </w:rPr>
              <w:t>10</w:t>
            </w:r>
            <w:r w:rsidR="00153163">
              <w:rPr>
                <w:color w:val="auto"/>
              </w:rPr>
              <w:t>-12</w:t>
            </w:r>
            <w:r w:rsidRPr="00EA0AE9">
              <w:rPr>
                <w:color w:val="auto"/>
              </w:rPr>
              <w:br/>
            </w:r>
          </w:p>
          <w:p w14:paraId="235F41E7" w14:textId="6154520A" w:rsidR="002570A6" w:rsidRPr="00EA0AE9" w:rsidRDefault="002570A6" w:rsidP="005E707B">
            <w:pPr>
              <w:pStyle w:val="VBAHandoutNumber"/>
              <w:rPr>
                <w:color w:val="auto"/>
              </w:rPr>
            </w:pPr>
            <w:r w:rsidRPr="00EA0AE9">
              <w:rPr>
                <w:color w:val="auto"/>
              </w:rPr>
              <w:t xml:space="preserve">Handout </w:t>
            </w:r>
            <w:r w:rsidR="005E707B">
              <w:rPr>
                <w:color w:val="auto"/>
              </w:rPr>
              <w:t>6</w:t>
            </w:r>
          </w:p>
        </w:tc>
        <w:tc>
          <w:tcPr>
            <w:tcW w:w="7217" w:type="dxa"/>
            <w:tcBorders>
              <w:top w:val="nil"/>
              <w:left w:val="nil"/>
              <w:bottom w:val="nil"/>
              <w:right w:val="nil"/>
            </w:tcBorders>
          </w:tcPr>
          <w:p w14:paraId="03CA02BA" w14:textId="77777777" w:rsidR="002570A6" w:rsidRPr="00757533" w:rsidRDefault="00153163" w:rsidP="007056E7">
            <w:pPr>
              <w:pStyle w:val="VBALevel1Heading"/>
              <w:spacing w:before="240" w:after="240"/>
              <w:rPr>
                <w:b w:val="0"/>
                <w:caps w:val="0"/>
                <w:szCs w:val="24"/>
              </w:rPr>
            </w:pPr>
            <w:r w:rsidRPr="00757533">
              <w:rPr>
                <w:b w:val="0"/>
                <w:bCs/>
                <w:iCs/>
                <w:caps w:val="0"/>
                <w:szCs w:val="24"/>
              </w:rPr>
              <w:t>Credibility</w:t>
            </w:r>
            <w:r w:rsidRPr="00757533">
              <w:rPr>
                <w:b w:val="0"/>
                <w:caps w:val="0"/>
                <w:szCs w:val="24"/>
              </w:rPr>
              <w:t xml:space="preserve"> is a blanket term for the fact finding of whether evidence is believable or not believable.</w:t>
            </w:r>
          </w:p>
          <w:p w14:paraId="4BC8FF75" w14:textId="77777777" w:rsidR="00153163" w:rsidRPr="00153163" w:rsidRDefault="00153163" w:rsidP="00153163">
            <w:pPr>
              <w:overflowPunct/>
              <w:autoSpaceDE/>
              <w:autoSpaceDN/>
              <w:adjustRightInd/>
              <w:spacing w:before="100" w:beforeAutospacing="1" w:after="100" w:afterAutospacing="1"/>
              <w:textAlignment w:val="auto"/>
              <w:rPr>
                <w:szCs w:val="24"/>
              </w:rPr>
            </w:pPr>
            <w:r w:rsidRPr="00153163">
              <w:rPr>
                <w:szCs w:val="24"/>
              </w:rPr>
              <w:t>VA decision makers should accept evidence at face value unless called into question by other evidence of record or sound medical or legal principles. VA decision makers are expected to make credibility determinations when credibility is raised by the evidence available.</w:t>
            </w:r>
          </w:p>
          <w:p w14:paraId="78FD01AB" w14:textId="77777777" w:rsidR="00153163" w:rsidRPr="00153163" w:rsidRDefault="00153163" w:rsidP="00153163">
            <w:pPr>
              <w:overflowPunct/>
              <w:autoSpaceDE/>
              <w:autoSpaceDN/>
              <w:adjustRightInd/>
              <w:spacing w:before="100" w:beforeAutospacing="1" w:after="100" w:afterAutospacing="1"/>
              <w:textAlignment w:val="auto"/>
              <w:rPr>
                <w:szCs w:val="24"/>
              </w:rPr>
            </w:pPr>
            <w:r w:rsidRPr="00153163">
              <w:rPr>
                <w:szCs w:val="24"/>
              </w:rPr>
              <w:t>Factors to consider in making a fact finding of credibility include</w:t>
            </w:r>
          </w:p>
          <w:p w14:paraId="1D35F8FB" w14:textId="148D4A57" w:rsidR="00153163" w:rsidRPr="00153163" w:rsidRDefault="00153163" w:rsidP="00153163">
            <w:pPr>
              <w:numPr>
                <w:ilvl w:val="0"/>
                <w:numId w:val="26"/>
              </w:numPr>
              <w:overflowPunct/>
              <w:autoSpaceDE/>
              <w:autoSpaceDN/>
              <w:adjustRightInd/>
              <w:spacing w:before="100" w:beforeAutospacing="1" w:after="100" w:afterAutospacing="1"/>
              <w:textAlignment w:val="auto"/>
              <w:rPr>
                <w:szCs w:val="24"/>
              </w:rPr>
            </w:pPr>
            <w:r w:rsidRPr="00153163">
              <w:rPr>
                <w:szCs w:val="24"/>
              </w:rPr>
              <w:t>facial plausibility</w:t>
            </w:r>
            <w:r w:rsidR="00572191">
              <w:rPr>
                <w:szCs w:val="24"/>
              </w:rPr>
              <w:t xml:space="preserve"> (upfront, on the surface)</w:t>
            </w:r>
          </w:p>
          <w:p w14:paraId="3A9D7267" w14:textId="77777777" w:rsidR="00153163" w:rsidRPr="00153163" w:rsidRDefault="00153163" w:rsidP="00153163">
            <w:pPr>
              <w:numPr>
                <w:ilvl w:val="0"/>
                <w:numId w:val="26"/>
              </w:numPr>
              <w:overflowPunct/>
              <w:autoSpaceDE/>
              <w:autoSpaceDN/>
              <w:adjustRightInd/>
              <w:spacing w:before="100" w:beforeAutospacing="1" w:after="100" w:afterAutospacing="1"/>
              <w:textAlignment w:val="auto"/>
              <w:rPr>
                <w:szCs w:val="24"/>
              </w:rPr>
            </w:pPr>
            <w:r w:rsidRPr="00153163">
              <w:rPr>
                <w:szCs w:val="24"/>
              </w:rPr>
              <w:t>consistency with other evidence submitted</w:t>
            </w:r>
          </w:p>
          <w:p w14:paraId="453A9C41" w14:textId="1C7D0BF2" w:rsidR="00153163" w:rsidRPr="00153163" w:rsidRDefault="00153163" w:rsidP="00153163">
            <w:pPr>
              <w:numPr>
                <w:ilvl w:val="0"/>
                <w:numId w:val="26"/>
              </w:numPr>
              <w:overflowPunct/>
              <w:autoSpaceDE/>
              <w:autoSpaceDN/>
              <w:adjustRightInd/>
              <w:spacing w:before="100" w:beforeAutospacing="1" w:after="100" w:afterAutospacing="1"/>
              <w:textAlignment w:val="auto"/>
              <w:rPr>
                <w:szCs w:val="24"/>
              </w:rPr>
            </w:pPr>
            <w:r w:rsidRPr="00153163">
              <w:rPr>
                <w:szCs w:val="24"/>
              </w:rPr>
              <w:t>internal consistency</w:t>
            </w:r>
            <w:r w:rsidR="00572191">
              <w:rPr>
                <w:szCs w:val="24"/>
              </w:rPr>
              <w:t xml:space="preserve"> </w:t>
            </w:r>
            <w:r w:rsidR="00572191">
              <w:t>(the context of the facts remain the same)</w:t>
            </w:r>
          </w:p>
          <w:p w14:paraId="74894459" w14:textId="77777777" w:rsidR="00153163" w:rsidRPr="00153163" w:rsidRDefault="00153163" w:rsidP="00153163">
            <w:pPr>
              <w:numPr>
                <w:ilvl w:val="0"/>
                <w:numId w:val="26"/>
              </w:numPr>
              <w:overflowPunct/>
              <w:autoSpaceDE/>
              <w:autoSpaceDN/>
              <w:adjustRightInd/>
              <w:spacing w:before="100" w:beforeAutospacing="1" w:after="100" w:afterAutospacing="1"/>
              <w:textAlignment w:val="auto"/>
              <w:rPr>
                <w:szCs w:val="24"/>
              </w:rPr>
            </w:pPr>
            <w:r w:rsidRPr="00153163">
              <w:rPr>
                <w:szCs w:val="24"/>
              </w:rPr>
              <w:t>demeanor of a witness (who is offering in person testimonial evidence), and</w:t>
            </w:r>
          </w:p>
          <w:p w14:paraId="3B6699AE" w14:textId="77777777" w:rsidR="00153163" w:rsidRPr="00757533" w:rsidRDefault="00153163" w:rsidP="00153163">
            <w:pPr>
              <w:numPr>
                <w:ilvl w:val="0"/>
                <w:numId w:val="26"/>
              </w:numPr>
              <w:overflowPunct/>
              <w:autoSpaceDE/>
              <w:autoSpaceDN/>
              <w:adjustRightInd/>
              <w:spacing w:before="100" w:beforeAutospacing="1" w:after="100" w:afterAutospacing="1"/>
              <w:textAlignment w:val="auto"/>
              <w:rPr>
                <w:szCs w:val="24"/>
              </w:rPr>
            </w:pPr>
            <w:proofErr w:type="gramStart"/>
            <w:r w:rsidRPr="00153163">
              <w:rPr>
                <w:szCs w:val="24"/>
              </w:rPr>
              <w:t>interest/bias</w:t>
            </w:r>
            <w:proofErr w:type="gramEnd"/>
            <w:r w:rsidRPr="00153163">
              <w:rPr>
                <w:szCs w:val="24"/>
              </w:rPr>
              <w:t>.</w:t>
            </w:r>
          </w:p>
          <w:p w14:paraId="235F41E8" w14:textId="61B142A6" w:rsidR="00757533" w:rsidRPr="00757533" w:rsidRDefault="00757533" w:rsidP="00757533">
            <w:pPr>
              <w:overflowPunct/>
              <w:autoSpaceDE/>
              <w:autoSpaceDN/>
              <w:adjustRightInd/>
              <w:spacing w:before="100" w:beforeAutospacing="1" w:after="100" w:afterAutospacing="1"/>
              <w:textAlignment w:val="auto"/>
              <w:rPr>
                <w:sz w:val="21"/>
                <w:szCs w:val="21"/>
              </w:rPr>
            </w:pPr>
            <w:r w:rsidRPr="00757533">
              <w:rPr>
                <w:szCs w:val="24"/>
              </w:rPr>
              <w:t xml:space="preserve">When making a credibility determination, you should consider if the evidence originated in service or in </w:t>
            </w:r>
            <w:r>
              <w:rPr>
                <w:szCs w:val="24"/>
              </w:rPr>
              <w:t xml:space="preserve">close proximity to service.  For </w:t>
            </w:r>
            <w:r>
              <w:rPr>
                <w:szCs w:val="24"/>
              </w:rPr>
              <w:lastRenderedPageBreak/>
              <w:t>example, is there evidence of involvement in combat or was a medal or badge awarded</w:t>
            </w:r>
            <w:r>
              <w:rPr>
                <w:sz w:val="21"/>
                <w:szCs w:val="21"/>
              </w:rPr>
              <w:t xml:space="preserve">?  </w:t>
            </w:r>
          </w:p>
        </w:tc>
      </w:tr>
      <w:tr w:rsidR="00EA0AE9" w:rsidRPr="00EA0AE9" w14:paraId="235F41EE" w14:textId="77777777" w:rsidTr="007056E7">
        <w:trPr>
          <w:trHeight w:val="212"/>
        </w:trPr>
        <w:tc>
          <w:tcPr>
            <w:tcW w:w="2560" w:type="dxa"/>
            <w:tcBorders>
              <w:top w:val="nil"/>
              <w:left w:val="nil"/>
              <w:bottom w:val="nil"/>
              <w:right w:val="nil"/>
            </w:tcBorders>
          </w:tcPr>
          <w:p w14:paraId="235F41EA" w14:textId="640A016D" w:rsidR="002570A6" w:rsidRPr="00EA0AE9" w:rsidRDefault="00757533" w:rsidP="007056E7">
            <w:pPr>
              <w:pStyle w:val="VBALevel2Heading"/>
              <w:rPr>
                <w:bCs/>
                <w:i/>
                <w:color w:val="auto"/>
              </w:rPr>
            </w:pPr>
            <w:r>
              <w:rPr>
                <w:color w:val="auto"/>
              </w:rPr>
              <w:lastRenderedPageBreak/>
              <w:t>Competent Evidence</w:t>
            </w:r>
            <w:r w:rsidR="002570A6" w:rsidRPr="00EA0AE9">
              <w:rPr>
                <w:color w:val="auto"/>
              </w:rPr>
              <w:br/>
            </w:r>
          </w:p>
          <w:p w14:paraId="235F41EB" w14:textId="2C2922FA" w:rsidR="002570A6" w:rsidRPr="00EA0AE9" w:rsidRDefault="002570A6" w:rsidP="007056E7">
            <w:pPr>
              <w:pStyle w:val="VBASlideNumber"/>
              <w:rPr>
                <w:color w:val="auto"/>
              </w:rPr>
            </w:pPr>
            <w:r w:rsidRPr="00EA0AE9">
              <w:rPr>
                <w:color w:val="auto"/>
              </w:rPr>
              <w:t xml:space="preserve">Slide </w:t>
            </w:r>
            <w:r w:rsidR="00757533">
              <w:rPr>
                <w:color w:val="auto"/>
              </w:rPr>
              <w:t>13-16</w:t>
            </w:r>
            <w:r w:rsidRPr="00EA0AE9">
              <w:rPr>
                <w:color w:val="auto"/>
              </w:rPr>
              <w:br/>
            </w:r>
          </w:p>
          <w:p w14:paraId="235F41EC" w14:textId="7390DD2E" w:rsidR="002570A6" w:rsidRPr="00EA0AE9" w:rsidRDefault="002570A6" w:rsidP="0055276E">
            <w:pPr>
              <w:pStyle w:val="VBAHandoutNumber"/>
              <w:rPr>
                <w:color w:val="auto"/>
              </w:rPr>
            </w:pPr>
            <w:r w:rsidRPr="00EA0AE9">
              <w:rPr>
                <w:color w:val="auto"/>
              </w:rPr>
              <w:t xml:space="preserve">Handout </w:t>
            </w:r>
            <w:r w:rsidR="0055276E">
              <w:rPr>
                <w:color w:val="auto"/>
              </w:rPr>
              <w:t>6</w:t>
            </w:r>
          </w:p>
        </w:tc>
        <w:tc>
          <w:tcPr>
            <w:tcW w:w="7217" w:type="dxa"/>
            <w:tcBorders>
              <w:top w:val="nil"/>
              <w:left w:val="nil"/>
              <w:bottom w:val="nil"/>
              <w:right w:val="nil"/>
            </w:tcBorders>
          </w:tcPr>
          <w:p w14:paraId="31B0858B" w14:textId="77777777" w:rsidR="002570A6" w:rsidRDefault="00FE0FC8" w:rsidP="007056E7">
            <w:pPr>
              <w:spacing w:before="240" w:after="240"/>
            </w:pPr>
            <w:r w:rsidRPr="00FE0FC8">
              <w:t>For rating decisions, evidence must be from competent or qualified medical professionals who can diagnose and offer medical opinions or from lay persons who are competent and qualified to describe symptoms and observations.</w:t>
            </w:r>
          </w:p>
          <w:p w14:paraId="210473BD" w14:textId="77777777" w:rsidR="00FE0FC8" w:rsidRDefault="00FE0FC8" w:rsidP="00FE0FC8">
            <w:pPr>
              <w:spacing w:before="240" w:after="240"/>
            </w:pPr>
            <w:r>
              <w:t>CFR 3.159(a)(1) states that competent medical evidence is evidence provided by a person who is qualified through education, training, or experience to offer medical diagnoses, statements, or opinions.</w:t>
            </w:r>
          </w:p>
          <w:p w14:paraId="42D8CB90" w14:textId="77777777" w:rsidR="00FE0FC8" w:rsidRDefault="00FE0FC8" w:rsidP="00FE0FC8">
            <w:pPr>
              <w:spacing w:before="240" w:after="240"/>
            </w:pPr>
            <w:r>
              <w:t>Competent medical evidence can also mean statements conveying sound medical principles found in medical treatises and in authoritative writings such as medical, scientific and research reports or analyses.</w:t>
            </w:r>
          </w:p>
          <w:p w14:paraId="1A60C288" w14:textId="77A9C171" w:rsidR="00FE0FC8" w:rsidRDefault="0055276E" w:rsidP="00FE0FC8">
            <w:pPr>
              <w:spacing w:before="240" w:after="240"/>
            </w:pPr>
            <w:r>
              <w:t>CFR 3.159(a</w:t>
            </w:r>
            <w:proofErr w:type="gramStart"/>
            <w:r>
              <w:t>)</w:t>
            </w:r>
            <w:r w:rsidR="00FE0FC8" w:rsidRPr="00FE0FC8">
              <w:t>(</w:t>
            </w:r>
            <w:proofErr w:type="gramEnd"/>
            <w:r w:rsidR="00FE0FC8" w:rsidRPr="00FE0FC8">
              <w:t>2) states that competent lay evidence is any evidence not requiring that the proponent have specialized education, training, or experience. Lay evidence is competent if it is provided by a person who has knowledge of facts or circumstances and conveys matters that can be observed and described by a lay person.</w:t>
            </w:r>
          </w:p>
          <w:p w14:paraId="235F41ED" w14:textId="0D1393E8" w:rsidR="00FE0FC8" w:rsidRPr="00EA0AE9" w:rsidRDefault="00FE0FC8" w:rsidP="00FE0FC8">
            <w:pPr>
              <w:spacing w:before="240" w:after="240"/>
            </w:pPr>
            <w:r>
              <w:t>A claimant may be considered competent to describe symptoms relating to their claimed disability, but is not considered competent to provide a diagnosis or a nexus opinion.</w:t>
            </w:r>
          </w:p>
        </w:tc>
      </w:tr>
      <w:tr w:rsidR="00EA0AE9" w:rsidRPr="00EA0AE9" w14:paraId="235F41F6" w14:textId="77777777" w:rsidTr="007056E7">
        <w:trPr>
          <w:cantSplit/>
          <w:trHeight w:val="212"/>
        </w:trPr>
        <w:tc>
          <w:tcPr>
            <w:tcW w:w="2560" w:type="dxa"/>
            <w:tcBorders>
              <w:top w:val="nil"/>
              <w:left w:val="nil"/>
              <w:bottom w:val="nil"/>
              <w:right w:val="nil"/>
            </w:tcBorders>
          </w:tcPr>
          <w:p w14:paraId="235F41EF" w14:textId="4EEE1D2C" w:rsidR="002570A6" w:rsidRPr="00EA0AE9" w:rsidRDefault="00757533" w:rsidP="002570A6">
            <w:pPr>
              <w:pStyle w:val="VBALevel2Heading"/>
              <w:rPr>
                <w:color w:val="auto"/>
              </w:rPr>
            </w:pPr>
            <w:r>
              <w:rPr>
                <w:color w:val="auto"/>
              </w:rPr>
              <w:t>Probative Value</w:t>
            </w:r>
            <w:r w:rsidR="002570A6" w:rsidRPr="00EA0AE9">
              <w:rPr>
                <w:color w:val="auto"/>
              </w:rPr>
              <w:br/>
            </w:r>
          </w:p>
          <w:p w14:paraId="235F41F0" w14:textId="5CE3C4DE" w:rsidR="002570A6" w:rsidRPr="00EA0AE9" w:rsidRDefault="002570A6" w:rsidP="007056E7">
            <w:pPr>
              <w:pStyle w:val="VBASlideNumber"/>
              <w:rPr>
                <w:color w:val="auto"/>
              </w:rPr>
            </w:pPr>
            <w:r w:rsidRPr="00EA0AE9">
              <w:rPr>
                <w:color w:val="auto"/>
              </w:rPr>
              <w:t xml:space="preserve">Slide </w:t>
            </w:r>
            <w:r w:rsidR="00757533">
              <w:rPr>
                <w:color w:val="auto"/>
              </w:rPr>
              <w:t>17&amp;18</w:t>
            </w:r>
            <w:r w:rsidRPr="00EA0AE9">
              <w:rPr>
                <w:color w:val="auto"/>
              </w:rPr>
              <w:br/>
            </w:r>
          </w:p>
          <w:p w14:paraId="235F41F1" w14:textId="78410832" w:rsidR="002570A6" w:rsidRPr="00EA0AE9" w:rsidRDefault="002570A6" w:rsidP="0055276E">
            <w:pPr>
              <w:pStyle w:val="VBAHandoutNumber"/>
              <w:rPr>
                <w:color w:val="auto"/>
              </w:rPr>
            </w:pPr>
            <w:r w:rsidRPr="00EA0AE9">
              <w:rPr>
                <w:color w:val="auto"/>
              </w:rPr>
              <w:t xml:space="preserve">Handout </w:t>
            </w:r>
            <w:r w:rsidR="0055276E">
              <w:rPr>
                <w:color w:val="auto"/>
              </w:rPr>
              <w:t>6</w:t>
            </w:r>
          </w:p>
        </w:tc>
        <w:tc>
          <w:tcPr>
            <w:tcW w:w="7217" w:type="dxa"/>
            <w:tcBorders>
              <w:top w:val="nil"/>
              <w:left w:val="nil"/>
              <w:bottom w:val="nil"/>
              <w:right w:val="nil"/>
            </w:tcBorders>
          </w:tcPr>
          <w:p w14:paraId="235F41F2" w14:textId="0C31A6D1" w:rsidR="002570A6" w:rsidRDefault="00C0507B" w:rsidP="007056E7">
            <w:pPr>
              <w:spacing w:before="240" w:after="240"/>
            </w:pPr>
            <w:r>
              <w:t>At times you may find evidence presented with a claim that is considered contradictory.  When this occurs, we must analyze this evidence and assign weight, or probative value, to determine the persuasiveness of the evidence.</w:t>
            </w:r>
          </w:p>
          <w:p w14:paraId="43F7C8F3" w14:textId="77777777" w:rsidR="00C0507B" w:rsidRDefault="00C0507B" w:rsidP="00C0507B">
            <w:pPr>
              <w:spacing w:before="240" w:after="240"/>
            </w:pPr>
            <w:r>
              <w:t>Consider the following when evaluating the probative value of evidence:</w:t>
            </w:r>
          </w:p>
          <w:p w14:paraId="4D4B45F7" w14:textId="77777777" w:rsidR="004D186B" w:rsidRDefault="004D186B" w:rsidP="002F0FED">
            <w:pPr>
              <w:pStyle w:val="ListParagraph"/>
              <w:numPr>
                <w:ilvl w:val="0"/>
                <w:numId w:val="29"/>
              </w:numPr>
              <w:spacing w:after="120"/>
            </w:pPr>
            <w:r>
              <w:t>Physician’s qualifications</w:t>
            </w:r>
          </w:p>
          <w:p w14:paraId="5BC7FB15" w14:textId="77777777" w:rsidR="004D186B" w:rsidRDefault="004D186B" w:rsidP="002F0FED">
            <w:pPr>
              <w:pStyle w:val="ListParagraph"/>
              <w:numPr>
                <w:ilvl w:val="0"/>
                <w:numId w:val="29"/>
              </w:numPr>
              <w:spacing w:after="120"/>
            </w:pPr>
            <w:r>
              <w:t>Physician’s knowledge of the relevant history</w:t>
            </w:r>
          </w:p>
          <w:p w14:paraId="21F8331E" w14:textId="77777777" w:rsidR="004D186B" w:rsidRDefault="004D186B" w:rsidP="002F0FED">
            <w:pPr>
              <w:pStyle w:val="ListParagraph"/>
              <w:numPr>
                <w:ilvl w:val="0"/>
                <w:numId w:val="29"/>
              </w:numPr>
              <w:spacing w:after="120"/>
            </w:pPr>
            <w:r>
              <w:t>Context in which the medical evidence was created</w:t>
            </w:r>
          </w:p>
          <w:p w14:paraId="49CDBB3F" w14:textId="77777777" w:rsidR="004D186B" w:rsidRDefault="004D186B" w:rsidP="002F0FED">
            <w:pPr>
              <w:pStyle w:val="ListParagraph"/>
              <w:numPr>
                <w:ilvl w:val="0"/>
                <w:numId w:val="29"/>
              </w:numPr>
              <w:spacing w:after="120"/>
            </w:pPr>
            <w:r>
              <w:t>Reasoning employed by the physician</w:t>
            </w:r>
          </w:p>
          <w:p w14:paraId="74954650" w14:textId="77777777" w:rsidR="004D186B" w:rsidRDefault="004D186B" w:rsidP="002F0FED">
            <w:pPr>
              <w:pStyle w:val="ListParagraph"/>
              <w:numPr>
                <w:ilvl w:val="0"/>
                <w:numId w:val="29"/>
              </w:numPr>
              <w:spacing w:after="120"/>
            </w:pPr>
            <w:r>
              <w:t>Degree of specificity</w:t>
            </w:r>
          </w:p>
          <w:p w14:paraId="235F41F5" w14:textId="1DB75085" w:rsidR="002570A6" w:rsidRPr="00EA0AE9" w:rsidRDefault="004D186B" w:rsidP="002F0FED">
            <w:pPr>
              <w:pStyle w:val="ListParagraph"/>
              <w:numPr>
                <w:ilvl w:val="0"/>
                <w:numId w:val="29"/>
              </w:numPr>
              <w:spacing w:after="120"/>
            </w:pPr>
            <w:r>
              <w:t>Degree of certainty</w:t>
            </w:r>
          </w:p>
        </w:tc>
      </w:tr>
      <w:tr w:rsidR="00757533" w:rsidRPr="00EA0AE9" w14:paraId="41D1D3A7" w14:textId="77777777" w:rsidTr="007056E7">
        <w:trPr>
          <w:cantSplit/>
          <w:trHeight w:val="212"/>
        </w:trPr>
        <w:tc>
          <w:tcPr>
            <w:tcW w:w="2560" w:type="dxa"/>
            <w:tcBorders>
              <w:top w:val="nil"/>
              <w:left w:val="nil"/>
              <w:bottom w:val="nil"/>
              <w:right w:val="nil"/>
            </w:tcBorders>
          </w:tcPr>
          <w:p w14:paraId="47DB3553" w14:textId="16272F2C" w:rsidR="00757533" w:rsidRPr="00EA0AE9" w:rsidRDefault="00757533" w:rsidP="008D6028">
            <w:pPr>
              <w:pStyle w:val="VBALevel2Heading"/>
              <w:rPr>
                <w:color w:val="auto"/>
              </w:rPr>
            </w:pPr>
            <w:r>
              <w:rPr>
                <w:color w:val="auto"/>
              </w:rPr>
              <w:lastRenderedPageBreak/>
              <w:t>Absence of Evidence</w:t>
            </w:r>
            <w:r w:rsidRPr="00EA0AE9">
              <w:rPr>
                <w:color w:val="auto"/>
              </w:rPr>
              <w:br/>
            </w:r>
          </w:p>
          <w:p w14:paraId="3F999D46" w14:textId="26CBEC5A" w:rsidR="00757533" w:rsidRPr="00EA0AE9" w:rsidRDefault="00757533" w:rsidP="008D6028">
            <w:pPr>
              <w:pStyle w:val="VBASlideNumber"/>
              <w:rPr>
                <w:color w:val="auto"/>
              </w:rPr>
            </w:pPr>
            <w:r w:rsidRPr="00EA0AE9">
              <w:rPr>
                <w:color w:val="auto"/>
              </w:rPr>
              <w:t xml:space="preserve">Slide </w:t>
            </w:r>
            <w:r>
              <w:rPr>
                <w:color w:val="auto"/>
              </w:rPr>
              <w:t>19</w:t>
            </w:r>
            <w:r w:rsidRPr="00EA0AE9">
              <w:rPr>
                <w:color w:val="auto"/>
              </w:rPr>
              <w:br/>
            </w:r>
          </w:p>
          <w:p w14:paraId="7D807937" w14:textId="7F89DED5" w:rsidR="00757533" w:rsidRPr="0055276E" w:rsidRDefault="00757533" w:rsidP="0055276E">
            <w:pPr>
              <w:pStyle w:val="VBALevel2Heading"/>
              <w:rPr>
                <w:b w:val="0"/>
                <w:i/>
                <w:color w:val="auto"/>
              </w:rPr>
            </w:pPr>
            <w:r w:rsidRPr="0055276E">
              <w:rPr>
                <w:b w:val="0"/>
                <w:i/>
                <w:color w:val="auto"/>
              </w:rPr>
              <w:t xml:space="preserve">Handout </w:t>
            </w:r>
            <w:r w:rsidR="0055276E" w:rsidRPr="0055276E">
              <w:rPr>
                <w:b w:val="0"/>
                <w:i/>
                <w:color w:val="auto"/>
              </w:rPr>
              <w:t>6</w:t>
            </w:r>
          </w:p>
        </w:tc>
        <w:tc>
          <w:tcPr>
            <w:tcW w:w="7217" w:type="dxa"/>
            <w:tcBorders>
              <w:top w:val="nil"/>
              <w:left w:val="nil"/>
              <w:bottom w:val="nil"/>
              <w:right w:val="nil"/>
            </w:tcBorders>
          </w:tcPr>
          <w:p w14:paraId="659F21A0" w14:textId="4B2FB91F" w:rsidR="00757533" w:rsidRDefault="004D186B" w:rsidP="008D6028">
            <w:pPr>
              <w:spacing w:before="240" w:after="240"/>
            </w:pPr>
            <w:r>
              <w:t xml:space="preserve">When analyzing a claim, we may find evidence to be positive or negative.  Positive evidence </w:t>
            </w:r>
            <w:proofErr w:type="gramStart"/>
            <w:r>
              <w:t>are</w:t>
            </w:r>
            <w:proofErr w:type="gramEnd"/>
            <w:r>
              <w:t xml:space="preserve"> the actual items that affirmatively support the claimant’s position.  Negative evidence is that which actually disproves the claimant’s position, or may be an inference taken from there being an absence of evidence on a matter supporting a claimant’s position.</w:t>
            </w:r>
          </w:p>
          <w:p w14:paraId="44B729F7" w14:textId="5594D241" w:rsidR="00757533" w:rsidRPr="00EA0AE9" w:rsidRDefault="0058757C" w:rsidP="007056E7">
            <w:pPr>
              <w:spacing w:before="240" w:after="240"/>
            </w:pPr>
            <w:r>
              <w:t xml:space="preserve">Care must be taken when considering the absence of evidence as negative evidence.  </w:t>
            </w:r>
            <w:r w:rsidRPr="0058757C">
              <w:t>Do not use the absence of evidence as negative evidence in cases where the claimant has simply failed to prove an element of the claim by the applicable standard</w:t>
            </w:r>
            <w:r>
              <w:t xml:space="preserve">.  However, </w:t>
            </w:r>
            <w:r w:rsidRPr="0058757C">
              <w:t>the absence of any positive evidence, such as medical evidence showing diagnosis or treatment, may be considered in determining whether the benefit may be awarded</w:t>
            </w:r>
            <w:r>
              <w:t>.</w:t>
            </w:r>
          </w:p>
        </w:tc>
      </w:tr>
    </w:tbl>
    <w:p w14:paraId="235F4200" w14:textId="77777777" w:rsidR="002570A6" w:rsidRPr="00EA0AE9" w:rsidRDefault="002570A6">
      <w:r w:rsidRPr="00EA0AE9">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EA0AE9" w:rsidRPr="00EA0AE9" w14:paraId="235F4202" w14:textId="77777777" w:rsidTr="007056E7">
        <w:trPr>
          <w:trHeight w:val="212"/>
        </w:trPr>
        <w:tc>
          <w:tcPr>
            <w:tcW w:w="9777" w:type="dxa"/>
            <w:gridSpan w:val="2"/>
            <w:tcBorders>
              <w:top w:val="nil"/>
              <w:left w:val="nil"/>
              <w:bottom w:val="nil"/>
              <w:right w:val="nil"/>
            </w:tcBorders>
            <w:vAlign w:val="center"/>
          </w:tcPr>
          <w:p w14:paraId="235F4201" w14:textId="08E3B2DC" w:rsidR="002570A6" w:rsidRPr="00EA0AE9" w:rsidRDefault="002570A6" w:rsidP="008471E3">
            <w:pPr>
              <w:pStyle w:val="VBALessonTopicTitle"/>
              <w:rPr>
                <w:rFonts w:ascii="Times New Roman" w:hAnsi="Times New Roman"/>
                <w:color w:val="auto"/>
              </w:rPr>
            </w:pPr>
            <w:bookmarkStart w:id="39" w:name="_Toc441732659"/>
            <w:r w:rsidRPr="00EA0AE9">
              <w:rPr>
                <w:rFonts w:ascii="Times New Roman" w:hAnsi="Times New Roman"/>
                <w:color w:val="auto"/>
              </w:rPr>
              <w:lastRenderedPageBreak/>
              <w:t xml:space="preserve">Topic 3: </w:t>
            </w:r>
            <w:r w:rsidR="008471E3">
              <w:rPr>
                <w:rFonts w:ascii="Times New Roman" w:hAnsi="Times New Roman"/>
                <w:color w:val="auto"/>
              </w:rPr>
              <w:t>Making Evidentiary Decisions</w:t>
            </w:r>
            <w:bookmarkEnd w:id="39"/>
          </w:p>
        </w:tc>
      </w:tr>
      <w:tr w:rsidR="00EA0AE9" w:rsidRPr="00EA0AE9" w14:paraId="235F4205" w14:textId="77777777" w:rsidTr="007056E7">
        <w:trPr>
          <w:trHeight w:val="212"/>
        </w:trPr>
        <w:tc>
          <w:tcPr>
            <w:tcW w:w="2560" w:type="dxa"/>
            <w:tcBorders>
              <w:top w:val="nil"/>
              <w:left w:val="nil"/>
              <w:bottom w:val="nil"/>
              <w:right w:val="nil"/>
            </w:tcBorders>
          </w:tcPr>
          <w:p w14:paraId="235F4203" w14:textId="77777777" w:rsidR="002570A6" w:rsidRPr="00EA0AE9" w:rsidRDefault="002570A6" w:rsidP="007056E7">
            <w:pPr>
              <w:pStyle w:val="VBALevel1Heading"/>
            </w:pPr>
            <w:r w:rsidRPr="00EA0AE9">
              <w:t>Introduction</w:t>
            </w:r>
          </w:p>
        </w:tc>
        <w:tc>
          <w:tcPr>
            <w:tcW w:w="7217" w:type="dxa"/>
            <w:tcBorders>
              <w:top w:val="nil"/>
              <w:left w:val="nil"/>
              <w:bottom w:val="nil"/>
              <w:right w:val="nil"/>
            </w:tcBorders>
          </w:tcPr>
          <w:p w14:paraId="235F4204" w14:textId="397D5F9F" w:rsidR="002570A6" w:rsidRPr="00EA0AE9" w:rsidRDefault="002570A6" w:rsidP="007056E7">
            <w:pPr>
              <w:pStyle w:val="VBABodyText"/>
              <w:rPr>
                <w:b/>
                <w:color w:val="auto"/>
              </w:rPr>
            </w:pPr>
            <w:r w:rsidRPr="00EA0AE9">
              <w:rPr>
                <w:color w:val="auto"/>
              </w:rPr>
              <w:t>This top</w:t>
            </w:r>
            <w:r w:rsidR="00060FBE">
              <w:rPr>
                <w:color w:val="auto"/>
              </w:rPr>
              <w:t xml:space="preserve">ic will allow the trainee to identify the types of evidence used to determine claims, the </w:t>
            </w:r>
            <w:proofErr w:type="spellStart"/>
            <w:r w:rsidR="00060FBE">
              <w:rPr>
                <w:color w:val="auto"/>
              </w:rPr>
              <w:t>principles</w:t>
            </w:r>
            <w:proofErr w:type="spellEnd"/>
            <w:r w:rsidR="00060FBE">
              <w:rPr>
                <w:color w:val="auto"/>
              </w:rPr>
              <w:t xml:space="preserve"> involved in decision making, and the requirements for discussing evidence in the rating decision narrative.</w:t>
            </w:r>
          </w:p>
        </w:tc>
      </w:tr>
      <w:tr w:rsidR="00EA0AE9" w:rsidRPr="00EA0AE9" w14:paraId="235F4208" w14:textId="77777777" w:rsidTr="007056E7">
        <w:trPr>
          <w:trHeight w:val="212"/>
        </w:trPr>
        <w:tc>
          <w:tcPr>
            <w:tcW w:w="2560" w:type="dxa"/>
            <w:tcBorders>
              <w:top w:val="nil"/>
              <w:left w:val="nil"/>
              <w:bottom w:val="nil"/>
              <w:right w:val="nil"/>
            </w:tcBorders>
          </w:tcPr>
          <w:p w14:paraId="235F4206" w14:textId="77777777" w:rsidR="002570A6" w:rsidRPr="00EA0AE9" w:rsidRDefault="002570A6" w:rsidP="007056E7">
            <w:pPr>
              <w:pStyle w:val="VBALevel1Heading"/>
            </w:pPr>
            <w:r w:rsidRPr="00EA0AE9">
              <w:t>Time Required</w:t>
            </w:r>
          </w:p>
        </w:tc>
        <w:tc>
          <w:tcPr>
            <w:tcW w:w="7217" w:type="dxa"/>
            <w:tcBorders>
              <w:top w:val="nil"/>
              <w:left w:val="nil"/>
              <w:bottom w:val="nil"/>
              <w:right w:val="nil"/>
            </w:tcBorders>
          </w:tcPr>
          <w:p w14:paraId="235F4207" w14:textId="7D163159" w:rsidR="002570A6" w:rsidRPr="00EA0AE9" w:rsidRDefault="00060FBE" w:rsidP="007056E7">
            <w:pPr>
              <w:pStyle w:val="VBATimeReq"/>
              <w:rPr>
                <w:color w:val="auto"/>
              </w:rPr>
            </w:pPr>
            <w:r>
              <w:rPr>
                <w:color w:val="auto"/>
              </w:rPr>
              <w:t>0.75</w:t>
            </w:r>
            <w:r w:rsidR="002570A6" w:rsidRPr="00EA0AE9">
              <w:rPr>
                <w:color w:val="auto"/>
              </w:rPr>
              <w:t xml:space="preserve"> hours</w:t>
            </w:r>
          </w:p>
        </w:tc>
      </w:tr>
      <w:tr w:rsidR="00EA0AE9" w:rsidRPr="00EA0AE9" w14:paraId="235F4213" w14:textId="77777777" w:rsidTr="007056E7">
        <w:trPr>
          <w:trHeight w:val="212"/>
        </w:trPr>
        <w:tc>
          <w:tcPr>
            <w:tcW w:w="2560" w:type="dxa"/>
            <w:tcBorders>
              <w:top w:val="nil"/>
              <w:left w:val="nil"/>
              <w:bottom w:val="nil"/>
              <w:right w:val="nil"/>
            </w:tcBorders>
          </w:tcPr>
          <w:p w14:paraId="235F4209" w14:textId="77777777" w:rsidR="002570A6" w:rsidRPr="00EA0AE9" w:rsidRDefault="002570A6" w:rsidP="007056E7">
            <w:pPr>
              <w:pStyle w:val="VBALevel1Heading"/>
            </w:pPr>
            <w:r w:rsidRPr="00EA0AE9">
              <w:t>OBJECTIVES/</w:t>
            </w:r>
            <w:r w:rsidRPr="00EA0AE9">
              <w:br/>
              <w:t>Teaching Points</w:t>
            </w:r>
          </w:p>
          <w:p w14:paraId="235F420A" w14:textId="77777777" w:rsidR="002570A6" w:rsidRPr="00EA0AE9" w:rsidRDefault="002570A6" w:rsidP="007056E7">
            <w:pPr>
              <w:pStyle w:val="VBALevel3Heading"/>
              <w:spacing w:after="120"/>
              <w:rPr>
                <w:i w:val="0"/>
                <w:color w:val="auto"/>
                <w:szCs w:val="24"/>
              </w:rPr>
            </w:pPr>
          </w:p>
        </w:tc>
        <w:tc>
          <w:tcPr>
            <w:tcW w:w="7217" w:type="dxa"/>
            <w:tcBorders>
              <w:top w:val="nil"/>
              <w:left w:val="nil"/>
              <w:bottom w:val="nil"/>
              <w:right w:val="nil"/>
            </w:tcBorders>
          </w:tcPr>
          <w:p w14:paraId="235F420B" w14:textId="77777777" w:rsidR="002570A6" w:rsidRPr="00EA0AE9" w:rsidRDefault="002570A6" w:rsidP="007056E7">
            <w:pPr>
              <w:tabs>
                <w:tab w:val="left" w:pos="590"/>
              </w:tabs>
              <w:spacing w:after="120"/>
              <w:rPr>
                <w:szCs w:val="24"/>
              </w:rPr>
            </w:pPr>
            <w:r w:rsidRPr="00EA0AE9">
              <w:rPr>
                <w:szCs w:val="24"/>
              </w:rPr>
              <w:t>Topic objectives:</w:t>
            </w:r>
          </w:p>
          <w:p w14:paraId="749A2003" w14:textId="77777777" w:rsidR="00060FBE" w:rsidRPr="00060FBE" w:rsidRDefault="00060FBE" w:rsidP="00060FBE">
            <w:pPr>
              <w:numPr>
                <w:ilvl w:val="0"/>
                <w:numId w:val="9"/>
              </w:numPr>
              <w:tabs>
                <w:tab w:val="left" w:pos="590"/>
              </w:tabs>
              <w:spacing w:after="120"/>
              <w:rPr>
                <w:szCs w:val="24"/>
              </w:rPr>
            </w:pPr>
            <w:r w:rsidRPr="00060FBE">
              <w:rPr>
                <w:szCs w:val="24"/>
              </w:rPr>
              <w:t xml:space="preserve">Identify different types of evidence and the </w:t>
            </w:r>
            <w:proofErr w:type="spellStart"/>
            <w:r w:rsidRPr="00060FBE">
              <w:rPr>
                <w:szCs w:val="24"/>
              </w:rPr>
              <w:t>principles</w:t>
            </w:r>
            <w:proofErr w:type="spellEnd"/>
            <w:r w:rsidRPr="00060FBE">
              <w:rPr>
                <w:szCs w:val="24"/>
              </w:rPr>
              <w:t xml:space="preserve"> involved in decision making</w:t>
            </w:r>
          </w:p>
          <w:p w14:paraId="24EE13CE" w14:textId="77777777" w:rsidR="00060FBE" w:rsidRPr="00060FBE" w:rsidRDefault="00060FBE" w:rsidP="00060FBE">
            <w:pPr>
              <w:numPr>
                <w:ilvl w:val="0"/>
                <w:numId w:val="9"/>
              </w:numPr>
              <w:tabs>
                <w:tab w:val="left" w:pos="590"/>
              </w:tabs>
              <w:spacing w:after="120"/>
              <w:rPr>
                <w:bCs/>
                <w:szCs w:val="24"/>
              </w:rPr>
            </w:pPr>
            <w:r w:rsidRPr="00060FBE">
              <w:rPr>
                <w:szCs w:val="24"/>
              </w:rPr>
              <w:t xml:space="preserve">Write clear and concise rating decision narratives discussing the evidence reviewed in the decision process </w:t>
            </w:r>
          </w:p>
          <w:p w14:paraId="235F420F" w14:textId="5C7A8D8A" w:rsidR="002570A6" w:rsidRPr="00EA0AE9" w:rsidRDefault="002570A6" w:rsidP="00060FBE">
            <w:pPr>
              <w:tabs>
                <w:tab w:val="left" w:pos="590"/>
              </w:tabs>
              <w:spacing w:after="120"/>
              <w:rPr>
                <w:bCs/>
                <w:szCs w:val="24"/>
              </w:rPr>
            </w:pPr>
            <w:r w:rsidRPr="00EA0AE9">
              <w:rPr>
                <w:szCs w:val="24"/>
              </w:rPr>
              <w:t>The following topic teaching points support the topic objectives</w:t>
            </w:r>
            <w:r w:rsidRPr="00EA0AE9">
              <w:rPr>
                <w:bCs/>
                <w:szCs w:val="24"/>
              </w:rPr>
              <w:t xml:space="preserve">: </w:t>
            </w:r>
          </w:p>
          <w:p w14:paraId="235F4210" w14:textId="11F8165C" w:rsidR="002570A6" w:rsidRPr="00EA0AE9" w:rsidRDefault="00031910" w:rsidP="007056E7">
            <w:pPr>
              <w:numPr>
                <w:ilvl w:val="0"/>
                <w:numId w:val="9"/>
              </w:numPr>
              <w:tabs>
                <w:tab w:val="left" w:pos="590"/>
              </w:tabs>
              <w:spacing w:after="60"/>
              <w:rPr>
                <w:szCs w:val="24"/>
              </w:rPr>
            </w:pPr>
            <w:r>
              <w:rPr>
                <w:szCs w:val="24"/>
              </w:rPr>
              <w:t>Decision making principles</w:t>
            </w:r>
          </w:p>
          <w:p w14:paraId="235F4211" w14:textId="0E99EE1D" w:rsidR="002570A6" w:rsidRPr="00EA0AE9" w:rsidRDefault="00031910" w:rsidP="007056E7">
            <w:pPr>
              <w:numPr>
                <w:ilvl w:val="0"/>
                <w:numId w:val="9"/>
              </w:numPr>
              <w:tabs>
                <w:tab w:val="left" w:pos="590"/>
              </w:tabs>
              <w:spacing w:before="60" w:after="60"/>
              <w:rPr>
                <w:szCs w:val="24"/>
              </w:rPr>
            </w:pPr>
            <w:r>
              <w:rPr>
                <w:szCs w:val="24"/>
              </w:rPr>
              <w:t>Types of evidence</w:t>
            </w:r>
          </w:p>
          <w:p w14:paraId="235F4212" w14:textId="23B5947E" w:rsidR="002570A6" w:rsidRPr="00EA0AE9" w:rsidRDefault="00031910" w:rsidP="007056E7">
            <w:pPr>
              <w:numPr>
                <w:ilvl w:val="0"/>
                <w:numId w:val="9"/>
              </w:numPr>
              <w:tabs>
                <w:tab w:val="left" w:pos="590"/>
              </w:tabs>
              <w:spacing w:before="60" w:after="60"/>
              <w:rPr>
                <w:szCs w:val="24"/>
              </w:rPr>
            </w:pPr>
            <w:r>
              <w:rPr>
                <w:szCs w:val="24"/>
              </w:rPr>
              <w:t>Reasons and bases requirements</w:t>
            </w:r>
          </w:p>
        </w:tc>
      </w:tr>
      <w:tr w:rsidR="00EA0AE9" w:rsidRPr="00EA0AE9" w14:paraId="235F4218" w14:textId="77777777" w:rsidTr="007056E7">
        <w:trPr>
          <w:trHeight w:val="212"/>
        </w:trPr>
        <w:tc>
          <w:tcPr>
            <w:tcW w:w="2560" w:type="dxa"/>
            <w:tcBorders>
              <w:top w:val="nil"/>
              <w:left w:val="nil"/>
              <w:bottom w:val="nil"/>
              <w:right w:val="nil"/>
            </w:tcBorders>
          </w:tcPr>
          <w:p w14:paraId="235F4214" w14:textId="29B67B98" w:rsidR="002570A6" w:rsidRPr="00EA0AE9" w:rsidRDefault="00031910" w:rsidP="007056E7">
            <w:pPr>
              <w:pStyle w:val="VBALevel2Heading"/>
              <w:rPr>
                <w:bCs/>
                <w:i/>
                <w:color w:val="auto"/>
              </w:rPr>
            </w:pPr>
            <w:r>
              <w:rPr>
                <w:color w:val="auto"/>
              </w:rPr>
              <w:t>Decision Making Principles</w:t>
            </w:r>
            <w:r w:rsidR="002570A6" w:rsidRPr="00EA0AE9">
              <w:rPr>
                <w:color w:val="auto"/>
              </w:rPr>
              <w:br/>
            </w:r>
          </w:p>
          <w:p w14:paraId="235F4215" w14:textId="7F4C9D7F" w:rsidR="002570A6" w:rsidRPr="00EA0AE9" w:rsidRDefault="002570A6" w:rsidP="007056E7">
            <w:pPr>
              <w:pStyle w:val="VBASlideNumber"/>
              <w:rPr>
                <w:color w:val="auto"/>
              </w:rPr>
            </w:pPr>
            <w:r w:rsidRPr="00EA0AE9">
              <w:rPr>
                <w:color w:val="auto"/>
              </w:rPr>
              <w:t xml:space="preserve">Slide </w:t>
            </w:r>
            <w:r w:rsidR="00031910">
              <w:rPr>
                <w:color w:val="auto"/>
              </w:rPr>
              <w:t>20&amp;21</w:t>
            </w:r>
            <w:r w:rsidRPr="00EA0AE9">
              <w:rPr>
                <w:color w:val="auto"/>
              </w:rPr>
              <w:br/>
            </w:r>
          </w:p>
          <w:p w14:paraId="235F4216" w14:textId="2B2FD144" w:rsidR="002570A6" w:rsidRPr="00EA0AE9" w:rsidRDefault="002570A6" w:rsidP="0055276E">
            <w:pPr>
              <w:pStyle w:val="VBAHandoutNumber"/>
              <w:rPr>
                <w:color w:val="auto"/>
              </w:rPr>
            </w:pPr>
            <w:r w:rsidRPr="00EA0AE9">
              <w:rPr>
                <w:color w:val="auto"/>
              </w:rPr>
              <w:t xml:space="preserve">Handout </w:t>
            </w:r>
            <w:r w:rsidR="0055276E">
              <w:rPr>
                <w:color w:val="auto"/>
              </w:rPr>
              <w:t>7</w:t>
            </w:r>
          </w:p>
        </w:tc>
        <w:tc>
          <w:tcPr>
            <w:tcW w:w="7217" w:type="dxa"/>
            <w:tcBorders>
              <w:top w:val="nil"/>
              <w:left w:val="nil"/>
              <w:bottom w:val="nil"/>
              <w:right w:val="nil"/>
            </w:tcBorders>
          </w:tcPr>
          <w:p w14:paraId="002E5F86" w14:textId="77777777" w:rsidR="002F0FED" w:rsidRPr="002F0FED" w:rsidRDefault="002F0FED" w:rsidP="002F0FED">
            <w:pPr>
              <w:pStyle w:val="VBABodyText"/>
              <w:rPr>
                <w:color w:val="auto"/>
              </w:rPr>
            </w:pPr>
            <w:r w:rsidRPr="002F0FED">
              <w:rPr>
                <w:color w:val="auto"/>
              </w:rPr>
              <w:t xml:space="preserve">When evaluating medical evidence, do: </w:t>
            </w:r>
          </w:p>
          <w:p w14:paraId="2AD7E270" w14:textId="34104CA1" w:rsidR="002F0FED" w:rsidRDefault="00F85573" w:rsidP="002F0FED">
            <w:pPr>
              <w:pStyle w:val="VBABodyText"/>
              <w:numPr>
                <w:ilvl w:val="0"/>
                <w:numId w:val="31"/>
              </w:numPr>
              <w:spacing w:after="120"/>
              <w:ind w:left="547"/>
              <w:rPr>
                <w:color w:val="auto"/>
              </w:rPr>
            </w:pPr>
            <w:r>
              <w:rPr>
                <w:color w:val="auto"/>
              </w:rPr>
              <w:t>b</w:t>
            </w:r>
            <w:r w:rsidRPr="002F0FED">
              <w:rPr>
                <w:color w:val="auto"/>
              </w:rPr>
              <w:t xml:space="preserve">e </w:t>
            </w:r>
            <w:r w:rsidR="002F0FED" w:rsidRPr="002F0FED">
              <w:rPr>
                <w:color w:val="auto"/>
              </w:rPr>
              <w:t>objective and fair in the consideration of evidence</w:t>
            </w:r>
          </w:p>
          <w:p w14:paraId="7886DD53" w14:textId="6C852D1C" w:rsidR="002F0FED" w:rsidRDefault="00F85573" w:rsidP="002F0FED">
            <w:pPr>
              <w:pStyle w:val="VBABodyText"/>
              <w:numPr>
                <w:ilvl w:val="0"/>
                <w:numId w:val="31"/>
              </w:numPr>
              <w:spacing w:after="120"/>
              <w:ind w:left="547"/>
              <w:rPr>
                <w:color w:val="auto"/>
              </w:rPr>
            </w:pPr>
            <w:r>
              <w:rPr>
                <w:color w:val="auto"/>
              </w:rPr>
              <w:t>e</w:t>
            </w:r>
            <w:r w:rsidRPr="002F0FED">
              <w:rPr>
                <w:color w:val="auto"/>
              </w:rPr>
              <w:t xml:space="preserve">nsure </w:t>
            </w:r>
            <w:r w:rsidR="002F0FED" w:rsidRPr="002F0FED">
              <w:rPr>
                <w:color w:val="auto"/>
              </w:rPr>
              <w:t>that any inferences, findings, and conclusions made are supported under the facts and law</w:t>
            </w:r>
          </w:p>
          <w:p w14:paraId="32AF2BF2" w14:textId="2A922942" w:rsidR="002F0FED" w:rsidRDefault="00F85573" w:rsidP="002F0FED">
            <w:pPr>
              <w:pStyle w:val="VBABodyText"/>
              <w:numPr>
                <w:ilvl w:val="0"/>
                <w:numId w:val="31"/>
              </w:numPr>
              <w:spacing w:after="120"/>
              <w:ind w:left="547"/>
              <w:rPr>
                <w:color w:val="auto"/>
              </w:rPr>
            </w:pPr>
            <w:r>
              <w:rPr>
                <w:color w:val="auto"/>
              </w:rPr>
              <w:t>f</w:t>
            </w:r>
            <w:r w:rsidRPr="002F0FED">
              <w:rPr>
                <w:color w:val="auto"/>
              </w:rPr>
              <w:t xml:space="preserve">ollow </w:t>
            </w:r>
            <w:r w:rsidR="002F0FED" w:rsidRPr="002F0FED">
              <w:rPr>
                <w:color w:val="auto"/>
              </w:rPr>
              <w:t>the evidentiary guidance in this training</w:t>
            </w:r>
          </w:p>
          <w:p w14:paraId="764CCFAD" w14:textId="17FDA901" w:rsidR="002570A6" w:rsidRDefault="00F85573" w:rsidP="002F0FED">
            <w:pPr>
              <w:pStyle w:val="VBABodyText"/>
              <w:numPr>
                <w:ilvl w:val="0"/>
                <w:numId w:val="31"/>
              </w:numPr>
              <w:spacing w:after="120"/>
              <w:ind w:left="547"/>
              <w:rPr>
                <w:color w:val="auto"/>
              </w:rPr>
            </w:pPr>
            <w:r>
              <w:rPr>
                <w:color w:val="auto"/>
              </w:rPr>
              <w:t>b</w:t>
            </w:r>
            <w:r w:rsidRPr="002F0FED">
              <w:rPr>
                <w:color w:val="auto"/>
              </w:rPr>
              <w:t xml:space="preserve">e </w:t>
            </w:r>
            <w:r w:rsidR="002F0FED" w:rsidRPr="002F0FED">
              <w:rPr>
                <w:color w:val="auto"/>
              </w:rPr>
              <w:t>professional and courteous even when claimants are antagonistic, critical, or abusive</w:t>
            </w:r>
          </w:p>
          <w:p w14:paraId="1EFC3DEB" w14:textId="77777777" w:rsidR="002F0FED" w:rsidRPr="002F0FED" w:rsidRDefault="002F0FED" w:rsidP="002F0FED">
            <w:pPr>
              <w:pStyle w:val="VBABodyText"/>
              <w:rPr>
                <w:color w:val="auto"/>
              </w:rPr>
            </w:pPr>
            <w:r w:rsidRPr="002F0FED">
              <w:rPr>
                <w:color w:val="auto"/>
              </w:rPr>
              <w:t xml:space="preserve">When evaluating medical evidence, do not: </w:t>
            </w:r>
          </w:p>
          <w:p w14:paraId="06FFB5B3" w14:textId="6E1326DE" w:rsidR="002F0FED" w:rsidRDefault="00F85573" w:rsidP="002F0FED">
            <w:pPr>
              <w:pStyle w:val="VBABodyText"/>
              <w:numPr>
                <w:ilvl w:val="0"/>
                <w:numId w:val="32"/>
              </w:numPr>
              <w:spacing w:after="120"/>
              <w:ind w:left="547"/>
              <w:rPr>
                <w:color w:val="auto"/>
              </w:rPr>
            </w:pPr>
            <w:r>
              <w:rPr>
                <w:color w:val="auto"/>
              </w:rPr>
              <w:t>r</w:t>
            </w:r>
            <w:r w:rsidRPr="002F0FED">
              <w:rPr>
                <w:color w:val="auto"/>
              </w:rPr>
              <w:t xml:space="preserve">ely </w:t>
            </w:r>
            <w:r w:rsidR="002F0FED" w:rsidRPr="002F0FED">
              <w:rPr>
                <w:color w:val="auto"/>
              </w:rPr>
              <w:t>on your own unsubstantiated medical opinion</w:t>
            </w:r>
          </w:p>
          <w:p w14:paraId="3CB93EEB" w14:textId="2B7A8772" w:rsidR="002F0FED" w:rsidRDefault="00F85573" w:rsidP="002F0FED">
            <w:pPr>
              <w:pStyle w:val="VBABodyText"/>
              <w:numPr>
                <w:ilvl w:val="0"/>
                <w:numId w:val="32"/>
              </w:numPr>
              <w:spacing w:after="120"/>
              <w:ind w:left="547"/>
              <w:rPr>
                <w:color w:val="auto"/>
              </w:rPr>
            </w:pPr>
            <w:r>
              <w:rPr>
                <w:color w:val="auto"/>
              </w:rPr>
              <w:t>a</w:t>
            </w:r>
            <w:r w:rsidRPr="002F0FED">
              <w:rPr>
                <w:color w:val="auto"/>
              </w:rPr>
              <w:t xml:space="preserve">llow </w:t>
            </w:r>
            <w:r w:rsidR="002F0FED" w:rsidRPr="002F0FED">
              <w:rPr>
                <w:color w:val="auto"/>
              </w:rPr>
              <w:t xml:space="preserve">any bias or personal feelings into the evaluation of evidence or the decision </w:t>
            </w:r>
          </w:p>
          <w:p w14:paraId="2B106D9A" w14:textId="7856C251" w:rsidR="002F0FED" w:rsidRDefault="00F85573" w:rsidP="002F0FED">
            <w:pPr>
              <w:pStyle w:val="VBABodyText"/>
              <w:numPr>
                <w:ilvl w:val="0"/>
                <w:numId w:val="32"/>
              </w:numPr>
              <w:spacing w:after="120"/>
              <w:ind w:left="547"/>
              <w:rPr>
                <w:color w:val="auto"/>
              </w:rPr>
            </w:pPr>
            <w:r>
              <w:rPr>
                <w:color w:val="auto"/>
              </w:rPr>
              <w:t>a</w:t>
            </w:r>
            <w:r w:rsidRPr="002F0FED">
              <w:rPr>
                <w:color w:val="auto"/>
              </w:rPr>
              <w:t xml:space="preserve">rbitrarily </w:t>
            </w:r>
            <w:r w:rsidR="002F0FED" w:rsidRPr="002F0FED">
              <w:rPr>
                <w:color w:val="auto"/>
              </w:rPr>
              <w:t>or capriciously refuse to assign weight to a claimant’s evidence</w:t>
            </w:r>
          </w:p>
          <w:p w14:paraId="17DB27CF" w14:textId="6F29F137" w:rsidR="002F0FED" w:rsidRDefault="00F85573" w:rsidP="002F0FED">
            <w:pPr>
              <w:pStyle w:val="VBABodyText"/>
              <w:numPr>
                <w:ilvl w:val="0"/>
                <w:numId w:val="32"/>
              </w:numPr>
              <w:spacing w:after="120"/>
              <w:ind w:left="547"/>
              <w:rPr>
                <w:color w:val="auto"/>
              </w:rPr>
            </w:pPr>
            <w:r>
              <w:rPr>
                <w:color w:val="auto"/>
              </w:rPr>
              <w:t>a</w:t>
            </w:r>
            <w:r w:rsidRPr="002F0FED">
              <w:rPr>
                <w:color w:val="auto"/>
              </w:rPr>
              <w:t xml:space="preserve">dopt </w:t>
            </w:r>
            <w:r w:rsidR="002F0FED" w:rsidRPr="002F0FED">
              <w:rPr>
                <w:color w:val="auto"/>
              </w:rPr>
              <w:t>or express an adversarial position towards a claimant or beneficiary</w:t>
            </w:r>
          </w:p>
          <w:p w14:paraId="5750EA95" w14:textId="1BE512B6" w:rsidR="002F0FED" w:rsidRDefault="00F85573" w:rsidP="002F0FED">
            <w:pPr>
              <w:pStyle w:val="VBABodyText"/>
              <w:numPr>
                <w:ilvl w:val="0"/>
                <w:numId w:val="32"/>
              </w:numPr>
              <w:spacing w:after="120"/>
              <w:ind w:left="547"/>
              <w:rPr>
                <w:color w:val="auto"/>
              </w:rPr>
            </w:pPr>
            <w:proofErr w:type="gramStart"/>
            <w:r>
              <w:rPr>
                <w:color w:val="auto"/>
              </w:rPr>
              <w:t>r</w:t>
            </w:r>
            <w:r w:rsidRPr="002F0FED">
              <w:rPr>
                <w:color w:val="auto"/>
              </w:rPr>
              <w:t>efer</w:t>
            </w:r>
            <w:proofErr w:type="gramEnd"/>
            <w:r w:rsidRPr="002F0FED">
              <w:rPr>
                <w:color w:val="auto"/>
              </w:rPr>
              <w:t xml:space="preserve"> </w:t>
            </w:r>
            <w:r w:rsidR="002F0FED" w:rsidRPr="002F0FED">
              <w:rPr>
                <w:color w:val="auto"/>
              </w:rPr>
              <w:t>to the claimant or beneficiary as a liar.  Where evidence is not credible, say that and cite facts of record in support</w:t>
            </w:r>
          </w:p>
          <w:p w14:paraId="235F4217" w14:textId="7BFD1980" w:rsidR="002F0FED" w:rsidRPr="002F0FED" w:rsidRDefault="00F85573" w:rsidP="002F0FED">
            <w:pPr>
              <w:pStyle w:val="VBABodyText"/>
              <w:numPr>
                <w:ilvl w:val="0"/>
                <w:numId w:val="32"/>
              </w:numPr>
              <w:spacing w:after="120"/>
              <w:ind w:left="547"/>
              <w:rPr>
                <w:color w:val="auto"/>
              </w:rPr>
            </w:pPr>
            <w:r>
              <w:rPr>
                <w:color w:val="auto"/>
              </w:rPr>
              <w:t>m</w:t>
            </w:r>
            <w:r w:rsidRPr="002F0FED">
              <w:rPr>
                <w:color w:val="auto"/>
              </w:rPr>
              <w:t xml:space="preserve">inimize </w:t>
            </w:r>
            <w:r w:rsidR="002F0FED" w:rsidRPr="002F0FED">
              <w:rPr>
                <w:color w:val="auto"/>
              </w:rPr>
              <w:t xml:space="preserve">the weight of a treating physician’s opinion based upon the idea that he/she has become an advocate for the patient since </w:t>
            </w:r>
            <w:r w:rsidR="002F0FED" w:rsidRPr="002F0FED">
              <w:rPr>
                <w:color w:val="auto"/>
              </w:rPr>
              <w:lastRenderedPageBreak/>
              <w:t>doing so may appear adversarial and biased</w:t>
            </w:r>
          </w:p>
        </w:tc>
      </w:tr>
      <w:tr w:rsidR="00EA0AE9" w:rsidRPr="00EA0AE9" w14:paraId="235F421D" w14:textId="77777777" w:rsidTr="007056E7">
        <w:trPr>
          <w:trHeight w:val="212"/>
        </w:trPr>
        <w:tc>
          <w:tcPr>
            <w:tcW w:w="2560" w:type="dxa"/>
            <w:tcBorders>
              <w:top w:val="nil"/>
              <w:left w:val="nil"/>
              <w:bottom w:val="nil"/>
              <w:right w:val="nil"/>
            </w:tcBorders>
          </w:tcPr>
          <w:p w14:paraId="235F4219" w14:textId="5CE049A5" w:rsidR="002570A6" w:rsidRPr="00EA0AE9" w:rsidRDefault="00031910" w:rsidP="002570A6">
            <w:pPr>
              <w:pStyle w:val="VBALevel2Heading"/>
              <w:rPr>
                <w:color w:val="auto"/>
              </w:rPr>
            </w:pPr>
            <w:r>
              <w:rPr>
                <w:color w:val="auto"/>
              </w:rPr>
              <w:lastRenderedPageBreak/>
              <w:t>Types of Evidence</w:t>
            </w:r>
            <w:r w:rsidR="002570A6" w:rsidRPr="00EA0AE9">
              <w:rPr>
                <w:color w:val="auto"/>
              </w:rPr>
              <w:br/>
            </w:r>
          </w:p>
          <w:p w14:paraId="235F421A" w14:textId="0608D22B" w:rsidR="002570A6" w:rsidRPr="00EA0AE9" w:rsidRDefault="002570A6" w:rsidP="007056E7">
            <w:pPr>
              <w:pStyle w:val="VBASlideNumber"/>
              <w:rPr>
                <w:color w:val="auto"/>
              </w:rPr>
            </w:pPr>
            <w:r w:rsidRPr="00EA0AE9">
              <w:rPr>
                <w:color w:val="auto"/>
              </w:rPr>
              <w:t xml:space="preserve">Slide </w:t>
            </w:r>
            <w:r w:rsidR="00031910">
              <w:rPr>
                <w:color w:val="auto"/>
              </w:rPr>
              <w:t>22&amp;23</w:t>
            </w:r>
            <w:r w:rsidRPr="00EA0AE9">
              <w:rPr>
                <w:color w:val="auto"/>
              </w:rPr>
              <w:br/>
            </w:r>
          </w:p>
          <w:p w14:paraId="235F421B" w14:textId="249EA509" w:rsidR="002570A6" w:rsidRPr="00EA0AE9" w:rsidRDefault="004D551B" w:rsidP="004D551B">
            <w:pPr>
              <w:pStyle w:val="VBAHandoutNumber"/>
              <w:rPr>
                <w:color w:val="auto"/>
              </w:rPr>
            </w:pPr>
            <w:r>
              <w:rPr>
                <w:color w:val="auto"/>
              </w:rPr>
              <w:t>Handout 8</w:t>
            </w:r>
          </w:p>
        </w:tc>
        <w:tc>
          <w:tcPr>
            <w:tcW w:w="7217" w:type="dxa"/>
            <w:tcBorders>
              <w:top w:val="nil"/>
              <w:left w:val="nil"/>
              <w:bottom w:val="nil"/>
              <w:right w:val="nil"/>
            </w:tcBorders>
          </w:tcPr>
          <w:p w14:paraId="56B76FC8" w14:textId="10357596" w:rsidR="002F0FED" w:rsidRPr="002F0FED" w:rsidRDefault="002F0FED" w:rsidP="002F0FED">
            <w:pPr>
              <w:pStyle w:val="VBALevel1Heading"/>
              <w:spacing w:after="120"/>
              <w:rPr>
                <w:b w:val="0"/>
                <w:caps w:val="0"/>
              </w:rPr>
            </w:pPr>
            <w:r w:rsidRPr="002F0FED">
              <w:rPr>
                <w:b w:val="0"/>
                <w:caps w:val="0"/>
              </w:rPr>
              <w:t>RVSRs</w:t>
            </w:r>
            <w:r w:rsidR="006B6352">
              <w:rPr>
                <w:b w:val="0"/>
                <w:caps w:val="0"/>
              </w:rPr>
              <w:t xml:space="preserve"> are responsible for reviewing:</w:t>
            </w:r>
          </w:p>
          <w:p w14:paraId="14DA0AE7" w14:textId="77777777" w:rsidR="002F0FED" w:rsidRDefault="002F0FED" w:rsidP="00DA5D51">
            <w:pPr>
              <w:pStyle w:val="VBALevel1Heading"/>
              <w:numPr>
                <w:ilvl w:val="0"/>
                <w:numId w:val="35"/>
              </w:numPr>
              <w:spacing w:after="120"/>
              <w:ind w:left="547"/>
              <w:rPr>
                <w:b w:val="0"/>
                <w:caps w:val="0"/>
              </w:rPr>
            </w:pPr>
            <w:r w:rsidRPr="002F0FED">
              <w:rPr>
                <w:b w:val="0"/>
                <w:caps w:val="0"/>
              </w:rPr>
              <w:t>Serv</w:t>
            </w:r>
            <w:r>
              <w:rPr>
                <w:b w:val="0"/>
                <w:caps w:val="0"/>
              </w:rPr>
              <w:t>ice Medical &amp; Personnel Records</w:t>
            </w:r>
          </w:p>
          <w:p w14:paraId="7D158978" w14:textId="77777777" w:rsidR="002F0FED" w:rsidRDefault="002F0FED" w:rsidP="00DA5D51">
            <w:pPr>
              <w:pStyle w:val="VBALevel1Heading"/>
              <w:numPr>
                <w:ilvl w:val="0"/>
                <w:numId w:val="35"/>
              </w:numPr>
              <w:spacing w:after="120"/>
              <w:ind w:left="547"/>
              <w:rPr>
                <w:b w:val="0"/>
                <w:caps w:val="0"/>
              </w:rPr>
            </w:pPr>
            <w:r>
              <w:rPr>
                <w:b w:val="0"/>
                <w:caps w:val="0"/>
              </w:rPr>
              <w:t>VA Treatment Records</w:t>
            </w:r>
          </w:p>
          <w:p w14:paraId="6242E658" w14:textId="77777777" w:rsidR="002F0FED" w:rsidRDefault="002F0FED" w:rsidP="00DA5D51">
            <w:pPr>
              <w:pStyle w:val="VBALevel1Heading"/>
              <w:numPr>
                <w:ilvl w:val="0"/>
                <w:numId w:val="35"/>
              </w:numPr>
              <w:spacing w:after="120"/>
              <w:ind w:left="547"/>
              <w:rPr>
                <w:b w:val="0"/>
                <w:caps w:val="0"/>
              </w:rPr>
            </w:pPr>
            <w:r>
              <w:rPr>
                <w:b w:val="0"/>
                <w:caps w:val="0"/>
              </w:rPr>
              <w:t>VA Examinations</w:t>
            </w:r>
          </w:p>
          <w:p w14:paraId="392816F7" w14:textId="77777777" w:rsidR="002F0FED" w:rsidRDefault="002F0FED" w:rsidP="00DA5D51">
            <w:pPr>
              <w:pStyle w:val="VBALevel1Heading"/>
              <w:numPr>
                <w:ilvl w:val="0"/>
                <w:numId w:val="35"/>
              </w:numPr>
              <w:spacing w:after="120"/>
              <w:ind w:left="547"/>
              <w:rPr>
                <w:b w:val="0"/>
                <w:caps w:val="0"/>
              </w:rPr>
            </w:pPr>
            <w:r>
              <w:rPr>
                <w:b w:val="0"/>
                <w:caps w:val="0"/>
              </w:rPr>
              <w:t>Private Treatment Records</w:t>
            </w:r>
          </w:p>
          <w:p w14:paraId="0A0D36D9" w14:textId="77777777" w:rsidR="002F0FED" w:rsidRDefault="002F0FED" w:rsidP="00DA5D51">
            <w:pPr>
              <w:pStyle w:val="VBALevel1Heading"/>
              <w:numPr>
                <w:ilvl w:val="0"/>
                <w:numId w:val="35"/>
              </w:numPr>
              <w:spacing w:after="120"/>
              <w:ind w:left="547"/>
              <w:rPr>
                <w:b w:val="0"/>
                <w:caps w:val="0"/>
              </w:rPr>
            </w:pPr>
            <w:r>
              <w:rPr>
                <w:b w:val="0"/>
                <w:caps w:val="0"/>
              </w:rPr>
              <w:t>Lay Statements</w:t>
            </w:r>
          </w:p>
          <w:p w14:paraId="23016978" w14:textId="77777777" w:rsidR="002F0FED" w:rsidRDefault="002F0FED" w:rsidP="00DA5D51">
            <w:pPr>
              <w:pStyle w:val="VBALevel1Heading"/>
              <w:numPr>
                <w:ilvl w:val="0"/>
                <w:numId w:val="35"/>
              </w:numPr>
              <w:spacing w:after="120"/>
              <w:ind w:left="547"/>
              <w:rPr>
                <w:b w:val="0"/>
                <w:caps w:val="0"/>
              </w:rPr>
            </w:pPr>
            <w:r>
              <w:rPr>
                <w:b w:val="0"/>
                <w:caps w:val="0"/>
              </w:rPr>
              <w:t>Medical Opinions &amp; Treatises</w:t>
            </w:r>
          </w:p>
          <w:p w14:paraId="63450BE3" w14:textId="77777777" w:rsidR="002570A6" w:rsidRDefault="002F0FED" w:rsidP="00DA5D51">
            <w:pPr>
              <w:pStyle w:val="VBALevel1Heading"/>
              <w:numPr>
                <w:ilvl w:val="0"/>
                <w:numId w:val="35"/>
              </w:numPr>
              <w:spacing w:after="120"/>
              <w:ind w:left="547"/>
              <w:rPr>
                <w:b w:val="0"/>
                <w:caps w:val="0"/>
              </w:rPr>
            </w:pPr>
            <w:r w:rsidRPr="002F0FED">
              <w:rPr>
                <w:b w:val="0"/>
                <w:caps w:val="0"/>
              </w:rPr>
              <w:t>Due Process Letters</w:t>
            </w:r>
          </w:p>
          <w:p w14:paraId="479EF34B" w14:textId="77777777" w:rsidR="00DA5D51" w:rsidRPr="00DA5D51" w:rsidRDefault="00DA5D51" w:rsidP="00DA5D51">
            <w:pPr>
              <w:pStyle w:val="VBALevel1Heading"/>
              <w:spacing w:after="120"/>
              <w:rPr>
                <w:b w:val="0"/>
                <w:caps w:val="0"/>
              </w:rPr>
            </w:pPr>
            <w:r w:rsidRPr="00DA5D51">
              <w:rPr>
                <w:b w:val="0"/>
                <w:caps w:val="0"/>
              </w:rPr>
              <w:t>The four main types of medical assessments for VA purposes are:</w:t>
            </w:r>
          </w:p>
          <w:p w14:paraId="28454582" w14:textId="77777777" w:rsidR="00DA5D51" w:rsidRDefault="00DA5D51" w:rsidP="006B6344">
            <w:pPr>
              <w:pStyle w:val="VBALevel1Heading"/>
              <w:numPr>
                <w:ilvl w:val="0"/>
                <w:numId w:val="42"/>
              </w:numPr>
              <w:spacing w:after="120"/>
              <w:rPr>
                <w:b w:val="0"/>
                <w:caps w:val="0"/>
              </w:rPr>
            </w:pPr>
            <w:r w:rsidRPr="00DA5D51">
              <w:rPr>
                <w:b w:val="0"/>
                <w:caps w:val="0"/>
              </w:rPr>
              <w:t>Diagnoses</w:t>
            </w:r>
          </w:p>
          <w:p w14:paraId="05612ED9" w14:textId="77777777" w:rsidR="00DA5D51" w:rsidRDefault="00DA5D51" w:rsidP="006B6344">
            <w:pPr>
              <w:pStyle w:val="VBALevel1Heading"/>
              <w:numPr>
                <w:ilvl w:val="0"/>
                <w:numId w:val="42"/>
              </w:numPr>
              <w:spacing w:after="120"/>
              <w:rPr>
                <w:b w:val="0"/>
                <w:caps w:val="0"/>
              </w:rPr>
            </w:pPr>
            <w:r w:rsidRPr="00DA5D51">
              <w:rPr>
                <w:b w:val="0"/>
                <w:caps w:val="0"/>
              </w:rPr>
              <w:t>Opinions</w:t>
            </w:r>
          </w:p>
          <w:p w14:paraId="3DAF083C" w14:textId="77777777" w:rsidR="00DA5D51" w:rsidRDefault="00DA5D51" w:rsidP="006B6344">
            <w:pPr>
              <w:pStyle w:val="VBALevel1Heading"/>
              <w:numPr>
                <w:ilvl w:val="0"/>
                <w:numId w:val="42"/>
              </w:numPr>
              <w:spacing w:after="120"/>
              <w:rPr>
                <w:b w:val="0"/>
                <w:caps w:val="0"/>
              </w:rPr>
            </w:pPr>
            <w:r w:rsidRPr="00DA5D51">
              <w:rPr>
                <w:b w:val="0"/>
                <w:caps w:val="0"/>
              </w:rPr>
              <w:t>Examinations</w:t>
            </w:r>
          </w:p>
          <w:p w14:paraId="6DECAE11" w14:textId="77777777" w:rsidR="002F0FED" w:rsidRDefault="00DA5D51" w:rsidP="006B6344">
            <w:pPr>
              <w:pStyle w:val="VBALevel1Heading"/>
              <w:numPr>
                <w:ilvl w:val="0"/>
                <w:numId w:val="42"/>
              </w:numPr>
              <w:spacing w:after="120"/>
              <w:rPr>
                <w:b w:val="0"/>
                <w:caps w:val="0"/>
              </w:rPr>
            </w:pPr>
            <w:r w:rsidRPr="00DA5D51">
              <w:rPr>
                <w:b w:val="0"/>
                <w:caps w:val="0"/>
              </w:rPr>
              <w:t>History</w:t>
            </w:r>
          </w:p>
          <w:p w14:paraId="235F421C" w14:textId="75014B10" w:rsidR="006B6352" w:rsidRPr="00DA5D51" w:rsidRDefault="006B6352" w:rsidP="006B6352">
            <w:pPr>
              <w:pStyle w:val="VBALevel1Heading"/>
              <w:spacing w:after="120"/>
              <w:rPr>
                <w:b w:val="0"/>
                <w:caps w:val="0"/>
              </w:rPr>
            </w:pPr>
            <w:r>
              <w:rPr>
                <w:b w:val="0"/>
                <w:caps w:val="0"/>
              </w:rPr>
              <w:t>Remember, t</w:t>
            </w:r>
            <w:r w:rsidRPr="006B6352">
              <w:rPr>
                <w:b w:val="0"/>
                <w:caps w:val="0"/>
              </w:rPr>
              <w:t>he RSVR may not rely upon his/her own unsubstantiated medical conclusions to reject expert medical evidence provided by the claimant.</w:t>
            </w:r>
          </w:p>
        </w:tc>
      </w:tr>
      <w:tr w:rsidR="00EA0AE9" w:rsidRPr="00EA0AE9" w14:paraId="235F4222" w14:textId="77777777" w:rsidTr="007056E7">
        <w:trPr>
          <w:trHeight w:val="212"/>
        </w:trPr>
        <w:tc>
          <w:tcPr>
            <w:tcW w:w="2560" w:type="dxa"/>
            <w:tcBorders>
              <w:top w:val="nil"/>
              <w:left w:val="nil"/>
              <w:bottom w:val="nil"/>
              <w:right w:val="nil"/>
            </w:tcBorders>
          </w:tcPr>
          <w:p w14:paraId="235F421E" w14:textId="33F320DA" w:rsidR="002570A6" w:rsidRPr="00EA0AE9" w:rsidRDefault="00031910" w:rsidP="007056E7">
            <w:pPr>
              <w:pStyle w:val="VBALevel2Heading"/>
              <w:rPr>
                <w:bCs/>
                <w:i/>
                <w:color w:val="auto"/>
              </w:rPr>
            </w:pPr>
            <w:r>
              <w:rPr>
                <w:color w:val="auto"/>
              </w:rPr>
              <w:t>Reasons and Bases Requirements</w:t>
            </w:r>
            <w:r w:rsidR="002570A6" w:rsidRPr="00EA0AE9">
              <w:rPr>
                <w:color w:val="auto"/>
              </w:rPr>
              <w:br/>
            </w:r>
          </w:p>
          <w:p w14:paraId="235F421F" w14:textId="65C27177" w:rsidR="002570A6" w:rsidRPr="00EA0AE9" w:rsidRDefault="002570A6" w:rsidP="007056E7">
            <w:pPr>
              <w:pStyle w:val="VBASlideNumber"/>
              <w:rPr>
                <w:color w:val="auto"/>
              </w:rPr>
            </w:pPr>
            <w:r w:rsidRPr="00EA0AE9">
              <w:rPr>
                <w:color w:val="auto"/>
              </w:rPr>
              <w:t xml:space="preserve">Slide </w:t>
            </w:r>
            <w:r w:rsidR="00031910">
              <w:rPr>
                <w:color w:val="auto"/>
              </w:rPr>
              <w:t>25</w:t>
            </w:r>
            <w:r w:rsidRPr="00EA0AE9">
              <w:rPr>
                <w:color w:val="auto"/>
              </w:rPr>
              <w:br/>
            </w:r>
          </w:p>
          <w:p w14:paraId="235F4220" w14:textId="7BC7EFBA" w:rsidR="002570A6" w:rsidRPr="00EA0AE9" w:rsidRDefault="002570A6" w:rsidP="004D551B">
            <w:pPr>
              <w:pStyle w:val="VBAHandoutNumber"/>
              <w:rPr>
                <w:color w:val="auto"/>
              </w:rPr>
            </w:pPr>
            <w:r w:rsidRPr="00EA0AE9">
              <w:rPr>
                <w:color w:val="auto"/>
              </w:rPr>
              <w:t xml:space="preserve">Handout </w:t>
            </w:r>
            <w:r w:rsidR="004D551B">
              <w:rPr>
                <w:color w:val="auto"/>
              </w:rPr>
              <w:t>8</w:t>
            </w:r>
          </w:p>
        </w:tc>
        <w:tc>
          <w:tcPr>
            <w:tcW w:w="7217" w:type="dxa"/>
            <w:tcBorders>
              <w:top w:val="nil"/>
              <w:left w:val="nil"/>
              <w:bottom w:val="nil"/>
              <w:right w:val="nil"/>
            </w:tcBorders>
          </w:tcPr>
          <w:p w14:paraId="5E8D59C7" w14:textId="77777777" w:rsidR="00B2395D" w:rsidRDefault="006B6352" w:rsidP="006B6352">
            <w:pPr>
              <w:spacing w:before="240" w:after="240"/>
            </w:pPr>
            <w:r>
              <w:t xml:space="preserve">If there is evidence both for and against the claim, the Narrative should discuss how the evidence was weighed and any discrepancies resolved. </w:t>
            </w:r>
          </w:p>
          <w:p w14:paraId="6035E58F" w14:textId="3826A7C3" w:rsidR="00B2395D" w:rsidRDefault="00B2395D" w:rsidP="00B2395D">
            <w:pPr>
              <w:spacing w:before="240" w:after="240"/>
            </w:pPr>
            <w:r>
              <w:t>After weighing the evidence to reach a conclusion,</w:t>
            </w:r>
          </w:p>
          <w:p w14:paraId="0EB47EB6" w14:textId="059C40BA" w:rsidR="00B2395D" w:rsidRDefault="00B2395D" w:rsidP="00B2395D">
            <w:pPr>
              <w:pStyle w:val="ListParagraph"/>
              <w:numPr>
                <w:ilvl w:val="0"/>
                <w:numId w:val="36"/>
              </w:numPr>
              <w:spacing w:after="120"/>
            </w:pPr>
            <w:r>
              <w:t>discuss the evidence in favor of the claim</w:t>
            </w:r>
          </w:p>
          <w:p w14:paraId="2ABD0AE6" w14:textId="77777777" w:rsidR="00B2395D" w:rsidRDefault="00B2395D" w:rsidP="00B2395D">
            <w:pPr>
              <w:pStyle w:val="ListParagraph"/>
              <w:numPr>
                <w:ilvl w:val="0"/>
                <w:numId w:val="36"/>
              </w:numPr>
              <w:spacing w:after="120"/>
            </w:pPr>
            <w:r>
              <w:t>discuss the evidence against the claim to include any negative   evidence, and explain that</w:t>
            </w:r>
          </w:p>
          <w:p w14:paraId="6384B295" w14:textId="77777777" w:rsidR="00B2395D" w:rsidRDefault="00B2395D" w:rsidP="00B2395D">
            <w:pPr>
              <w:pStyle w:val="ListParagraph"/>
              <w:numPr>
                <w:ilvl w:val="0"/>
                <w:numId w:val="38"/>
              </w:numPr>
              <w:spacing w:after="120"/>
            </w:pPr>
            <w:r>
              <w:t>one set of evidence outweighs the other set, or</w:t>
            </w:r>
          </w:p>
          <w:p w14:paraId="29CEF5DF" w14:textId="439F161C" w:rsidR="006B6352" w:rsidRDefault="00B2395D" w:rsidP="00B2395D">
            <w:pPr>
              <w:pStyle w:val="ListParagraph"/>
              <w:numPr>
                <w:ilvl w:val="0"/>
                <w:numId w:val="38"/>
              </w:numPr>
              <w:spacing w:after="120"/>
            </w:pPr>
            <w:proofErr w:type="gramStart"/>
            <w:r>
              <w:t>the</w:t>
            </w:r>
            <w:proofErr w:type="gramEnd"/>
            <w:r>
              <w:t xml:space="preserve"> evidence is in equal balance for and against the claim.</w:t>
            </w:r>
          </w:p>
          <w:p w14:paraId="235F4221" w14:textId="03BB2B1B" w:rsidR="002570A6" w:rsidRPr="00EA0AE9" w:rsidRDefault="006B6352" w:rsidP="006B6352">
            <w:pPr>
              <w:spacing w:before="240" w:after="240"/>
            </w:pPr>
            <w:r>
              <w:t>For most claims where evidence was weighed, the denial rationale glossaries in VBMS-R contain adequate explanation.</w:t>
            </w:r>
          </w:p>
        </w:tc>
      </w:tr>
    </w:tbl>
    <w:p w14:paraId="235F423A" w14:textId="77777777" w:rsidR="009B2F5A" w:rsidRPr="00EA0AE9" w:rsidRDefault="009B2F5A">
      <w:pPr>
        <w:jc w:val="center"/>
        <w:rPr>
          <w:b/>
          <w:szCs w:val="24"/>
        </w:rPr>
      </w:pPr>
    </w:p>
    <w:p w14:paraId="235F423C" w14:textId="77777777" w:rsidR="009B2F5A" w:rsidRPr="00EA0AE9" w:rsidRDefault="009B2F5A" w:rsidP="00C25BFB">
      <w:pPr>
        <w:pStyle w:val="Heading1"/>
        <w:jc w:val="left"/>
        <w:rPr>
          <w:rFonts w:ascii="Times New Roman" w:hAnsi="Times New Roman"/>
          <w:szCs w:val="24"/>
        </w:rPr>
      </w:pPr>
      <w:r w:rsidRPr="00EA0AE9">
        <w:rPr>
          <w:rFonts w:ascii="Times New Roman" w:hAnsi="Times New Roman"/>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EA0AE9" w:rsidRPr="00EA0AE9"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EA0AE9" w:rsidRDefault="009B2F5A">
            <w:pPr>
              <w:pStyle w:val="Heading1"/>
              <w:spacing w:before="0" w:after="0"/>
              <w:rPr>
                <w:rFonts w:ascii="Times New Roman" w:hAnsi="Times New Roman"/>
              </w:rPr>
            </w:pPr>
            <w:bookmarkStart w:id="40" w:name="_Toc441732660"/>
            <w:r w:rsidRPr="00EA0AE9">
              <w:rPr>
                <w:rFonts w:ascii="Times New Roman" w:hAnsi="Times New Roman"/>
              </w:rPr>
              <w:lastRenderedPageBreak/>
              <w:t>Practical Exercise</w:t>
            </w:r>
            <w:bookmarkEnd w:id="40"/>
          </w:p>
        </w:tc>
      </w:tr>
      <w:tr w:rsidR="00EA0AE9" w:rsidRPr="00EA0AE9" w14:paraId="235F4241" w14:textId="77777777">
        <w:trPr>
          <w:cantSplit/>
        </w:trPr>
        <w:tc>
          <w:tcPr>
            <w:tcW w:w="2560" w:type="dxa"/>
            <w:tcBorders>
              <w:top w:val="nil"/>
              <w:left w:val="nil"/>
              <w:bottom w:val="nil"/>
              <w:right w:val="nil"/>
            </w:tcBorders>
          </w:tcPr>
          <w:p w14:paraId="235F423F" w14:textId="77777777" w:rsidR="009B2F5A" w:rsidRPr="00EA0AE9" w:rsidRDefault="009B2F5A">
            <w:pPr>
              <w:pStyle w:val="VBALevel1Heading"/>
            </w:pPr>
            <w:bookmarkStart w:id="41" w:name="_Toc269888423"/>
            <w:bookmarkStart w:id="42" w:name="_Toc269888766"/>
            <w:r w:rsidRPr="00EA0AE9">
              <w:t>Time Required</w:t>
            </w:r>
            <w:bookmarkEnd w:id="41"/>
            <w:bookmarkEnd w:id="42"/>
          </w:p>
        </w:tc>
        <w:tc>
          <w:tcPr>
            <w:tcW w:w="6967" w:type="dxa"/>
            <w:tcBorders>
              <w:top w:val="nil"/>
              <w:left w:val="nil"/>
              <w:bottom w:val="nil"/>
              <w:right w:val="nil"/>
            </w:tcBorders>
          </w:tcPr>
          <w:p w14:paraId="235F4240" w14:textId="56234E3D" w:rsidR="009B2F5A" w:rsidRPr="00EA0AE9" w:rsidRDefault="00060FBE">
            <w:pPr>
              <w:pStyle w:val="VBATimeReq"/>
              <w:rPr>
                <w:color w:val="auto"/>
                <w:szCs w:val="24"/>
              </w:rPr>
            </w:pPr>
            <w:r>
              <w:rPr>
                <w:color w:val="auto"/>
              </w:rPr>
              <w:t>0.5</w:t>
            </w:r>
            <w:r w:rsidR="009B2F5A" w:rsidRPr="00EA0AE9">
              <w:rPr>
                <w:color w:val="auto"/>
              </w:rPr>
              <w:t xml:space="preserve"> hours</w:t>
            </w:r>
          </w:p>
        </w:tc>
      </w:tr>
      <w:tr w:rsidR="00EA0AE9" w:rsidRPr="00EA0AE9" w14:paraId="235F4245" w14:textId="77777777">
        <w:trPr>
          <w:cantSplit/>
          <w:trHeight w:val="1683"/>
        </w:trPr>
        <w:tc>
          <w:tcPr>
            <w:tcW w:w="2560" w:type="dxa"/>
            <w:tcBorders>
              <w:top w:val="nil"/>
              <w:left w:val="nil"/>
              <w:bottom w:val="nil"/>
              <w:right w:val="nil"/>
            </w:tcBorders>
          </w:tcPr>
          <w:p w14:paraId="235F4242" w14:textId="77777777" w:rsidR="009B2F5A" w:rsidRPr="00EA0AE9" w:rsidRDefault="009B2F5A">
            <w:pPr>
              <w:pStyle w:val="VBAEXERCISE"/>
            </w:pPr>
            <w:bookmarkStart w:id="43" w:name="_Toc269888424"/>
            <w:bookmarkStart w:id="44" w:name="_Toc269888767"/>
            <w:r w:rsidRPr="00EA0AE9">
              <w:t>EXERCISE</w:t>
            </w:r>
            <w:bookmarkEnd w:id="43"/>
            <w:bookmarkEnd w:id="44"/>
          </w:p>
        </w:tc>
        <w:tc>
          <w:tcPr>
            <w:tcW w:w="6967" w:type="dxa"/>
            <w:tcBorders>
              <w:top w:val="nil"/>
              <w:left w:val="nil"/>
              <w:bottom w:val="nil"/>
              <w:right w:val="nil"/>
            </w:tcBorders>
          </w:tcPr>
          <w:p w14:paraId="235F4243" w14:textId="060399FA" w:rsidR="009B2F5A" w:rsidRPr="00EA0AE9" w:rsidRDefault="00060FBE">
            <w:pPr>
              <w:pStyle w:val="VBABodyText"/>
              <w:rPr>
                <w:color w:val="auto"/>
              </w:rPr>
            </w:pPr>
            <w:r>
              <w:rPr>
                <w:color w:val="auto"/>
              </w:rPr>
              <w:t xml:space="preserve">Review the </w:t>
            </w:r>
            <w:r w:rsidR="001977DD">
              <w:rPr>
                <w:color w:val="auto"/>
              </w:rPr>
              <w:t>attached</w:t>
            </w:r>
            <w:r>
              <w:rPr>
                <w:color w:val="auto"/>
              </w:rPr>
              <w:t xml:space="preserve"> scenarios and </w:t>
            </w:r>
            <w:r w:rsidR="001977DD">
              <w:rPr>
                <w:color w:val="auto"/>
              </w:rPr>
              <w:t>answer the associated questions.</w:t>
            </w:r>
          </w:p>
          <w:p w14:paraId="235F4244" w14:textId="77777777" w:rsidR="009B2F5A" w:rsidRPr="00EA0AE9" w:rsidRDefault="009B2F5A">
            <w:pPr>
              <w:spacing w:after="120"/>
              <w:rPr>
                <w:b/>
                <w:bCs/>
                <w:sz w:val="28"/>
              </w:rPr>
            </w:pPr>
            <w:r w:rsidRPr="00EA0AE9">
              <w:rPr>
                <w:szCs w:val="18"/>
              </w:rPr>
              <w:t>Ask if there are any questions about the information presented in the exercise, and then proceed to the Review.</w:t>
            </w:r>
            <w:r w:rsidRPr="00EA0AE9">
              <w:rPr>
                <w:b/>
                <w:bCs/>
                <w:sz w:val="28"/>
              </w:rPr>
              <w:t xml:space="preserve"> </w:t>
            </w:r>
          </w:p>
        </w:tc>
      </w:tr>
      <w:tr w:rsidR="009B2F5A" w:rsidRPr="00EA0AE9" w14:paraId="235F424B" w14:textId="77777777">
        <w:trPr>
          <w:cantSplit/>
          <w:trHeight w:val="930"/>
        </w:trPr>
        <w:tc>
          <w:tcPr>
            <w:tcW w:w="2560" w:type="dxa"/>
            <w:tcBorders>
              <w:top w:val="nil"/>
              <w:left w:val="nil"/>
              <w:bottom w:val="nil"/>
              <w:right w:val="nil"/>
            </w:tcBorders>
          </w:tcPr>
          <w:p w14:paraId="235F4246" w14:textId="630BD6D1" w:rsidR="009647DE" w:rsidRPr="009647DE" w:rsidRDefault="009647DE" w:rsidP="009647DE">
            <w:pPr>
              <w:pStyle w:val="VBALevel2Heading"/>
              <w:rPr>
                <w:rFonts w:ascii="Times New Roman Bold" w:hAnsi="Times New Roman Bold"/>
                <w:caps/>
                <w:color w:val="auto"/>
              </w:rPr>
            </w:pPr>
            <w:r w:rsidRPr="009647DE">
              <w:rPr>
                <w:rFonts w:ascii="Times New Roman Bold" w:hAnsi="Times New Roman Bold"/>
                <w:caps/>
                <w:color w:val="auto"/>
              </w:rPr>
              <w:t>Note</w:t>
            </w:r>
          </w:p>
          <w:p w14:paraId="235F4248" w14:textId="0E5C5762" w:rsidR="009B2F5A" w:rsidRPr="00EA0AE9" w:rsidRDefault="009B2F5A">
            <w:pPr>
              <w:pStyle w:val="VBAHandoutNumber"/>
              <w:rPr>
                <w:color w:val="auto"/>
              </w:rPr>
            </w:pPr>
          </w:p>
        </w:tc>
        <w:tc>
          <w:tcPr>
            <w:tcW w:w="6967" w:type="dxa"/>
            <w:tcBorders>
              <w:top w:val="nil"/>
              <w:left w:val="nil"/>
              <w:bottom w:val="nil"/>
              <w:right w:val="nil"/>
            </w:tcBorders>
          </w:tcPr>
          <w:p w14:paraId="235F4249" w14:textId="720898DD" w:rsidR="009B2F5A" w:rsidRPr="00EA0AE9" w:rsidRDefault="009647DE" w:rsidP="009647DE">
            <w:pPr>
              <w:pStyle w:val="VBAbullets"/>
              <w:spacing w:before="240" w:after="240"/>
              <w:ind w:left="0" w:firstLine="0"/>
              <w:rPr>
                <w:bCs/>
                <w:color w:val="auto"/>
                <w:szCs w:val="24"/>
              </w:rPr>
            </w:pPr>
            <w:r w:rsidRPr="009647DE">
              <w:rPr>
                <w:bCs/>
                <w:color w:val="auto"/>
                <w:szCs w:val="24"/>
              </w:rPr>
              <w:t>This exercise in analysis is designed for completion in small groups, with presentations to the entire group of their findings. There are no specific answers to these questions. Trainees should review the various opinions, assigning weight to each of them and then explain why the weight assigned is appropriate. Ask them to then make a decision as to whether they would grant or deny benefits to the widow and why.</w:t>
            </w:r>
          </w:p>
          <w:p w14:paraId="235F424A" w14:textId="77777777" w:rsidR="009B2F5A" w:rsidRPr="00EA0AE9" w:rsidRDefault="009B2F5A">
            <w:pPr>
              <w:pStyle w:val="VBAbullets"/>
              <w:spacing w:before="240" w:after="240"/>
              <w:ind w:left="0" w:firstLine="0"/>
              <w:rPr>
                <w:b/>
                <w:bCs/>
                <w:color w:val="auto"/>
                <w:sz w:val="28"/>
              </w:rPr>
            </w:pPr>
          </w:p>
        </w:tc>
      </w:tr>
    </w:tbl>
    <w:p w14:paraId="235F424C" w14:textId="77777777" w:rsidR="009B2F5A" w:rsidRPr="00EA0AE9" w:rsidRDefault="009B2F5A">
      <w:pPr>
        <w:jc w:val="center"/>
        <w:rPr>
          <w:b/>
          <w:szCs w:val="24"/>
        </w:rPr>
      </w:pPr>
    </w:p>
    <w:p w14:paraId="235F424D" w14:textId="77777777" w:rsidR="009B2F5A" w:rsidRPr="00EA0AE9" w:rsidRDefault="009B2F5A">
      <w:pPr>
        <w:pStyle w:val="Heading1"/>
        <w:rPr>
          <w:rFonts w:ascii="Times New Roman" w:hAnsi="Times New Roman"/>
        </w:rPr>
      </w:pPr>
      <w:r w:rsidRPr="00EA0AE9">
        <w:rPr>
          <w:rFonts w:ascii="Times New Roman" w:hAnsi="Times New Roman"/>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EA0AE9" w:rsidRPr="00EA0AE9" w14:paraId="235F424F" w14:textId="77777777">
        <w:trPr>
          <w:trHeight w:val="212"/>
        </w:trPr>
        <w:tc>
          <w:tcPr>
            <w:tcW w:w="9527" w:type="dxa"/>
            <w:gridSpan w:val="2"/>
            <w:tcBorders>
              <w:top w:val="nil"/>
              <w:left w:val="nil"/>
              <w:bottom w:val="nil"/>
              <w:right w:val="nil"/>
            </w:tcBorders>
          </w:tcPr>
          <w:p w14:paraId="235F424E" w14:textId="77777777" w:rsidR="009B2F5A" w:rsidRPr="00EA0AE9" w:rsidRDefault="009B2F5A">
            <w:pPr>
              <w:pStyle w:val="Heading1"/>
              <w:rPr>
                <w:rFonts w:ascii="Times New Roman" w:hAnsi="Times New Roman"/>
              </w:rPr>
            </w:pPr>
            <w:bookmarkStart w:id="45" w:name="_Toc269888426"/>
            <w:bookmarkStart w:id="46" w:name="_Toc269888769"/>
            <w:bookmarkStart w:id="47" w:name="_Toc269888792"/>
            <w:bookmarkStart w:id="48" w:name="_Toc441732661"/>
            <w:r w:rsidRPr="00EA0AE9">
              <w:rPr>
                <w:rFonts w:ascii="Times New Roman" w:hAnsi="Times New Roman"/>
              </w:rPr>
              <w:lastRenderedPageBreak/>
              <w:t>Lesson Review, Assessment, and Wrap-up</w:t>
            </w:r>
            <w:bookmarkEnd w:id="45"/>
            <w:bookmarkEnd w:id="46"/>
            <w:bookmarkEnd w:id="47"/>
            <w:bookmarkEnd w:id="48"/>
          </w:p>
        </w:tc>
      </w:tr>
      <w:tr w:rsidR="00EA0AE9" w:rsidRPr="00EA0AE9" w14:paraId="235F4254" w14:textId="77777777">
        <w:trPr>
          <w:trHeight w:val="1651"/>
        </w:trPr>
        <w:tc>
          <w:tcPr>
            <w:tcW w:w="2553" w:type="dxa"/>
            <w:tcBorders>
              <w:top w:val="nil"/>
              <w:left w:val="nil"/>
              <w:bottom w:val="nil"/>
              <w:right w:val="nil"/>
            </w:tcBorders>
          </w:tcPr>
          <w:p w14:paraId="235F4250" w14:textId="77777777" w:rsidR="009B2F5A" w:rsidRPr="00EA0AE9" w:rsidRDefault="009B2F5A">
            <w:pPr>
              <w:pStyle w:val="VBALevel1Heading"/>
            </w:pPr>
            <w:bookmarkStart w:id="49" w:name="_Toc269888427"/>
            <w:bookmarkStart w:id="50" w:name="_Toc269888770"/>
            <w:r w:rsidRPr="00EA0AE9">
              <w:t>Introduction</w:t>
            </w:r>
            <w:bookmarkEnd w:id="49"/>
            <w:bookmarkEnd w:id="50"/>
          </w:p>
          <w:p w14:paraId="235F4251" w14:textId="77777777" w:rsidR="009B2F5A" w:rsidRPr="00EA0AE9" w:rsidRDefault="009B2F5A">
            <w:pPr>
              <w:pStyle w:val="VBAInstructorExplanation"/>
              <w:rPr>
                <w:color w:val="auto"/>
              </w:rPr>
            </w:pPr>
            <w:r w:rsidRPr="00EA0AE9">
              <w:rPr>
                <w:color w:val="auto"/>
              </w:rPr>
              <w:t>Discuss the following:</w:t>
            </w:r>
          </w:p>
        </w:tc>
        <w:tc>
          <w:tcPr>
            <w:tcW w:w="6974" w:type="dxa"/>
            <w:tcBorders>
              <w:top w:val="nil"/>
              <w:left w:val="nil"/>
              <w:bottom w:val="nil"/>
              <w:right w:val="nil"/>
            </w:tcBorders>
          </w:tcPr>
          <w:p w14:paraId="235F4252" w14:textId="38B67774" w:rsidR="009B2F5A" w:rsidRPr="00EA0AE9" w:rsidRDefault="009B2F5A">
            <w:pPr>
              <w:pStyle w:val="VBABodyText"/>
              <w:rPr>
                <w:color w:val="auto"/>
              </w:rPr>
            </w:pPr>
            <w:r w:rsidRPr="00EA0AE9">
              <w:rPr>
                <w:color w:val="auto"/>
              </w:rPr>
              <w:t xml:space="preserve">The </w:t>
            </w:r>
            <w:r w:rsidR="00C3600F">
              <w:rPr>
                <w:color w:val="auto"/>
              </w:rPr>
              <w:t xml:space="preserve">Rating Analysis </w:t>
            </w:r>
            <w:r w:rsidRPr="00EA0AE9">
              <w:rPr>
                <w:color w:val="auto"/>
              </w:rPr>
              <w:t xml:space="preserve">lesson is complete. </w:t>
            </w:r>
          </w:p>
          <w:p w14:paraId="235F4253" w14:textId="77777777" w:rsidR="009B2F5A" w:rsidRPr="00EA0AE9" w:rsidRDefault="009B2F5A">
            <w:pPr>
              <w:pStyle w:val="VBABodyText"/>
              <w:spacing w:after="120"/>
              <w:rPr>
                <w:color w:val="auto"/>
              </w:rPr>
            </w:pPr>
            <w:r w:rsidRPr="00EA0AE9">
              <w:rPr>
                <w:color w:val="auto"/>
              </w:rPr>
              <w:t>Review each lesson objective and ask the trainees for any questions or comments.</w:t>
            </w:r>
          </w:p>
        </w:tc>
      </w:tr>
      <w:tr w:rsidR="00EA0AE9" w:rsidRPr="00EA0AE9" w14:paraId="235F4257" w14:textId="77777777">
        <w:tc>
          <w:tcPr>
            <w:tcW w:w="2553" w:type="dxa"/>
            <w:tcBorders>
              <w:top w:val="nil"/>
              <w:left w:val="nil"/>
              <w:bottom w:val="nil"/>
              <w:right w:val="nil"/>
            </w:tcBorders>
          </w:tcPr>
          <w:p w14:paraId="235F4255" w14:textId="77777777" w:rsidR="009B2F5A" w:rsidRPr="00EA0AE9" w:rsidRDefault="009B2F5A">
            <w:pPr>
              <w:pStyle w:val="VBALevel1Heading"/>
            </w:pPr>
            <w:bookmarkStart w:id="51" w:name="_Toc269888428"/>
            <w:bookmarkStart w:id="52" w:name="_Toc269888771"/>
            <w:r w:rsidRPr="00EA0AE9">
              <w:t>Time Required</w:t>
            </w:r>
            <w:bookmarkEnd w:id="51"/>
            <w:bookmarkEnd w:id="52"/>
          </w:p>
        </w:tc>
        <w:tc>
          <w:tcPr>
            <w:tcW w:w="6974" w:type="dxa"/>
            <w:tcBorders>
              <w:top w:val="nil"/>
              <w:left w:val="nil"/>
              <w:bottom w:val="nil"/>
              <w:right w:val="nil"/>
            </w:tcBorders>
          </w:tcPr>
          <w:p w14:paraId="235F4256" w14:textId="0DA37F46" w:rsidR="009B2F5A" w:rsidRPr="00EA0AE9" w:rsidRDefault="00060FBE">
            <w:pPr>
              <w:pStyle w:val="VBABodyText"/>
              <w:spacing w:after="120"/>
              <w:rPr>
                <w:b/>
                <w:color w:val="auto"/>
              </w:rPr>
            </w:pPr>
            <w:r>
              <w:rPr>
                <w:bCs/>
                <w:color w:val="auto"/>
              </w:rPr>
              <w:t>0.25</w:t>
            </w:r>
            <w:r w:rsidR="009B2F5A" w:rsidRPr="00EA0AE9">
              <w:rPr>
                <w:bCs/>
                <w:color w:val="auto"/>
              </w:rPr>
              <w:t xml:space="preserve"> hours </w:t>
            </w:r>
          </w:p>
        </w:tc>
      </w:tr>
      <w:tr w:rsidR="00EA0AE9" w:rsidRPr="00EA0AE9" w14:paraId="235F425E" w14:textId="77777777">
        <w:trPr>
          <w:trHeight w:val="212"/>
        </w:trPr>
        <w:tc>
          <w:tcPr>
            <w:tcW w:w="2553" w:type="dxa"/>
            <w:tcBorders>
              <w:top w:val="nil"/>
              <w:left w:val="nil"/>
              <w:bottom w:val="nil"/>
              <w:right w:val="nil"/>
            </w:tcBorders>
          </w:tcPr>
          <w:p w14:paraId="235F4258" w14:textId="77777777" w:rsidR="009B2F5A" w:rsidRPr="00EA0AE9" w:rsidRDefault="009B2F5A">
            <w:pPr>
              <w:pStyle w:val="VBALevel1Heading"/>
            </w:pPr>
            <w:bookmarkStart w:id="53" w:name="_Toc269888429"/>
            <w:bookmarkStart w:id="54" w:name="_Toc269888772"/>
            <w:r w:rsidRPr="00EA0AE9">
              <w:t>Lesson Objectives</w:t>
            </w:r>
            <w:bookmarkEnd w:id="53"/>
            <w:bookmarkEnd w:id="54"/>
          </w:p>
        </w:tc>
        <w:tc>
          <w:tcPr>
            <w:tcW w:w="6974" w:type="dxa"/>
            <w:tcBorders>
              <w:top w:val="nil"/>
              <w:left w:val="nil"/>
              <w:bottom w:val="nil"/>
              <w:right w:val="nil"/>
            </w:tcBorders>
          </w:tcPr>
          <w:p w14:paraId="235F4259" w14:textId="7653A0C5" w:rsidR="009B2F5A" w:rsidRPr="00EA0AE9" w:rsidRDefault="009B2F5A">
            <w:pPr>
              <w:spacing w:after="120"/>
            </w:pPr>
            <w:r w:rsidRPr="00EA0AE9">
              <w:t xml:space="preserve">You have completed the </w:t>
            </w:r>
            <w:r w:rsidR="00C3600F">
              <w:t>Rating Analysis</w:t>
            </w:r>
            <w:r w:rsidRPr="00EA0AE9">
              <w:t xml:space="preserve"> lesson. </w:t>
            </w:r>
          </w:p>
          <w:p w14:paraId="235F425A" w14:textId="77777777" w:rsidR="009B2F5A" w:rsidRPr="00EA0AE9" w:rsidRDefault="009B2F5A">
            <w:pPr>
              <w:spacing w:after="120"/>
            </w:pPr>
            <w:r w:rsidRPr="00EA0AE9">
              <w:t xml:space="preserve">The trainee should be able to:  </w:t>
            </w:r>
          </w:p>
          <w:p w14:paraId="46F591A1" w14:textId="77777777" w:rsidR="00C25BFB" w:rsidRDefault="00C25BFB" w:rsidP="00C25BFB">
            <w:pPr>
              <w:numPr>
                <w:ilvl w:val="0"/>
                <w:numId w:val="19"/>
              </w:numPr>
              <w:spacing w:before="60" w:after="60"/>
            </w:pPr>
            <w:r>
              <w:t>Identify guidelines for weighing evidence</w:t>
            </w:r>
          </w:p>
          <w:p w14:paraId="55E0AEAB" w14:textId="77777777" w:rsidR="00C25BFB" w:rsidRDefault="00C25BFB" w:rsidP="00C25BFB">
            <w:pPr>
              <w:numPr>
                <w:ilvl w:val="0"/>
                <w:numId w:val="19"/>
              </w:numPr>
              <w:spacing w:before="60" w:after="60"/>
            </w:pPr>
            <w:r>
              <w:t>Identify the major concepts involved in weighing evidence</w:t>
            </w:r>
          </w:p>
          <w:p w14:paraId="2799C684" w14:textId="77777777" w:rsidR="00C25BFB" w:rsidRDefault="00C25BFB" w:rsidP="00C25BFB">
            <w:pPr>
              <w:numPr>
                <w:ilvl w:val="0"/>
                <w:numId w:val="19"/>
              </w:numPr>
              <w:spacing w:before="60" w:after="60"/>
            </w:pPr>
            <w:r>
              <w:t xml:space="preserve">Identify different types of evidence and the </w:t>
            </w:r>
            <w:proofErr w:type="spellStart"/>
            <w:r>
              <w:t>principles</w:t>
            </w:r>
            <w:proofErr w:type="spellEnd"/>
            <w:r>
              <w:t xml:space="preserve"> involved in decision making</w:t>
            </w:r>
          </w:p>
          <w:p w14:paraId="235F425D" w14:textId="51617B1C" w:rsidR="009B2F5A" w:rsidRPr="00EA0AE9" w:rsidRDefault="00C25BFB" w:rsidP="00C25BFB">
            <w:pPr>
              <w:numPr>
                <w:ilvl w:val="0"/>
                <w:numId w:val="19"/>
              </w:numPr>
              <w:spacing w:before="60" w:after="60"/>
            </w:pPr>
            <w:r>
              <w:t>Write clear and concise rating decision narratives discussing the evidence reviewed in the decision process</w:t>
            </w:r>
          </w:p>
        </w:tc>
      </w:tr>
      <w:tr w:rsidR="00EA0AE9" w:rsidRPr="00EA0AE9" w14:paraId="235F4263" w14:textId="77777777">
        <w:trPr>
          <w:trHeight w:val="212"/>
        </w:trPr>
        <w:tc>
          <w:tcPr>
            <w:tcW w:w="2553" w:type="dxa"/>
            <w:tcBorders>
              <w:top w:val="nil"/>
              <w:left w:val="nil"/>
              <w:bottom w:val="nil"/>
              <w:right w:val="nil"/>
            </w:tcBorders>
          </w:tcPr>
          <w:p w14:paraId="235F425F" w14:textId="77777777" w:rsidR="009B2F5A" w:rsidRPr="00EA0AE9" w:rsidRDefault="009B2F5A">
            <w:pPr>
              <w:pStyle w:val="VBALevel1Heading"/>
              <w:spacing w:after="120"/>
            </w:pPr>
            <w:r w:rsidRPr="00EA0AE9">
              <w:t xml:space="preserve">Assessment </w:t>
            </w:r>
          </w:p>
          <w:p w14:paraId="235F4260" w14:textId="77777777" w:rsidR="009B2F5A" w:rsidRPr="00EA0AE9"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EA0AE9" w:rsidRDefault="009B2F5A">
            <w:pPr>
              <w:pStyle w:val="VBABodyText"/>
              <w:spacing w:after="120"/>
              <w:rPr>
                <w:color w:val="auto"/>
              </w:rPr>
            </w:pPr>
            <w:r w:rsidRPr="00EA0AE9">
              <w:rPr>
                <w:color w:val="auto"/>
              </w:rPr>
              <w:t>Remind the trainees to complete the on-line assessment in TMS to receive credit for completion of the course.</w:t>
            </w:r>
          </w:p>
          <w:p w14:paraId="235F4262" w14:textId="77777777" w:rsidR="009B2F5A" w:rsidRPr="00EA0AE9" w:rsidRDefault="009B2F5A">
            <w:pPr>
              <w:pStyle w:val="VBABodyText"/>
              <w:spacing w:after="120"/>
              <w:rPr>
                <w:b/>
                <w:color w:val="auto"/>
              </w:rPr>
            </w:pPr>
            <w:r w:rsidRPr="00EA0AE9">
              <w:rPr>
                <w:color w:val="auto"/>
              </w:rPr>
              <w:t>The assessment will allow the participants to demonstrate their understanding of the information presented in this lesson.</w:t>
            </w:r>
          </w:p>
        </w:tc>
      </w:tr>
    </w:tbl>
    <w:p w14:paraId="235F4264" w14:textId="77777777" w:rsidR="009B2F5A" w:rsidRPr="00EA0AE9" w:rsidRDefault="009B2F5A">
      <w:pPr>
        <w:tabs>
          <w:tab w:val="left" w:pos="240"/>
        </w:tabs>
        <w:rPr>
          <w:b/>
        </w:rPr>
      </w:pPr>
      <w:r w:rsidRPr="00EA0AE9">
        <w:tab/>
      </w:r>
    </w:p>
    <w:sectPr w:rsidR="009B2F5A" w:rsidRPr="00EA0AE9">
      <w:footerReference w:type="default" r:id="rId3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CD86C" w14:textId="77777777" w:rsidR="00396143" w:rsidRDefault="00396143">
      <w:r>
        <w:separator/>
      </w:r>
    </w:p>
  </w:endnote>
  <w:endnote w:type="continuationSeparator" w:id="0">
    <w:p w14:paraId="3406D155" w14:textId="77777777" w:rsidR="00396143" w:rsidRDefault="0039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386782"/>
      <w:docPartObj>
        <w:docPartGallery w:val="Page Numbers (Bottom of Page)"/>
        <w:docPartUnique/>
      </w:docPartObj>
    </w:sdtPr>
    <w:sdtEndPr/>
    <w:sdtContent>
      <w:p w14:paraId="3091A1BA" w14:textId="0BC76AA9" w:rsidR="00500A1C" w:rsidRDefault="00877E66">
        <w:pPr>
          <w:pStyle w:val="Footer"/>
          <w:jc w:val="right"/>
        </w:pPr>
        <w:r>
          <w:t xml:space="preserve">February </w:t>
        </w:r>
        <w:r w:rsidR="00500A1C">
          <w:t xml:space="preserve">2016                                                                                                                </w:t>
        </w:r>
        <w:sdt>
          <w:sdtPr>
            <w:id w:val="860082579"/>
            <w:docPartObj>
              <w:docPartGallery w:val="Page Numbers (Top of Page)"/>
              <w:docPartUnique/>
            </w:docPartObj>
          </w:sdtPr>
          <w:sdtEndPr/>
          <w:sdtContent>
            <w:r w:rsidR="00500A1C">
              <w:t xml:space="preserve">Page </w:t>
            </w:r>
            <w:r w:rsidR="00500A1C">
              <w:rPr>
                <w:b/>
                <w:bCs/>
                <w:szCs w:val="24"/>
              </w:rPr>
              <w:fldChar w:fldCharType="begin"/>
            </w:r>
            <w:r w:rsidR="00500A1C">
              <w:rPr>
                <w:b/>
                <w:bCs/>
              </w:rPr>
              <w:instrText xml:space="preserve"> PAGE </w:instrText>
            </w:r>
            <w:r w:rsidR="00500A1C">
              <w:rPr>
                <w:b/>
                <w:bCs/>
                <w:szCs w:val="24"/>
              </w:rPr>
              <w:fldChar w:fldCharType="separate"/>
            </w:r>
            <w:r w:rsidR="003C3319">
              <w:rPr>
                <w:b/>
                <w:bCs/>
                <w:noProof/>
              </w:rPr>
              <w:t>2</w:t>
            </w:r>
            <w:r w:rsidR="00500A1C">
              <w:rPr>
                <w:b/>
                <w:bCs/>
                <w:szCs w:val="24"/>
              </w:rPr>
              <w:fldChar w:fldCharType="end"/>
            </w:r>
            <w:r w:rsidR="00500A1C">
              <w:t xml:space="preserve"> of </w:t>
            </w:r>
            <w:r w:rsidR="00500A1C">
              <w:rPr>
                <w:b/>
                <w:bCs/>
                <w:szCs w:val="24"/>
              </w:rPr>
              <w:fldChar w:fldCharType="begin"/>
            </w:r>
            <w:r w:rsidR="00500A1C">
              <w:rPr>
                <w:b/>
                <w:bCs/>
              </w:rPr>
              <w:instrText xml:space="preserve"> NUMPAGES  </w:instrText>
            </w:r>
            <w:r w:rsidR="00500A1C">
              <w:rPr>
                <w:b/>
                <w:bCs/>
                <w:szCs w:val="24"/>
              </w:rPr>
              <w:fldChar w:fldCharType="separate"/>
            </w:r>
            <w:r w:rsidR="003C3319">
              <w:rPr>
                <w:b/>
                <w:bCs/>
                <w:noProof/>
              </w:rPr>
              <w:t>14</w:t>
            </w:r>
            <w:r w:rsidR="00500A1C">
              <w:rPr>
                <w:b/>
                <w:bCs/>
                <w:szCs w:val="24"/>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350DA" w14:textId="77777777" w:rsidR="00396143" w:rsidRDefault="00396143">
      <w:r>
        <w:separator/>
      </w:r>
    </w:p>
  </w:footnote>
  <w:footnote w:type="continuationSeparator" w:id="0">
    <w:p w14:paraId="46E381BE" w14:textId="77777777" w:rsidR="00396143" w:rsidRDefault="00396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3F1"/>
    <w:multiLevelType w:val="hybridMultilevel"/>
    <w:tmpl w:val="C08083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94C5893"/>
    <w:multiLevelType w:val="hybridMultilevel"/>
    <w:tmpl w:val="8BFA562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9023BC"/>
    <w:multiLevelType w:val="hybridMultilevel"/>
    <w:tmpl w:val="1CC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70A58"/>
    <w:multiLevelType w:val="hybridMultilevel"/>
    <w:tmpl w:val="F5AA09D4"/>
    <w:lvl w:ilvl="0" w:tplc="0409000F">
      <w:start w:val="1"/>
      <w:numFmt w:val="decimal"/>
      <w:lvlText w:val="%1."/>
      <w:lvlJc w:val="left"/>
      <w:pPr>
        <w:ind w:left="480" w:hanging="360"/>
      </w:pPr>
      <w:rPr>
        <w:rFont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75619"/>
    <w:multiLevelType w:val="hybridMultilevel"/>
    <w:tmpl w:val="695AFC8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nsid w:val="258D38E8"/>
    <w:multiLevelType w:val="hybridMultilevel"/>
    <w:tmpl w:val="92B23C6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nsid w:val="29085A07"/>
    <w:multiLevelType w:val="hybridMultilevel"/>
    <w:tmpl w:val="F8243346"/>
    <w:lvl w:ilvl="0" w:tplc="44EEC0B2">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3E672CAE"/>
    <w:multiLevelType w:val="hybridMultilevel"/>
    <w:tmpl w:val="84761DBA"/>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41522281"/>
    <w:multiLevelType w:val="hybridMultilevel"/>
    <w:tmpl w:val="BD505172"/>
    <w:lvl w:ilvl="0" w:tplc="B2A617D6">
      <w:start w:val="3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C6FEB"/>
    <w:multiLevelType w:val="hybridMultilevel"/>
    <w:tmpl w:val="19E48310"/>
    <w:lvl w:ilvl="0" w:tplc="8F588B44">
      <w:start w:val="38"/>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nsid w:val="49285447"/>
    <w:multiLevelType w:val="hybridMultilevel"/>
    <w:tmpl w:val="CE3E991A"/>
    <w:lvl w:ilvl="0" w:tplc="D758FE64">
      <w:start w:val="3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2C6DDB"/>
    <w:multiLevelType w:val="hybridMultilevel"/>
    <w:tmpl w:val="8292AA7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CD0846"/>
    <w:multiLevelType w:val="hybridMultilevel"/>
    <w:tmpl w:val="A8962C1A"/>
    <w:lvl w:ilvl="0" w:tplc="3140BF54">
      <w:numFmt w:val="bullet"/>
      <w:lvlText w:val=""/>
      <w:lvlJc w:val="left"/>
      <w:pPr>
        <w:ind w:left="1380" w:hanging="360"/>
      </w:pPr>
      <w:rPr>
        <w:rFonts w:ascii="Wingdings" w:eastAsia="Times New Roman" w:hAnsi="Wingdings"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8">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4FF7092F"/>
    <w:multiLevelType w:val="hybridMultilevel"/>
    <w:tmpl w:val="0B2261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57B875E1"/>
    <w:multiLevelType w:val="hybridMultilevel"/>
    <w:tmpl w:val="0710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4">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5">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20233C"/>
    <w:multiLevelType w:val="hybridMultilevel"/>
    <w:tmpl w:val="FFDA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A44453"/>
    <w:multiLevelType w:val="hybridMultilevel"/>
    <w:tmpl w:val="B5DC6A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4A77D4"/>
    <w:multiLevelType w:val="hybridMultilevel"/>
    <w:tmpl w:val="AE6269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BA0313"/>
    <w:multiLevelType w:val="hybridMultilevel"/>
    <w:tmpl w:val="F55A0570"/>
    <w:lvl w:ilvl="0" w:tplc="54F24672">
      <w:start w:val="38"/>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nsid w:val="74C73C65"/>
    <w:multiLevelType w:val="hybridMultilevel"/>
    <w:tmpl w:val="1FE28F2A"/>
    <w:lvl w:ilvl="0" w:tplc="A490A75C">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nsid w:val="76170FD1"/>
    <w:multiLevelType w:val="hybridMultilevel"/>
    <w:tmpl w:val="E402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4">
    <w:nsid w:val="78B17CF4"/>
    <w:multiLevelType w:val="hybridMultilevel"/>
    <w:tmpl w:val="C38C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3977FB"/>
    <w:multiLevelType w:val="multilevel"/>
    <w:tmpl w:val="47B0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4"/>
  </w:num>
  <w:num w:numId="4">
    <w:abstractNumId w:val="29"/>
  </w:num>
  <w:num w:numId="5">
    <w:abstractNumId w:val="21"/>
  </w:num>
  <w:num w:numId="6">
    <w:abstractNumId w:val="18"/>
  </w:num>
  <w:num w:numId="7">
    <w:abstractNumId w:val="3"/>
  </w:num>
  <w:num w:numId="8">
    <w:abstractNumId w:val="7"/>
  </w:num>
  <w:num w:numId="9">
    <w:abstractNumId w:val="24"/>
  </w:num>
  <w:num w:numId="10">
    <w:abstractNumId w:val="20"/>
  </w:num>
  <w:num w:numId="11">
    <w:abstractNumId w:val="16"/>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25"/>
  </w:num>
  <w:num w:numId="20">
    <w:abstractNumId w:val="12"/>
  </w:num>
  <w:num w:numId="21">
    <w:abstractNumId w:val="26"/>
  </w:num>
  <w:num w:numId="22">
    <w:abstractNumId w:val="13"/>
  </w:num>
  <w:num w:numId="23">
    <w:abstractNumId w:val="8"/>
  </w:num>
  <w:num w:numId="24">
    <w:abstractNumId w:val="14"/>
  </w:num>
  <w:num w:numId="25">
    <w:abstractNumId w:val="5"/>
  </w:num>
  <w:num w:numId="26">
    <w:abstractNumId w:val="35"/>
  </w:num>
  <w:num w:numId="27">
    <w:abstractNumId w:val="30"/>
  </w:num>
  <w:num w:numId="28">
    <w:abstractNumId w:val="15"/>
  </w:num>
  <w:num w:numId="29">
    <w:abstractNumId w:val="22"/>
  </w:num>
  <w:num w:numId="30">
    <w:abstractNumId w:val="31"/>
  </w:num>
  <w:num w:numId="31">
    <w:abstractNumId w:val="1"/>
  </w:num>
  <w:num w:numId="32">
    <w:abstractNumId w:val="19"/>
  </w:num>
  <w:num w:numId="33">
    <w:abstractNumId w:val="10"/>
  </w:num>
  <w:num w:numId="34">
    <w:abstractNumId w:val="28"/>
  </w:num>
  <w:num w:numId="35">
    <w:abstractNumId w:val="0"/>
  </w:num>
  <w:num w:numId="36">
    <w:abstractNumId w:val="32"/>
  </w:num>
  <w:num w:numId="37">
    <w:abstractNumId w:val="17"/>
  </w:num>
  <w:num w:numId="38">
    <w:abstractNumId w:val="9"/>
  </w:num>
  <w:num w:numId="39">
    <w:abstractNumId w:val="34"/>
  </w:num>
  <w:num w:numId="40">
    <w:abstractNumId w:val="6"/>
  </w:num>
  <w:num w:numId="41">
    <w:abstractNumId w:val="2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1910"/>
    <w:rsid w:val="00036461"/>
    <w:rsid w:val="00060FBE"/>
    <w:rsid w:val="000F1A72"/>
    <w:rsid w:val="000F78B6"/>
    <w:rsid w:val="00153163"/>
    <w:rsid w:val="00155B56"/>
    <w:rsid w:val="00156CBE"/>
    <w:rsid w:val="00174AED"/>
    <w:rsid w:val="001977DD"/>
    <w:rsid w:val="00220AA3"/>
    <w:rsid w:val="0025402E"/>
    <w:rsid w:val="002570A6"/>
    <w:rsid w:val="002939D1"/>
    <w:rsid w:val="002B7C4D"/>
    <w:rsid w:val="002F0FED"/>
    <w:rsid w:val="00300321"/>
    <w:rsid w:val="00354668"/>
    <w:rsid w:val="00396143"/>
    <w:rsid w:val="003C3319"/>
    <w:rsid w:val="0040068B"/>
    <w:rsid w:val="00477FA6"/>
    <w:rsid w:val="004C711C"/>
    <w:rsid w:val="004D186B"/>
    <w:rsid w:val="004D551B"/>
    <w:rsid w:val="00500A1C"/>
    <w:rsid w:val="0055276E"/>
    <w:rsid w:val="00572191"/>
    <w:rsid w:val="00577176"/>
    <w:rsid w:val="0058488B"/>
    <w:rsid w:val="0058757C"/>
    <w:rsid w:val="005E52C2"/>
    <w:rsid w:val="005E707B"/>
    <w:rsid w:val="005F0924"/>
    <w:rsid w:val="00610817"/>
    <w:rsid w:val="006718E5"/>
    <w:rsid w:val="006B6344"/>
    <w:rsid w:val="006B6352"/>
    <w:rsid w:val="00757533"/>
    <w:rsid w:val="007623A1"/>
    <w:rsid w:val="00774DF0"/>
    <w:rsid w:val="008047DC"/>
    <w:rsid w:val="00844FCC"/>
    <w:rsid w:val="008471E3"/>
    <w:rsid w:val="00877E66"/>
    <w:rsid w:val="008B68A5"/>
    <w:rsid w:val="008D025F"/>
    <w:rsid w:val="009647DE"/>
    <w:rsid w:val="009B2F5A"/>
    <w:rsid w:val="009C2595"/>
    <w:rsid w:val="00A24655"/>
    <w:rsid w:val="00A81ECE"/>
    <w:rsid w:val="00AF7580"/>
    <w:rsid w:val="00B10EA6"/>
    <w:rsid w:val="00B1723A"/>
    <w:rsid w:val="00B17F05"/>
    <w:rsid w:val="00B2395D"/>
    <w:rsid w:val="00B50204"/>
    <w:rsid w:val="00B52933"/>
    <w:rsid w:val="00B71A72"/>
    <w:rsid w:val="00B93BC9"/>
    <w:rsid w:val="00BA169B"/>
    <w:rsid w:val="00BC17E4"/>
    <w:rsid w:val="00BD2C47"/>
    <w:rsid w:val="00C0507B"/>
    <w:rsid w:val="00C05E3D"/>
    <w:rsid w:val="00C25BFB"/>
    <w:rsid w:val="00C3600F"/>
    <w:rsid w:val="00C57469"/>
    <w:rsid w:val="00C63EEC"/>
    <w:rsid w:val="00C8092F"/>
    <w:rsid w:val="00CA3852"/>
    <w:rsid w:val="00CE4401"/>
    <w:rsid w:val="00CF317E"/>
    <w:rsid w:val="00D87BD4"/>
    <w:rsid w:val="00DA5D51"/>
    <w:rsid w:val="00DB4FA0"/>
    <w:rsid w:val="00DF348A"/>
    <w:rsid w:val="00DF7E7C"/>
    <w:rsid w:val="00E46583"/>
    <w:rsid w:val="00E8539A"/>
    <w:rsid w:val="00E93036"/>
    <w:rsid w:val="00EA0AE9"/>
    <w:rsid w:val="00EC4B58"/>
    <w:rsid w:val="00EF587B"/>
    <w:rsid w:val="00F02C8D"/>
    <w:rsid w:val="00F85573"/>
    <w:rsid w:val="00FC4B9A"/>
    <w:rsid w:val="00FE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500A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500A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portal.html?portalid=554400000001034" TargetMode="External"/><Relationship Id="rId18" Type="http://schemas.openxmlformats.org/officeDocument/2006/relationships/hyperlink" Target="http://www.ecfr.gov/cgi-bin/retrieveECFR?gp=&amp;SID=97d42b95e227ec4129bd831e8d742da5&amp;mc=true&amp;n=sp38.1.4.a&amp;r=SUBPART&amp;ty=HTML" TargetMode="External"/><Relationship Id="rId26" Type="http://schemas.openxmlformats.org/officeDocument/2006/relationships/hyperlink" Target="http://vbaw.vba.va.gov/bl/21/advisory/CAVCDAD.htm" TargetMode="External"/><Relationship Id="rId3" Type="http://schemas.openxmlformats.org/officeDocument/2006/relationships/customXml" Target="../customXml/item3.xml"/><Relationship Id="rId21" Type="http://schemas.openxmlformats.org/officeDocument/2006/relationships/hyperlink" Target="http://www.ecfr.gov/cgi-bin/text-idx?SID=ad275643432556b9dda942343fb89296&amp;mc=true&amp;node=pt38.1.3&amp;rgn=div58"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www.ecfr.gov/cgi-bin/retrieveECFR?gp=&amp;SID=97d42b95e227ec4129bd831e8d742da5&amp;mc=true&amp;n=sp38.1.4.a&amp;r=SUBPART&amp;ty=HTML" TargetMode="External"/><Relationship Id="rId25" Type="http://schemas.openxmlformats.org/officeDocument/2006/relationships/hyperlink" Target="http://vbaw.vba.va.gov/bl/21/advisory/CAVCDAD.htm" TargetMode="External"/><Relationship Id="rId2" Type="http://schemas.openxmlformats.org/officeDocument/2006/relationships/customXml" Target="../customXml/item2.xml"/><Relationship Id="rId16" Type="http://schemas.openxmlformats.org/officeDocument/2006/relationships/hyperlink" Target="http://www.ecfr.gov/cgi-bin/retrieveECFR?gp=&amp;SID=97d42b95e227ec4129bd831e8d742da5&amp;mc=true&amp;n=sp38.1.4.a&amp;r=SUBPART&amp;ty=HTML" TargetMode="External"/><Relationship Id="rId20" Type="http://schemas.openxmlformats.org/officeDocument/2006/relationships/hyperlink" Target="http://www.ecfr.gov/cgi-bin/text-idx?SID=ad275643432556b9dda942343fb89296&amp;mc=true&amp;node=pt38.1.3&amp;rgn=div58" TargetMode="External"/><Relationship Id="rId29" Type="http://schemas.openxmlformats.org/officeDocument/2006/relationships/hyperlink" Target="http://vbaw.vba.va.gov/bl/21/advisory/CAVCDAD.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vaww.compensation.pension.km.va.gov/system/templates/selfservice/va_k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cfr.gov/cgi-bin/retrieveECFR?gp=&amp;SID=97d42b95e227ec4129bd831e8d742da5&amp;mc=true&amp;n=sp38.1.4.a&amp;r=SUBPART&amp;ty=HTML" TargetMode="External"/><Relationship Id="rId23" Type="http://schemas.openxmlformats.org/officeDocument/2006/relationships/hyperlink" Target="https://vaww.compensation.pension.km.va.gov/system/templates/selfservice/va_ka/" TargetMode="External"/><Relationship Id="rId28" Type="http://schemas.openxmlformats.org/officeDocument/2006/relationships/hyperlink" Target="http://vbaw.vba.va.gov/bl/21/advisory/CAVCDAD.htm" TargetMode="External"/><Relationship Id="rId10" Type="http://schemas.openxmlformats.org/officeDocument/2006/relationships/footnotes" Target="footnotes.xml"/><Relationship Id="rId19" Type="http://schemas.openxmlformats.org/officeDocument/2006/relationships/hyperlink" Target="http://www.ecfr.gov/cgi-bin/text-idx?SID=ad275643432556b9dda942343fb89296&amp;mc=true&amp;node=pt38.1.3&amp;rgn=div5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97d42b95e227ec4129bd831e8d742da5&amp;mc=true&amp;node=se38.1.4_12&amp;rgn=div8" TargetMode="External"/><Relationship Id="rId22" Type="http://schemas.openxmlformats.org/officeDocument/2006/relationships/hyperlink" Target="http://www.ecfr.gov/cgi-bin/text-idx?SID=ad275643432556b9dda942343fb89296&amp;mc=true&amp;node=pt38.1.3&amp;rgn=div58" TargetMode="External"/><Relationship Id="rId27" Type="http://schemas.openxmlformats.org/officeDocument/2006/relationships/hyperlink" Target="http://vbaw.vba.va.gov/bl/21/advisory/CAVCDAD.htm"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C2B32D87-58BF-4F1C-A5F6-E724F628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1112</TotalTime>
  <Pages>14</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RATING ANALYSIS</vt:lpstr>
    </vt:vector>
  </TitlesOfParts>
  <Company>Veterans Benefits Administration</Company>
  <LinksUpToDate>false</LinksUpToDate>
  <CharactersWithSpaces>20436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ANALYSIS</dc:title>
  <dc:subject>RVSR</dc:subject>
  <dc:creator>Department of Veterans Affairs, Veterans Benefits Administration, Compensation Service, STAFF</dc:creator>
  <cp:keywords>rating analysis, weighing evidence, probative value, Wray, credibility, lay evidence; ratng analysis, weighing evidence, credibility, reasonable doubt, probative value, competent, evidence, attitude, lay evidence, medical evidence</cp:keywords>
  <dc:description>This lesson is intended to identify the process of weighing evidence. </dc:description>
  <cp:lastModifiedBy>Sochar, Lisa</cp:lastModifiedBy>
  <cp:revision>17</cp:revision>
  <cp:lastPrinted>2010-09-08T15:08:00Z</cp:lastPrinted>
  <dcterms:created xsi:type="dcterms:W3CDTF">2016-01-13T23:30:00Z</dcterms:created>
  <dcterms:modified xsi:type="dcterms:W3CDTF">2016-02-15T13:21:00Z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