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F0EFC" w14:textId="77777777" w:rsidR="007A5600" w:rsidRPr="00393232" w:rsidRDefault="00151F28">
      <w:pPr>
        <w:pStyle w:val="VBALessonPlanName"/>
        <w:rPr>
          <w:color w:val="auto"/>
        </w:rPr>
      </w:pPr>
      <w:r w:rsidRPr="00393232">
        <w:rPr>
          <w:color w:val="auto"/>
        </w:rPr>
        <w:t>Rating Analysis</w:t>
      </w:r>
    </w:p>
    <w:p w14:paraId="1B2F0EFD" w14:textId="77777777" w:rsidR="007A5600" w:rsidRDefault="007A5600">
      <w:pPr>
        <w:pStyle w:val="VBALessonPlanTitle"/>
        <w:rPr>
          <w:color w:val="auto"/>
        </w:rPr>
      </w:pPr>
      <w:bookmarkStart w:id="0" w:name="_Toc276556863"/>
      <w:r>
        <w:rPr>
          <w:color w:val="auto"/>
        </w:rPr>
        <w:t>Trainee Handout</w:t>
      </w:r>
      <w:bookmarkEnd w:id="0"/>
    </w:p>
    <w:p w14:paraId="1B2F0EFE" w14:textId="77777777" w:rsidR="007A5600" w:rsidRDefault="007A5600">
      <w:pPr>
        <w:pStyle w:val="VBATopicHeading1"/>
      </w:pPr>
      <w:bookmarkStart w:id="1" w:name="_Toc276556864"/>
    </w:p>
    <w:p w14:paraId="1B2F0EFF"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1B2F0F00" w14:textId="77777777" w:rsidR="007A5600" w:rsidRDefault="007A5600"/>
    <w:p w14:paraId="102DF184" w14:textId="77777777" w:rsidR="006D507F"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1822425" w:history="1">
        <w:r w:rsidR="006D507F" w:rsidRPr="00720424">
          <w:rPr>
            <w:rStyle w:val="Hyperlink"/>
          </w:rPr>
          <w:t>Objectives</w:t>
        </w:r>
        <w:r w:rsidR="006D507F">
          <w:rPr>
            <w:webHidden/>
          </w:rPr>
          <w:tab/>
        </w:r>
        <w:r w:rsidR="006D507F">
          <w:rPr>
            <w:webHidden/>
          </w:rPr>
          <w:fldChar w:fldCharType="begin"/>
        </w:r>
        <w:r w:rsidR="006D507F">
          <w:rPr>
            <w:webHidden/>
          </w:rPr>
          <w:instrText xml:space="preserve"> PAGEREF _Toc441822425 \h </w:instrText>
        </w:r>
        <w:r w:rsidR="006D507F">
          <w:rPr>
            <w:webHidden/>
          </w:rPr>
        </w:r>
        <w:r w:rsidR="006D507F">
          <w:rPr>
            <w:webHidden/>
          </w:rPr>
          <w:fldChar w:fldCharType="separate"/>
        </w:r>
        <w:r w:rsidR="006D507F">
          <w:rPr>
            <w:webHidden/>
          </w:rPr>
          <w:t>2</w:t>
        </w:r>
        <w:r w:rsidR="006D507F">
          <w:rPr>
            <w:webHidden/>
          </w:rPr>
          <w:fldChar w:fldCharType="end"/>
        </w:r>
      </w:hyperlink>
    </w:p>
    <w:p w14:paraId="4D97055B" w14:textId="77777777" w:rsidR="006D507F" w:rsidRDefault="00EF60A2">
      <w:pPr>
        <w:pStyle w:val="TOC1"/>
        <w:rPr>
          <w:rStyle w:val="Hyperlink"/>
        </w:rPr>
      </w:pPr>
      <w:hyperlink w:anchor="_Toc441822426" w:history="1">
        <w:r w:rsidR="006D507F" w:rsidRPr="00720424">
          <w:rPr>
            <w:rStyle w:val="Hyperlink"/>
          </w:rPr>
          <w:t>Topic 1: Bases of Weighing Evidence</w:t>
        </w:r>
        <w:r w:rsidR="006D507F">
          <w:rPr>
            <w:webHidden/>
          </w:rPr>
          <w:tab/>
        </w:r>
        <w:r w:rsidR="006D507F">
          <w:rPr>
            <w:webHidden/>
          </w:rPr>
          <w:fldChar w:fldCharType="begin"/>
        </w:r>
        <w:r w:rsidR="006D507F">
          <w:rPr>
            <w:webHidden/>
          </w:rPr>
          <w:instrText xml:space="preserve"> PAGEREF _Toc441822426 \h </w:instrText>
        </w:r>
        <w:r w:rsidR="006D507F">
          <w:rPr>
            <w:webHidden/>
          </w:rPr>
        </w:r>
        <w:r w:rsidR="006D507F">
          <w:rPr>
            <w:webHidden/>
          </w:rPr>
          <w:fldChar w:fldCharType="separate"/>
        </w:r>
        <w:r w:rsidR="006D507F">
          <w:rPr>
            <w:webHidden/>
          </w:rPr>
          <w:t>4</w:t>
        </w:r>
        <w:r w:rsidR="006D507F">
          <w:rPr>
            <w:webHidden/>
          </w:rPr>
          <w:fldChar w:fldCharType="end"/>
        </w:r>
      </w:hyperlink>
    </w:p>
    <w:p w14:paraId="6C277D6F" w14:textId="7B4179DC" w:rsidR="006D507F" w:rsidRPr="006D507F" w:rsidRDefault="006D507F" w:rsidP="006D507F">
      <w:pPr>
        <w:rPr>
          <w:rFonts w:eastAsiaTheme="minorEastAsia"/>
        </w:rPr>
      </w:pPr>
      <w:r>
        <w:rPr>
          <w:rFonts w:eastAsiaTheme="minorEastAsia"/>
        </w:rPr>
        <w:t>Topic 2 : Evidentiary Concepts……………………………………………………………………5</w:t>
      </w:r>
    </w:p>
    <w:p w14:paraId="35B55AF0" w14:textId="77777777" w:rsidR="006D507F" w:rsidRDefault="00EF60A2">
      <w:pPr>
        <w:pStyle w:val="TOC1"/>
        <w:rPr>
          <w:rFonts w:asciiTheme="minorHAnsi" w:eastAsiaTheme="minorEastAsia" w:hAnsiTheme="minorHAnsi" w:cstheme="minorBidi"/>
          <w:sz w:val="22"/>
        </w:rPr>
      </w:pPr>
      <w:hyperlink w:anchor="_Toc441822427" w:history="1">
        <w:r w:rsidR="006D507F" w:rsidRPr="00720424">
          <w:rPr>
            <w:rStyle w:val="Hyperlink"/>
          </w:rPr>
          <w:t>Topic 3: Making Evidentiary Decisions</w:t>
        </w:r>
        <w:r w:rsidR="006D507F">
          <w:rPr>
            <w:webHidden/>
          </w:rPr>
          <w:tab/>
        </w:r>
        <w:r w:rsidR="006D507F">
          <w:rPr>
            <w:webHidden/>
          </w:rPr>
          <w:fldChar w:fldCharType="begin"/>
        </w:r>
        <w:r w:rsidR="006D507F">
          <w:rPr>
            <w:webHidden/>
          </w:rPr>
          <w:instrText xml:space="preserve"> PAGEREF _Toc441822427 \h </w:instrText>
        </w:r>
        <w:r w:rsidR="006D507F">
          <w:rPr>
            <w:webHidden/>
          </w:rPr>
        </w:r>
        <w:r w:rsidR="006D507F">
          <w:rPr>
            <w:webHidden/>
          </w:rPr>
          <w:fldChar w:fldCharType="separate"/>
        </w:r>
        <w:r w:rsidR="006D507F">
          <w:rPr>
            <w:webHidden/>
          </w:rPr>
          <w:t>7</w:t>
        </w:r>
        <w:r w:rsidR="006D507F">
          <w:rPr>
            <w:webHidden/>
          </w:rPr>
          <w:fldChar w:fldCharType="end"/>
        </w:r>
      </w:hyperlink>
    </w:p>
    <w:p w14:paraId="096E6BBA" w14:textId="77777777" w:rsidR="006D507F" w:rsidRDefault="00EF60A2">
      <w:pPr>
        <w:pStyle w:val="TOC1"/>
        <w:rPr>
          <w:rFonts w:asciiTheme="minorHAnsi" w:eastAsiaTheme="minorEastAsia" w:hAnsiTheme="minorHAnsi" w:cstheme="minorBidi"/>
          <w:sz w:val="22"/>
        </w:rPr>
      </w:pPr>
      <w:hyperlink w:anchor="_Toc441822428" w:history="1">
        <w:r w:rsidR="006D507F" w:rsidRPr="00720424">
          <w:rPr>
            <w:rStyle w:val="Hyperlink"/>
          </w:rPr>
          <w:t>Practical Exercise</w:t>
        </w:r>
        <w:r w:rsidR="006D507F">
          <w:rPr>
            <w:webHidden/>
          </w:rPr>
          <w:tab/>
        </w:r>
        <w:r w:rsidR="006D507F">
          <w:rPr>
            <w:webHidden/>
          </w:rPr>
          <w:fldChar w:fldCharType="begin"/>
        </w:r>
        <w:r w:rsidR="006D507F">
          <w:rPr>
            <w:webHidden/>
          </w:rPr>
          <w:instrText xml:space="preserve"> PAGEREF _Toc441822428 \h </w:instrText>
        </w:r>
        <w:r w:rsidR="006D507F">
          <w:rPr>
            <w:webHidden/>
          </w:rPr>
        </w:r>
        <w:r w:rsidR="006D507F">
          <w:rPr>
            <w:webHidden/>
          </w:rPr>
          <w:fldChar w:fldCharType="separate"/>
        </w:r>
        <w:r w:rsidR="006D507F">
          <w:rPr>
            <w:webHidden/>
          </w:rPr>
          <w:t>9</w:t>
        </w:r>
        <w:r w:rsidR="006D507F">
          <w:rPr>
            <w:webHidden/>
          </w:rPr>
          <w:fldChar w:fldCharType="end"/>
        </w:r>
      </w:hyperlink>
    </w:p>
    <w:p w14:paraId="1B2F0F05" w14:textId="77777777" w:rsidR="007A5600" w:rsidRDefault="007A5600">
      <w:pPr>
        <w:pStyle w:val="VBATopicHeading1"/>
        <w:rPr>
          <w:sz w:val="24"/>
        </w:rPr>
      </w:pPr>
      <w:r>
        <w:rPr>
          <w:rStyle w:val="Hyperlink"/>
          <w:bCs/>
          <w:szCs w:val="24"/>
        </w:rPr>
        <w:fldChar w:fldCharType="end"/>
      </w:r>
    </w:p>
    <w:p w14:paraId="1B2F0F06" w14:textId="77777777" w:rsidR="007A5600" w:rsidRDefault="007A5600"/>
    <w:p w14:paraId="1B2F0F07" w14:textId="77777777" w:rsidR="007A5600" w:rsidRDefault="007A5600"/>
    <w:p w14:paraId="1B2F0F08" w14:textId="77777777" w:rsidR="007A5600" w:rsidRDefault="007A5600"/>
    <w:p w14:paraId="1B2F0F09" w14:textId="77777777" w:rsidR="007A5600" w:rsidRDefault="007A5600"/>
    <w:p w14:paraId="1B2F0F0A" w14:textId="77777777" w:rsidR="007A5600" w:rsidRDefault="007A5600"/>
    <w:p w14:paraId="1B2F0F0B" w14:textId="77777777" w:rsidR="007A5600" w:rsidRDefault="007A5600"/>
    <w:p w14:paraId="1B2F0F0C" w14:textId="77777777" w:rsidR="007A5600" w:rsidRDefault="007A5600"/>
    <w:p w14:paraId="1B2F0F0D" w14:textId="77777777" w:rsidR="007A5600" w:rsidRDefault="007A5600"/>
    <w:p w14:paraId="1B2F0F0E" w14:textId="77777777" w:rsidR="007A5600" w:rsidRDefault="007A5600">
      <w:pPr>
        <w:overflowPunct/>
        <w:autoSpaceDE/>
        <w:autoSpaceDN/>
        <w:adjustRightInd/>
        <w:spacing w:before="0"/>
      </w:pPr>
      <w:r>
        <w:br w:type="page"/>
      </w:r>
    </w:p>
    <w:p w14:paraId="1B2F0F0F" w14:textId="77777777" w:rsidR="007A5600" w:rsidRDefault="007A5600">
      <w:pPr>
        <w:pStyle w:val="VBATopicHeading1"/>
      </w:pPr>
      <w:bookmarkStart w:id="2" w:name="_Toc441822425"/>
      <w:bookmarkStart w:id="3" w:name="_Toc269888405"/>
      <w:bookmarkStart w:id="4" w:name="_Toc269888748"/>
      <w:bookmarkStart w:id="5" w:name="_Toc278291133"/>
      <w:r>
        <w:lastRenderedPageBreak/>
        <w:t>Objectives</w:t>
      </w:r>
      <w:bookmarkEnd w:id="2"/>
    </w:p>
    <w:p w14:paraId="1B2F0F10" w14:textId="77777777" w:rsidR="000E3279" w:rsidRDefault="000E3279" w:rsidP="000E3279">
      <w:pPr>
        <w:pStyle w:val="VBATopicHeading1"/>
        <w:jc w:val="left"/>
        <w:rPr>
          <w:rFonts w:ascii="Times New Roman" w:hAnsi="Times New Roman"/>
          <w:b w:val="0"/>
          <w:smallCaps w:val="0"/>
          <w:sz w:val="24"/>
          <w:szCs w:val="20"/>
        </w:rPr>
      </w:pPr>
    </w:p>
    <w:p w14:paraId="1B2F0F11" w14:textId="77777777" w:rsidR="00FC4C93" w:rsidRPr="00FC4C93" w:rsidRDefault="00FC4C93" w:rsidP="00FC4C93">
      <w:pPr>
        <w:spacing w:after="240"/>
        <w:textAlignment w:val="baseline"/>
      </w:pPr>
      <w:r w:rsidRPr="00FC4C93">
        <w:t>The RVSR  will be able to:</w:t>
      </w:r>
    </w:p>
    <w:p w14:paraId="1B2F0F12" w14:textId="77777777" w:rsidR="00FC4C93" w:rsidRPr="00FC4C93" w:rsidRDefault="00FC4C93" w:rsidP="00FC4C93">
      <w:pPr>
        <w:numPr>
          <w:ilvl w:val="0"/>
          <w:numId w:val="17"/>
        </w:numPr>
        <w:spacing w:after="120"/>
        <w:textAlignment w:val="baseline"/>
      </w:pPr>
      <w:r w:rsidRPr="00FC4C93">
        <w:t>Identify guidelines for weighing evidence</w:t>
      </w:r>
    </w:p>
    <w:p w14:paraId="1B2F0F13" w14:textId="77777777" w:rsidR="00FC4C93" w:rsidRPr="00FC4C93" w:rsidRDefault="00FC4C93" w:rsidP="00FC4C93">
      <w:pPr>
        <w:numPr>
          <w:ilvl w:val="0"/>
          <w:numId w:val="17"/>
        </w:numPr>
        <w:spacing w:after="120"/>
        <w:textAlignment w:val="baseline"/>
      </w:pPr>
      <w:r w:rsidRPr="00FC4C93">
        <w:t>Identify the major concepts involved in weighing evidence</w:t>
      </w:r>
    </w:p>
    <w:p w14:paraId="1B2F0F14" w14:textId="77777777" w:rsidR="00FC4C93" w:rsidRDefault="00FC4C93" w:rsidP="00FC4C93">
      <w:pPr>
        <w:numPr>
          <w:ilvl w:val="0"/>
          <w:numId w:val="17"/>
        </w:numPr>
        <w:spacing w:after="120"/>
        <w:textAlignment w:val="baseline"/>
      </w:pPr>
      <w:r w:rsidRPr="00FC4C93">
        <w:t>Identify different types of evidence and the principles involved in decision making</w:t>
      </w:r>
    </w:p>
    <w:p w14:paraId="1B2F0F15" w14:textId="77777777" w:rsidR="007A5600" w:rsidRDefault="00FC4C93" w:rsidP="00FC4C93">
      <w:pPr>
        <w:numPr>
          <w:ilvl w:val="0"/>
          <w:numId w:val="17"/>
        </w:numPr>
        <w:spacing w:after="120"/>
        <w:textAlignment w:val="baseline"/>
      </w:pPr>
      <w:r w:rsidRPr="00FC4C93">
        <w:t>Write clear and concise rating decision narratives discussing the evidence reviewed in the decision process</w:t>
      </w:r>
      <w:bookmarkStart w:id="6" w:name="_GoBack"/>
      <w:bookmarkEnd w:id="6"/>
      <w:r w:rsidR="007A5600">
        <w:br w:type="page"/>
      </w:r>
      <w:r w:rsidR="007A5600">
        <w:lastRenderedPageBreak/>
        <w:t>References</w:t>
      </w:r>
    </w:p>
    <w:p w14:paraId="1B2F0F16" w14:textId="77777777" w:rsidR="00F86C93" w:rsidRDefault="00F86C93" w:rsidP="00F86C93">
      <w:pPr>
        <w:pStyle w:val="VBATopicHeading1"/>
        <w:ind w:left="720"/>
      </w:pPr>
    </w:p>
    <w:p w14:paraId="1B2F0F17" w14:textId="77777777" w:rsidR="00FC4C93" w:rsidRPr="00FC4C93" w:rsidRDefault="00EF60A2" w:rsidP="00FC4C93">
      <w:pPr>
        <w:spacing w:before="0"/>
        <w:ind w:left="720" w:hanging="360"/>
        <w:textAlignment w:val="baseline"/>
      </w:pPr>
      <w:hyperlink r:id="rId12" w:history="1">
        <w:r w:rsidR="00FC4C93" w:rsidRPr="00FC4C93">
          <w:rPr>
            <w:color w:val="0000FF"/>
            <w:u w:val="single"/>
          </w:rPr>
          <w:t>38 CFR 4.2 Interpretation of Exam Reports</w:t>
        </w:r>
      </w:hyperlink>
    </w:p>
    <w:p w14:paraId="1B2F0F18" w14:textId="77777777" w:rsidR="00FC4C93" w:rsidRPr="00FC4C93" w:rsidRDefault="00EF60A2" w:rsidP="00FC4C93">
      <w:pPr>
        <w:spacing w:before="0"/>
        <w:ind w:left="720" w:hanging="360"/>
        <w:textAlignment w:val="baseline"/>
      </w:pPr>
      <w:hyperlink r:id="rId13" w:anchor="se38.1.4_13" w:history="1">
        <w:r w:rsidR="00FC4C93" w:rsidRPr="00FC4C93">
          <w:rPr>
            <w:color w:val="0000FF"/>
            <w:u w:val="single"/>
          </w:rPr>
          <w:t>38 CFR 4.3 Resolution of Reasonable Doubt</w:t>
        </w:r>
      </w:hyperlink>
    </w:p>
    <w:p w14:paraId="1B2F0F19" w14:textId="77777777" w:rsidR="00FC4C93" w:rsidRPr="00FC4C93" w:rsidRDefault="00EF60A2" w:rsidP="00FC4C93">
      <w:pPr>
        <w:spacing w:before="0"/>
        <w:ind w:left="720" w:hanging="360"/>
        <w:textAlignment w:val="baseline"/>
      </w:pPr>
      <w:hyperlink r:id="rId14" w:anchor="se38.1.4_16" w:history="1">
        <w:r w:rsidR="00FC4C93" w:rsidRPr="00FC4C93">
          <w:rPr>
            <w:color w:val="0000FF"/>
            <w:u w:val="single"/>
          </w:rPr>
          <w:t>38 CFR 4.6 Evaluation of Evidence</w:t>
        </w:r>
      </w:hyperlink>
    </w:p>
    <w:p w14:paraId="1B2F0F1A" w14:textId="77777777" w:rsidR="00FC4C93" w:rsidRPr="00FC4C93" w:rsidRDefault="00EF60A2" w:rsidP="00FC4C93">
      <w:pPr>
        <w:spacing w:before="0"/>
        <w:ind w:left="720" w:hanging="360"/>
        <w:textAlignment w:val="baseline"/>
      </w:pPr>
      <w:hyperlink r:id="rId15" w:anchor="se38.1.4_17" w:history="1">
        <w:r w:rsidR="00FC4C93" w:rsidRPr="00FC4C93">
          <w:rPr>
            <w:color w:val="0000FF"/>
            <w:u w:val="single"/>
          </w:rPr>
          <w:t>38 CFR 4.7 Higher of Two Evaluations</w:t>
        </w:r>
      </w:hyperlink>
    </w:p>
    <w:p w14:paraId="1B1F005A" w14:textId="77777777" w:rsidR="00393232" w:rsidRDefault="00EF60A2" w:rsidP="00393232">
      <w:pPr>
        <w:spacing w:before="0"/>
        <w:ind w:left="720" w:hanging="360"/>
        <w:textAlignment w:val="baseline"/>
      </w:pPr>
      <w:hyperlink r:id="rId16" w:anchor="se38.1.4_123" w:history="1">
        <w:r w:rsidR="00FC4C93" w:rsidRPr="00FC4C93">
          <w:rPr>
            <w:color w:val="0000FF"/>
            <w:u w:val="single"/>
          </w:rPr>
          <w:t>38 CFR 4.23 Attitude of Rating Officers</w:t>
        </w:r>
      </w:hyperlink>
    </w:p>
    <w:p w14:paraId="29870E7F" w14:textId="0F5D3A37" w:rsidR="0004553F" w:rsidRPr="0004553F" w:rsidRDefault="00EF60A2" w:rsidP="00393232">
      <w:pPr>
        <w:spacing w:before="0"/>
        <w:ind w:left="720" w:hanging="360"/>
        <w:textAlignment w:val="baseline"/>
      </w:pPr>
      <w:hyperlink r:id="rId17" w:anchor="se38.1.3_1159" w:history="1">
        <w:r w:rsidR="00FC4C93" w:rsidRPr="00FC4C93">
          <w:rPr>
            <w:color w:val="0000FF"/>
            <w:u w:val="single"/>
          </w:rPr>
          <w:t>38 CFR 3.159 Duty to Assist</w:t>
        </w:r>
      </w:hyperlink>
      <w:hyperlink r:id="rId18" w:history="1">
        <w:r w:rsidR="0004553F" w:rsidRPr="0004553F">
          <w:rPr>
            <w:color w:val="0000FF"/>
            <w:u w:val="single"/>
          </w:rPr>
          <w:t>38 CFR 3.102 Reasonable Doubt</w:t>
        </w:r>
      </w:hyperlink>
    </w:p>
    <w:p w14:paraId="1B2F0F1D" w14:textId="588C69DC" w:rsidR="00FC4C93" w:rsidRPr="00FC4C93" w:rsidRDefault="00EF60A2" w:rsidP="00FC4C93">
      <w:pPr>
        <w:spacing w:before="0"/>
        <w:ind w:left="720" w:hanging="360"/>
        <w:textAlignment w:val="baseline"/>
      </w:pPr>
      <w:hyperlink r:id="rId19" w:anchor="se38.1.3_1303" w:history="1">
        <w:r w:rsidR="00FC4C93" w:rsidRPr="00FC4C93">
          <w:rPr>
            <w:color w:val="0000FF"/>
            <w:u w:val="single"/>
          </w:rPr>
          <w:t>38 CFR 3.303 Principles of Service Connection</w:t>
        </w:r>
      </w:hyperlink>
    </w:p>
    <w:p w14:paraId="1B2F0F1E" w14:textId="77777777" w:rsidR="00FC4C93" w:rsidRPr="00FC4C93" w:rsidRDefault="00EF60A2" w:rsidP="00FC4C93">
      <w:pPr>
        <w:spacing w:before="0"/>
        <w:ind w:left="720" w:hanging="360"/>
        <w:textAlignment w:val="baseline"/>
      </w:pPr>
      <w:hyperlink r:id="rId20" w:anchor="se38.1.3_1304" w:history="1">
        <w:r w:rsidR="00FC4C93" w:rsidRPr="00FC4C93">
          <w:rPr>
            <w:color w:val="0000FF"/>
            <w:u w:val="single"/>
          </w:rPr>
          <w:t>38 CFR 3.304 Direct Service Connection</w:t>
        </w:r>
      </w:hyperlink>
    </w:p>
    <w:p w14:paraId="1B2F0F1F" w14:textId="77777777" w:rsidR="00FC4C93" w:rsidRPr="00FC4C93" w:rsidRDefault="00EF60A2" w:rsidP="00FC4C93">
      <w:pPr>
        <w:spacing w:before="0"/>
        <w:ind w:left="720" w:hanging="360"/>
        <w:textAlignment w:val="baseline"/>
      </w:pPr>
      <w:hyperlink r:id="rId21" w:anchor="se38.1.3_1328" w:history="1">
        <w:r w:rsidR="00FC4C93" w:rsidRPr="00FC4C93">
          <w:rPr>
            <w:color w:val="0000FF"/>
            <w:u w:val="single"/>
          </w:rPr>
          <w:t>38 CFR 3.328 Independent Medical Opinions</w:t>
        </w:r>
      </w:hyperlink>
    </w:p>
    <w:p w14:paraId="1B2F0F20" w14:textId="77777777" w:rsidR="00FC4C93" w:rsidRPr="00FC4C93" w:rsidRDefault="00EF60A2" w:rsidP="00FC4C93">
      <w:pPr>
        <w:spacing w:before="0"/>
        <w:ind w:left="720" w:hanging="360"/>
        <w:textAlignment w:val="baseline"/>
      </w:pPr>
      <w:hyperlink r:id="rId22" w:anchor="!agent/portal/554400000001034/article/554400000014203/M21-1-Part-III-Subpart-iv-Chapter-5" w:history="1">
        <w:r w:rsidR="00FC4C93" w:rsidRPr="00FC4C93">
          <w:rPr>
            <w:color w:val="0000FF"/>
            <w:u w:val="single"/>
          </w:rPr>
          <w:t>M21-1, Part III, Subpart iv, 5  Evaluating Evidence and making a Decision</w:t>
        </w:r>
      </w:hyperlink>
    </w:p>
    <w:p w14:paraId="1B2F0F21" w14:textId="77777777" w:rsidR="00FC4C93" w:rsidRPr="00FC4C93" w:rsidRDefault="00EF60A2" w:rsidP="00FC4C93">
      <w:pPr>
        <w:spacing w:before="0"/>
        <w:ind w:left="720" w:hanging="360"/>
        <w:textAlignment w:val="baseline"/>
      </w:pPr>
      <w:hyperlink r:id="rId23" w:anchor="!agent/portal/554400000001034/article/554400000014206/M21-1-Part-III-Subpart-iv-Chapter-6" w:history="1">
        <w:r w:rsidR="00FC4C93" w:rsidRPr="00FC4C93">
          <w:rPr>
            <w:color w:val="0000FF"/>
            <w:u w:val="single"/>
          </w:rPr>
          <w:t>M21-1 Part III, Subpart iv, 6.C  Completing the rating decision narrative</w:t>
        </w:r>
      </w:hyperlink>
    </w:p>
    <w:p w14:paraId="1B2F0F22" w14:textId="77777777" w:rsidR="00FC4C93" w:rsidRPr="00FC4C93" w:rsidRDefault="00EF60A2" w:rsidP="00FC4C93">
      <w:pPr>
        <w:spacing w:before="0"/>
        <w:ind w:left="720" w:hanging="360"/>
        <w:textAlignment w:val="baseline"/>
      </w:pPr>
      <w:hyperlink r:id="rId24" w:anchor="bmm" w:history="1">
        <w:r w:rsidR="00FC4C93" w:rsidRPr="00FC4C93">
          <w:rPr>
            <w:color w:val="0000FF"/>
            <w:u w:val="single"/>
          </w:rPr>
          <w:t>Charles v. Principi, No. 01-1536, October 3, 2002</w:t>
        </w:r>
      </w:hyperlink>
    </w:p>
    <w:p w14:paraId="1B2F0F23" w14:textId="77777777" w:rsidR="00FC4C93" w:rsidRPr="00FC4C93" w:rsidRDefault="00EF60A2" w:rsidP="00FC4C93">
      <w:pPr>
        <w:spacing w:before="0"/>
        <w:ind w:left="720" w:hanging="360"/>
        <w:textAlignment w:val="baseline"/>
      </w:pPr>
      <w:hyperlink r:id="rId25" w:anchor="bmw" w:history="1">
        <w:r w:rsidR="00FC4C93" w:rsidRPr="00FC4C93">
          <w:rPr>
            <w:color w:val="0000FF"/>
            <w:u w:val="single"/>
          </w:rPr>
          <w:t>Wray v. Brown, No. 93-289, April 6, 1995</w:t>
        </w:r>
      </w:hyperlink>
    </w:p>
    <w:p w14:paraId="1B2F0F24" w14:textId="77777777" w:rsidR="00FC4C93" w:rsidRPr="00FC4C93" w:rsidRDefault="00EF60A2" w:rsidP="00FC4C93">
      <w:pPr>
        <w:spacing w:before="0"/>
        <w:ind w:left="720" w:hanging="360"/>
        <w:textAlignment w:val="baseline"/>
      </w:pPr>
      <w:hyperlink r:id="rId26" w:anchor="bmm" w:history="1">
        <w:r w:rsidR="00FC4C93" w:rsidRPr="00FC4C93">
          <w:rPr>
            <w:color w:val="0000FF"/>
            <w:u w:val="single"/>
          </w:rPr>
          <w:t>White v. Principi, No. 00-7130, March 27, 2001</w:t>
        </w:r>
      </w:hyperlink>
    </w:p>
    <w:p w14:paraId="1B2F0F25" w14:textId="77777777" w:rsidR="00FC4C93" w:rsidRPr="00FC4C93" w:rsidRDefault="00EF60A2" w:rsidP="00FC4C93">
      <w:pPr>
        <w:spacing w:before="0"/>
        <w:ind w:left="720" w:hanging="360"/>
        <w:textAlignment w:val="baseline"/>
      </w:pPr>
      <w:hyperlink r:id="rId27" w:anchor="bmm" w:history="1">
        <w:r w:rsidR="00FC4C93" w:rsidRPr="00FC4C93">
          <w:rPr>
            <w:color w:val="0000FF"/>
            <w:u w:val="single"/>
          </w:rPr>
          <w:t>McLendon v. Nicholson, No. 04-0185, June 5, 2006</w:t>
        </w:r>
      </w:hyperlink>
    </w:p>
    <w:p w14:paraId="1B2F0F26" w14:textId="77777777" w:rsidR="00F86C93" w:rsidRDefault="00EF60A2" w:rsidP="00FC4C93">
      <w:pPr>
        <w:ind w:left="360"/>
      </w:pPr>
      <w:hyperlink r:id="rId28" w:anchor="bmw" w:history="1">
        <w:r w:rsidR="00FC4C93" w:rsidRPr="00FC4C93">
          <w:rPr>
            <w:color w:val="0000FF"/>
            <w:u w:val="single"/>
          </w:rPr>
          <w:t>Barr v. Nicholson, No. 04-0534, June 15, 2007</w:t>
        </w:r>
      </w:hyperlink>
    </w:p>
    <w:p w14:paraId="1B2F0F27"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1B2F0F28" w14:textId="77777777" w:rsidR="007A5600" w:rsidRDefault="007A5600"/>
    <w:p w14:paraId="1B2F0F29" w14:textId="77777777" w:rsidR="007A5600" w:rsidRDefault="007A5600"/>
    <w:p w14:paraId="1B2F0F2A" w14:textId="77777777" w:rsidR="007A5600" w:rsidRDefault="007A5600"/>
    <w:p w14:paraId="1B2F0F2B" w14:textId="77777777" w:rsidR="007A5600" w:rsidRDefault="007A5600"/>
    <w:p w14:paraId="1B2F0F2C" w14:textId="77777777" w:rsidR="007A5600" w:rsidRDefault="007A5600"/>
    <w:p w14:paraId="1B2F0F2D" w14:textId="77777777" w:rsidR="007A5600" w:rsidRDefault="007A5600"/>
    <w:p w14:paraId="1B2F0F2E" w14:textId="77777777" w:rsidR="007A5600" w:rsidRDefault="007A5600"/>
    <w:p w14:paraId="1B2F0F2F" w14:textId="77777777" w:rsidR="007A5600" w:rsidRDefault="007A5600"/>
    <w:p w14:paraId="1B2F0F30" w14:textId="77777777" w:rsidR="007A5600" w:rsidRDefault="007A5600"/>
    <w:p w14:paraId="1B2F0F31" w14:textId="77777777" w:rsidR="007A5600" w:rsidRDefault="007A5600"/>
    <w:p w14:paraId="1B2F0F32" w14:textId="77777777" w:rsidR="007A5600" w:rsidRDefault="007A5600"/>
    <w:p w14:paraId="1B2F0F33" w14:textId="77777777" w:rsidR="007A5600" w:rsidRDefault="007A5600"/>
    <w:p w14:paraId="1B2F0F34" w14:textId="77777777" w:rsidR="007A5600" w:rsidRDefault="007A5600"/>
    <w:p w14:paraId="1B2F0F35" w14:textId="77777777" w:rsidR="007A5600" w:rsidRDefault="007A5600"/>
    <w:p w14:paraId="1B2F0F36" w14:textId="77777777" w:rsidR="007A5600" w:rsidRDefault="007A5600"/>
    <w:p w14:paraId="1B2F0F37" w14:textId="77777777" w:rsidR="007A5600" w:rsidRDefault="007A5600"/>
    <w:p w14:paraId="1B2F0F39" w14:textId="05303792" w:rsidR="00AA1A39" w:rsidRPr="00393232" w:rsidRDefault="007A5600" w:rsidP="00D90DC8">
      <w:pPr>
        <w:pStyle w:val="VBATopicHeading1"/>
      </w:pPr>
      <w:bookmarkStart w:id="7" w:name="_Toc441822426"/>
      <w:r w:rsidRPr="00393232">
        <w:lastRenderedPageBreak/>
        <w:t xml:space="preserve">Topic 1: </w:t>
      </w:r>
      <w:r w:rsidR="0004553F" w:rsidRPr="00393232">
        <w:rPr>
          <w:b w:val="0"/>
        </w:rPr>
        <w:t>Bases of Weighing Evidence</w:t>
      </w:r>
      <w:bookmarkEnd w:id="7"/>
    </w:p>
    <w:p w14:paraId="1B2F0F3A" w14:textId="77777777" w:rsidR="00FC4C93" w:rsidRPr="00FC4C93" w:rsidRDefault="00FC4C93" w:rsidP="00FC4C93">
      <w:pPr>
        <w:tabs>
          <w:tab w:val="left" w:pos="590"/>
        </w:tabs>
        <w:spacing w:after="120"/>
        <w:textAlignment w:val="baseline"/>
        <w:rPr>
          <w:szCs w:val="24"/>
        </w:rPr>
      </w:pPr>
      <w:r w:rsidRPr="00FC4C93">
        <w:rPr>
          <w:szCs w:val="24"/>
        </w:rPr>
        <w:t>Topic objectives:</w:t>
      </w:r>
    </w:p>
    <w:p w14:paraId="1B2F0F3B" w14:textId="77777777" w:rsidR="00FC4C93" w:rsidRPr="00FC4C93" w:rsidRDefault="00FC4C93" w:rsidP="00FC4C93">
      <w:pPr>
        <w:numPr>
          <w:ilvl w:val="0"/>
          <w:numId w:val="18"/>
        </w:numPr>
        <w:tabs>
          <w:tab w:val="left" w:pos="590"/>
        </w:tabs>
        <w:spacing w:before="60" w:after="60"/>
        <w:textAlignment w:val="baseline"/>
        <w:rPr>
          <w:szCs w:val="24"/>
        </w:rPr>
      </w:pPr>
      <w:r w:rsidRPr="00FC4C93">
        <w:rPr>
          <w:szCs w:val="24"/>
        </w:rPr>
        <w:t>Identify guidelines for weighing evidence.</w:t>
      </w:r>
    </w:p>
    <w:p w14:paraId="1B2F0F3C" w14:textId="77777777" w:rsidR="00FC4C93" w:rsidRPr="00FC4C93" w:rsidRDefault="00FC4C93" w:rsidP="00FC4C93">
      <w:pPr>
        <w:tabs>
          <w:tab w:val="left" w:pos="590"/>
        </w:tabs>
        <w:spacing w:after="120"/>
        <w:textAlignment w:val="baseline"/>
        <w:rPr>
          <w:bCs/>
          <w:szCs w:val="24"/>
        </w:rPr>
      </w:pPr>
      <w:r w:rsidRPr="00FC4C93">
        <w:rPr>
          <w:szCs w:val="24"/>
        </w:rPr>
        <w:t>The following topic teaching points support the topic objectives</w:t>
      </w:r>
      <w:r w:rsidRPr="00FC4C93">
        <w:rPr>
          <w:bCs/>
          <w:szCs w:val="24"/>
        </w:rPr>
        <w:t xml:space="preserve">: </w:t>
      </w:r>
    </w:p>
    <w:p w14:paraId="1B2F0F3D" w14:textId="77777777" w:rsidR="00FC4C93" w:rsidRPr="00FC4C93" w:rsidRDefault="00FC4C93" w:rsidP="00FC4C93">
      <w:pPr>
        <w:numPr>
          <w:ilvl w:val="0"/>
          <w:numId w:val="18"/>
        </w:numPr>
        <w:tabs>
          <w:tab w:val="left" w:pos="590"/>
        </w:tabs>
        <w:spacing w:before="60" w:after="60"/>
        <w:textAlignment w:val="baseline"/>
        <w:rPr>
          <w:szCs w:val="24"/>
        </w:rPr>
      </w:pPr>
      <w:r w:rsidRPr="00FC4C93">
        <w:rPr>
          <w:szCs w:val="24"/>
        </w:rPr>
        <w:t>Overview of evaluating evidence</w:t>
      </w:r>
    </w:p>
    <w:p w14:paraId="1B2F0F3E" w14:textId="77777777" w:rsidR="00FC4C93" w:rsidRPr="00FC4C93" w:rsidRDefault="00FC4C93" w:rsidP="00FC4C93">
      <w:pPr>
        <w:numPr>
          <w:ilvl w:val="0"/>
          <w:numId w:val="18"/>
        </w:numPr>
        <w:tabs>
          <w:tab w:val="left" w:pos="590"/>
        </w:tabs>
        <w:spacing w:before="60" w:after="60"/>
        <w:textAlignment w:val="baseline"/>
        <w:rPr>
          <w:szCs w:val="24"/>
        </w:rPr>
      </w:pPr>
      <w:r w:rsidRPr="00FC4C93">
        <w:rPr>
          <w:szCs w:val="24"/>
        </w:rPr>
        <w:t>Standards of evidentiary proof</w:t>
      </w:r>
    </w:p>
    <w:p w14:paraId="1B2F0F3F" w14:textId="77777777" w:rsidR="00FC4C93" w:rsidRPr="00FC4C93" w:rsidRDefault="00FC4C93" w:rsidP="00FC4C93">
      <w:pPr>
        <w:numPr>
          <w:ilvl w:val="0"/>
          <w:numId w:val="18"/>
        </w:numPr>
        <w:tabs>
          <w:tab w:val="left" w:pos="590"/>
        </w:tabs>
        <w:spacing w:before="60" w:after="60"/>
        <w:textAlignment w:val="baseline"/>
        <w:rPr>
          <w:szCs w:val="24"/>
        </w:rPr>
      </w:pPr>
      <w:r w:rsidRPr="00FC4C93">
        <w:rPr>
          <w:szCs w:val="24"/>
        </w:rPr>
        <w:t>Reasonable doubt</w:t>
      </w:r>
    </w:p>
    <w:p w14:paraId="1B2F0F40" w14:textId="77777777" w:rsidR="00FC4C93" w:rsidRDefault="00FC4C93" w:rsidP="00FC4C93">
      <w:pPr>
        <w:numPr>
          <w:ilvl w:val="0"/>
          <w:numId w:val="18"/>
        </w:numPr>
        <w:tabs>
          <w:tab w:val="left" w:pos="590"/>
        </w:tabs>
        <w:spacing w:before="60" w:after="60"/>
        <w:textAlignment w:val="baseline"/>
        <w:rPr>
          <w:szCs w:val="24"/>
        </w:rPr>
      </w:pPr>
      <w:r w:rsidRPr="00FC4C93">
        <w:rPr>
          <w:szCs w:val="24"/>
        </w:rPr>
        <w:t>Attitude of the rating officer</w:t>
      </w:r>
    </w:p>
    <w:p w14:paraId="1B2F0F41" w14:textId="77777777" w:rsidR="00FC4C93" w:rsidRDefault="00FC4C93" w:rsidP="00FC4C93">
      <w:pPr>
        <w:tabs>
          <w:tab w:val="left" w:pos="590"/>
        </w:tabs>
        <w:spacing w:before="60" w:after="60"/>
        <w:textAlignment w:val="baseline"/>
        <w:rPr>
          <w:szCs w:val="24"/>
        </w:rPr>
      </w:pPr>
    </w:p>
    <w:p w14:paraId="1B2F0F42" w14:textId="77777777" w:rsidR="00FC4C93" w:rsidRPr="00CC5F90" w:rsidRDefault="00FC4C93" w:rsidP="00FC4C93">
      <w:pPr>
        <w:tabs>
          <w:tab w:val="left" w:pos="590"/>
        </w:tabs>
        <w:spacing w:before="60" w:after="60"/>
        <w:textAlignment w:val="baseline"/>
        <w:rPr>
          <w:b/>
          <w:szCs w:val="24"/>
        </w:rPr>
      </w:pPr>
      <w:r w:rsidRPr="00CC5F90">
        <w:rPr>
          <w:b/>
          <w:szCs w:val="24"/>
        </w:rPr>
        <w:t>Overview of Evaluatin</w:t>
      </w:r>
      <w:r w:rsidR="00CC5F90" w:rsidRPr="00CC5F90">
        <w:rPr>
          <w:b/>
          <w:szCs w:val="24"/>
        </w:rPr>
        <w:t>g</w:t>
      </w:r>
      <w:r w:rsidRPr="00CC5F90">
        <w:rPr>
          <w:b/>
          <w:szCs w:val="24"/>
        </w:rPr>
        <w:t xml:space="preserve"> Evidence</w:t>
      </w:r>
    </w:p>
    <w:p w14:paraId="1B2F0F43" w14:textId="77777777" w:rsidR="00CC5F90" w:rsidRDefault="00CC5F90" w:rsidP="00FC4C93">
      <w:pPr>
        <w:tabs>
          <w:tab w:val="left" w:pos="590"/>
        </w:tabs>
        <w:spacing w:before="60" w:after="60"/>
        <w:textAlignment w:val="baseline"/>
        <w:rPr>
          <w:szCs w:val="24"/>
        </w:rPr>
      </w:pPr>
    </w:p>
    <w:p w14:paraId="1B2F0F44" w14:textId="77777777" w:rsidR="00CC5F90" w:rsidRPr="00CC5F90" w:rsidRDefault="00CC5F90" w:rsidP="00CC5F90">
      <w:pPr>
        <w:spacing w:after="240"/>
        <w:textAlignment w:val="baseline"/>
      </w:pPr>
      <w:r w:rsidRPr="00CC5F90">
        <w:t>There is no single formula for weighing evidence.  However, there is a series of analytical steps which may be utilized to assist in findings of fact.</w:t>
      </w:r>
    </w:p>
    <w:p w14:paraId="1B2F0F45" w14:textId="77777777" w:rsidR="00CC5F90" w:rsidRPr="00CC5F90" w:rsidRDefault="00CC5F90" w:rsidP="00CC5F90">
      <w:pPr>
        <w:numPr>
          <w:ilvl w:val="0"/>
          <w:numId w:val="19"/>
        </w:numPr>
        <w:spacing w:after="120"/>
        <w:textAlignment w:val="baseline"/>
      </w:pPr>
      <w:r w:rsidRPr="00CC5F90">
        <w:t>Determine what facts are required and what standard of proof applies</w:t>
      </w:r>
    </w:p>
    <w:p w14:paraId="1B2F0F46" w14:textId="77777777" w:rsidR="00CC5F90" w:rsidRPr="00CC5F90" w:rsidRDefault="00CC5F90" w:rsidP="00CC5F90">
      <w:pPr>
        <w:numPr>
          <w:ilvl w:val="0"/>
          <w:numId w:val="19"/>
        </w:numPr>
        <w:spacing w:after="120"/>
        <w:textAlignment w:val="baseline"/>
      </w:pPr>
      <w:r w:rsidRPr="00CC5F90">
        <w:t xml:space="preserve">Discount any admitted evidence that is not material </w:t>
      </w:r>
    </w:p>
    <w:p w14:paraId="1B2F0F47" w14:textId="77777777" w:rsidR="00CC5F90" w:rsidRPr="00CC5F90" w:rsidRDefault="00CC5F90" w:rsidP="00CC5F90">
      <w:pPr>
        <w:numPr>
          <w:ilvl w:val="0"/>
          <w:numId w:val="19"/>
        </w:numPr>
        <w:spacing w:after="120"/>
        <w:textAlignment w:val="baseline"/>
      </w:pPr>
      <w:r w:rsidRPr="00CC5F90">
        <w:t>Determine the probative value of evidence that bears on the entitlement standard or procedural issue</w:t>
      </w:r>
    </w:p>
    <w:p w14:paraId="1B2F0F48" w14:textId="77777777" w:rsidR="00CC5F90" w:rsidRDefault="00CC5F90" w:rsidP="00CC5F90">
      <w:pPr>
        <w:numPr>
          <w:ilvl w:val="0"/>
          <w:numId w:val="19"/>
        </w:numPr>
        <w:spacing w:after="120"/>
        <w:textAlignment w:val="baseline"/>
      </w:pPr>
      <w:r w:rsidRPr="00CC5F90">
        <w:t>Resolve questions of relative weight or persuasiveness when there are various items of evidence that have been determined to have probative value in order to find facts</w:t>
      </w:r>
    </w:p>
    <w:p w14:paraId="1B2F0F49" w14:textId="77777777" w:rsidR="00CC5F90" w:rsidRPr="00CC5F90" w:rsidRDefault="00CC5F90" w:rsidP="00CC5F90">
      <w:pPr>
        <w:numPr>
          <w:ilvl w:val="0"/>
          <w:numId w:val="19"/>
        </w:numPr>
        <w:spacing w:after="120"/>
        <w:textAlignment w:val="baseline"/>
      </w:pPr>
      <w:r w:rsidRPr="00CC5F90">
        <w:t>Apply the found facts to draw corresponding conclusions of law necessary to support the decision outcome for the benefit sought and procedural issue</w:t>
      </w:r>
    </w:p>
    <w:p w14:paraId="1B2F0F4A" w14:textId="77777777" w:rsidR="00975461" w:rsidRDefault="00975461">
      <w:pPr>
        <w:pStyle w:val="VBASubHeading1"/>
        <w:spacing w:before="0"/>
        <w:rPr>
          <w:bCs/>
          <w:i w:val="0"/>
        </w:rPr>
      </w:pPr>
    </w:p>
    <w:p w14:paraId="1B2F0F4B" w14:textId="77777777" w:rsidR="00CC5F90" w:rsidRPr="00EA0AE9" w:rsidRDefault="00CC5F90" w:rsidP="00CC5F90">
      <w:pPr>
        <w:pStyle w:val="VBALevel2Heading"/>
        <w:rPr>
          <w:color w:val="auto"/>
        </w:rPr>
      </w:pPr>
      <w:r>
        <w:rPr>
          <w:color w:val="auto"/>
        </w:rPr>
        <w:t>Standards of Evidentiary Proof</w:t>
      </w:r>
    </w:p>
    <w:p w14:paraId="1B2F0F4C" w14:textId="77777777" w:rsidR="00CC5F90" w:rsidRDefault="00CC5F90">
      <w:pPr>
        <w:pStyle w:val="VBASubHeading1"/>
        <w:spacing w:before="0"/>
        <w:rPr>
          <w:bCs/>
          <w:i w:val="0"/>
        </w:rPr>
      </w:pPr>
    </w:p>
    <w:p w14:paraId="1B2F0F4D" w14:textId="03360E9F" w:rsidR="00CC5F90" w:rsidRDefault="00CC5F90" w:rsidP="00CC5F90">
      <w:pPr>
        <w:spacing w:after="240"/>
        <w:textAlignment w:val="baseline"/>
      </w:pPr>
      <w:r w:rsidRPr="00CC5F90">
        <w:t xml:space="preserve">There are </w:t>
      </w:r>
      <w:r w:rsidR="0004553F">
        <w:t>five</w:t>
      </w:r>
      <w:r w:rsidR="0004553F" w:rsidRPr="00CC5F90">
        <w:t xml:space="preserve"> </w:t>
      </w:r>
      <w:r w:rsidRPr="00CC5F90">
        <w:t>different standards which specifies the degree of persuasion or confidence in the evidence with regard to the subject of the proof that is required in order to find a fact proven.</w:t>
      </w:r>
    </w:p>
    <w:p w14:paraId="1B2F0F4E" w14:textId="77777777" w:rsidR="00CC5F90" w:rsidRDefault="00CC5F90" w:rsidP="00393232">
      <w:pPr>
        <w:numPr>
          <w:ilvl w:val="0"/>
          <w:numId w:val="30"/>
        </w:numPr>
        <w:spacing w:after="120"/>
        <w:textAlignment w:val="baseline"/>
      </w:pPr>
      <w:r w:rsidRPr="00CC5F90">
        <w:t>Relative equipoise – evidence must persuade the decision maker that the fact is as likely as not</w:t>
      </w:r>
    </w:p>
    <w:p w14:paraId="1B2F0F4F" w14:textId="77777777" w:rsidR="00CC5F90" w:rsidRDefault="00CC5F90" w:rsidP="00393232">
      <w:pPr>
        <w:numPr>
          <w:ilvl w:val="0"/>
          <w:numId w:val="30"/>
        </w:numPr>
        <w:spacing w:after="120"/>
        <w:textAlignment w:val="baseline"/>
      </w:pPr>
      <w:r w:rsidRPr="00CC5F90">
        <w:t>Preponderance of the evidence - the greater weight of evidence is that the fact exists. The fact is more likely than not</w:t>
      </w:r>
    </w:p>
    <w:p w14:paraId="1B2F0F50" w14:textId="77777777" w:rsidR="00CC5F90" w:rsidRDefault="00CC5F90" w:rsidP="00393232">
      <w:pPr>
        <w:numPr>
          <w:ilvl w:val="0"/>
          <w:numId w:val="30"/>
        </w:numPr>
        <w:spacing w:after="120"/>
        <w:textAlignment w:val="baseline"/>
      </w:pPr>
      <w:r w:rsidRPr="00CC5F90">
        <w:t>Affirmative evidence to the contrary - the fact is unlikely; and the evidence against the matter is of greater weight. This standard is the opposite of the preponderance standard</w:t>
      </w:r>
    </w:p>
    <w:p w14:paraId="1B2F0F51" w14:textId="77777777" w:rsidR="00CC5F90" w:rsidRDefault="00CC5F90" w:rsidP="00393232">
      <w:pPr>
        <w:numPr>
          <w:ilvl w:val="0"/>
          <w:numId w:val="30"/>
        </w:numPr>
        <w:spacing w:after="120"/>
        <w:textAlignment w:val="baseline"/>
      </w:pPr>
      <w:r w:rsidRPr="00CC5F90">
        <w:t>Clear and convincing - the fact finder has reasonable certainty of the truth of a fact. This is a higher standard of proof than having to find a fact is more likely than n</w:t>
      </w:r>
      <w:r>
        <w:t>ot</w:t>
      </w:r>
    </w:p>
    <w:p w14:paraId="1B2F0F52" w14:textId="77777777" w:rsidR="00CC5F90" w:rsidRPr="00CC5F90" w:rsidRDefault="00CC5F90" w:rsidP="00393232">
      <w:pPr>
        <w:numPr>
          <w:ilvl w:val="0"/>
          <w:numId w:val="30"/>
        </w:numPr>
        <w:spacing w:after="120"/>
        <w:textAlignment w:val="baseline"/>
      </w:pPr>
      <w:r w:rsidRPr="00CC5F90">
        <w:t>Clear and unmistakable - the evidence must establish the fact without question</w:t>
      </w:r>
    </w:p>
    <w:p w14:paraId="1B2F0F53" w14:textId="77777777" w:rsidR="00CC5F90" w:rsidRPr="00EA0AE9" w:rsidRDefault="00CC5F90" w:rsidP="00CC5F90">
      <w:pPr>
        <w:pStyle w:val="VBALevel2Heading"/>
        <w:rPr>
          <w:color w:val="auto"/>
        </w:rPr>
      </w:pPr>
      <w:r w:rsidRPr="00BD2C47">
        <w:rPr>
          <w:color w:val="auto"/>
        </w:rPr>
        <w:lastRenderedPageBreak/>
        <w:t>Reasonable Doubt</w:t>
      </w:r>
    </w:p>
    <w:p w14:paraId="1B2F0F54" w14:textId="77777777" w:rsidR="00975461" w:rsidRDefault="00975461">
      <w:pPr>
        <w:pStyle w:val="VBASubHeading1"/>
        <w:spacing w:before="0"/>
        <w:rPr>
          <w:bCs/>
          <w:i w:val="0"/>
        </w:rPr>
      </w:pPr>
    </w:p>
    <w:p w14:paraId="1B2F0F55" w14:textId="77777777" w:rsidR="00CC5F90" w:rsidRDefault="009A1EA9" w:rsidP="009A1EA9">
      <w:pPr>
        <w:pStyle w:val="VBASubHeading1"/>
        <w:numPr>
          <w:ilvl w:val="0"/>
          <w:numId w:val="19"/>
        </w:numPr>
        <w:spacing w:before="0"/>
        <w:rPr>
          <w:bCs/>
          <w:i w:val="0"/>
        </w:rPr>
      </w:pPr>
      <w:r>
        <w:rPr>
          <w:bCs/>
          <w:i w:val="0"/>
        </w:rPr>
        <w:t xml:space="preserve">See </w:t>
      </w:r>
      <w:r w:rsidRPr="009A1EA9">
        <w:rPr>
          <w:bCs/>
          <w:i w:val="0"/>
        </w:rPr>
        <w:t>38 CFR 4.2 and 38 CFR 3.102</w:t>
      </w:r>
      <w:r>
        <w:rPr>
          <w:bCs/>
          <w:i w:val="0"/>
        </w:rPr>
        <w:t xml:space="preserve"> for reasonable doubt</w:t>
      </w:r>
    </w:p>
    <w:p w14:paraId="1B2F0F56" w14:textId="77777777" w:rsidR="009A1EA9" w:rsidRDefault="009A1EA9" w:rsidP="009A1EA9">
      <w:pPr>
        <w:pStyle w:val="VBASubHeading1"/>
        <w:numPr>
          <w:ilvl w:val="0"/>
          <w:numId w:val="19"/>
        </w:numPr>
        <w:spacing w:before="0"/>
        <w:rPr>
          <w:bCs/>
          <w:i w:val="0"/>
        </w:rPr>
      </w:pPr>
      <w:r w:rsidRPr="009A1EA9">
        <w:rPr>
          <w:bCs/>
          <w:i w:val="0"/>
        </w:rPr>
        <w:t>If evidence for and against is equal, resolve in the claimant’s favor and explain your analysis to the reader</w:t>
      </w:r>
    </w:p>
    <w:p w14:paraId="1B2F0F57" w14:textId="77777777" w:rsidR="009A1EA9" w:rsidRDefault="009A1EA9" w:rsidP="009A1EA9">
      <w:pPr>
        <w:pStyle w:val="VBASubHeading1"/>
        <w:numPr>
          <w:ilvl w:val="0"/>
          <w:numId w:val="19"/>
        </w:numPr>
        <w:spacing w:before="0"/>
        <w:rPr>
          <w:bCs/>
          <w:i w:val="0"/>
        </w:rPr>
      </w:pPr>
      <w:r w:rsidRPr="009A1EA9">
        <w:rPr>
          <w:bCs/>
          <w:i w:val="0"/>
        </w:rPr>
        <w:t xml:space="preserve">Conclusions </w:t>
      </w:r>
      <w:r>
        <w:rPr>
          <w:bCs/>
          <w:i w:val="0"/>
        </w:rPr>
        <w:t>should be supported by evidence</w:t>
      </w:r>
    </w:p>
    <w:p w14:paraId="1B2F0F58" w14:textId="77777777" w:rsidR="009A1EA9" w:rsidRDefault="009A1EA9" w:rsidP="009A1EA9">
      <w:pPr>
        <w:pStyle w:val="VBASubHeading1"/>
        <w:spacing w:before="0"/>
        <w:rPr>
          <w:bCs/>
          <w:i w:val="0"/>
        </w:rPr>
      </w:pPr>
    </w:p>
    <w:p w14:paraId="1B2F0F59" w14:textId="77777777" w:rsidR="009A1EA9" w:rsidRDefault="009A1EA9" w:rsidP="009A1EA9">
      <w:pPr>
        <w:pStyle w:val="VBASubHeading1"/>
        <w:spacing w:before="0"/>
        <w:rPr>
          <w:bCs/>
          <w:i w:val="0"/>
        </w:rPr>
      </w:pPr>
    </w:p>
    <w:p w14:paraId="1B2F0F5A" w14:textId="77777777" w:rsidR="009A1EA9" w:rsidRPr="009A1EA9" w:rsidRDefault="009A1EA9" w:rsidP="009A1EA9">
      <w:pPr>
        <w:pStyle w:val="VBASubHeading1"/>
        <w:spacing w:before="0"/>
        <w:rPr>
          <w:b/>
          <w:bCs/>
          <w:i w:val="0"/>
        </w:rPr>
      </w:pPr>
      <w:r w:rsidRPr="009A1EA9">
        <w:rPr>
          <w:b/>
          <w:bCs/>
          <w:i w:val="0"/>
        </w:rPr>
        <w:t xml:space="preserve">Attitude of Rating </w:t>
      </w:r>
      <w:r w:rsidR="00BE67D6">
        <w:rPr>
          <w:b/>
          <w:bCs/>
          <w:i w:val="0"/>
        </w:rPr>
        <w:t>Officers</w:t>
      </w:r>
    </w:p>
    <w:p w14:paraId="1B2F0F5B" w14:textId="77777777" w:rsidR="00AA1A39" w:rsidRDefault="00AA1A39">
      <w:pPr>
        <w:pStyle w:val="VBASubHeading1"/>
        <w:spacing w:before="0"/>
        <w:rPr>
          <w:bCs/>
          <w:i w:val="0"/>
        </w:rPr>
      </w:pPr>
    </w:p>
    <w:p w14:paraId="1B2F0F5C" w14:textId="77777777" w:rsidR="009A1EA9" w:rsidRPr="009A1EA9" w:rsidRDefault="009A1EA9" w:rsidP="009A1EA9">
      <w:pPr>
        <w:pStyle w:val="VBASubHeading1"/>
        <w:numPr>
          <w:ilvl w:val="0"/>
          <w:numId w:val="19"/>
        </w:numPr>
        <w:spacing w:before="0"/>
        <w:rPr>
          <w:bCs/>
          <w:i w:val="0"/>
        </w:rPr>
      </w:pPr>
      <w:r w:rsidRPr="009A1EA9">
        <w:rPr>
          <w:bCs/>
          <w:i w:val="0"/>
        </w:rPr>
        <w:t>See 38 CFR 4.2</w:t>
      </w:r>
      <w:r w:rsidR="00BE67D6">
        <w:rPr>
          <w:bCs/>
          <w:i w:val="0"/>
        </w:rPr>
        <w:t>3</w:t>
      </w:r>
      <w:r w:rsidRPr="009A1EA9">
        <w:rPr>
          <w:bCs/>
          <w:i w:val="0"/>
        </w:rPr>
        <w:t xml:space="preserve"> </w:t>
      </w:r>
      <w:r w:rsidR="00BE67D6">
        <w:rPr>
          <w:bCs/>
          <w:i w:val="0"/>
        </w:rPr>
        <w:t>attitude of rating officers</w:t>
      </w:r>
    </w:p>
    <w:p w14:paraId="1B2F0F5D" w14:textId="77777777" w:rsidR="00BE67D6" w:rsidRDefault="00BE67D6" w:rsidP="00BE67D6">
      <w:pPr>
        <w:pStyle w:val="VBASubHeading1"/>
        <w:numPr>
          <w:ilvl w:val="0"/>
          <w:numId w:val="19"/>
        </w:numPr>
        <w:spacing w:before="0"/>
        <w:rPr>
          <w:bCs/>
          <w:i w:val="0"/>
        </w:rPr>
      </w:pPr>
      <w:r w:rsidRPr="00BE67D6">
        <w:rPr>
          <w:bCs/>
          <w:i w:val="0"/>
        </w:rPr>
        <w:t xml:space="preserve">It is essential we maintain objectivity and never allow personal feelings to enter into our decision making process </w:t>
      </w:r>
    </w:p>
    <w:p w14:paraId="1B2F0F5E" w14:textId="77777777" w:rsidR="009A1EA9" w:rsidRPr="00BE67D6" w:rsidRDefault="00BE67D6" w:rsidP="00BE67D6">
      <w:pPr>
        <w:pStyle w:val="VBASubHeading1"/>
        <w:numPr>
          <w:ilvl w:val="0"/>
          <w:numId w:val="19"/>
        </w:numPr>
        <w:spacing w:before="0"/>
        <w:rPr>
          <w:bCs/>
          <w:i w:val="0"/>
        </w:rPr>
      </w:pPr>
      <w:r w:rsidRPr="00BE67D6">
        <w:rPr>
          <w:bCs/>
          <w:i w:val="0"/>
        </w:rPr>
        <w:t>Rating officers should maintain impartiality and objectivity, and show fairness and courtesy to claimants at all times</w:t>
      </w:r>
    </w:p>
    <w:p w14:paraId="1B2F0F61" w14:textId="77777777" w:rsidR="007A5600" w:rsidRDefault="007A5600"/>
    <w:p w14:paraId="1B2F0F62" w14:textId="77777777" w:rsidR="007A5600" w:rsidRPr="00393232" w:rsidRDefault="007A5600" w:rsidP="00C63725">
      <w:pPr>
        <w:overflowPunct/>
        <w:autoSpaceDE/>
        <w:autoSpaceDN/>
        <w:adjustRightInd/>
        <w:spacing w:before="0"/>
        <w:jc w:val="center"/>
        <w:rPr>
          <w:rFonts w:ascii="Times New Roman Bold" w:hAnsi="Times New Roman Bold"/>
          <w:b/>
          <w:smallCaps/>
          <w:sz w:val="32"/>
          <w:szCs w:val="32"/>
        </w:rPr>
      </w:pPr>
      <w:r w:rsidRPr="00393232">
        <w:rPr>
          <w:sz w:val="32"/>
          <w:szCs w:val="32"/>
        </w:rPr>
        <w:t xml:space="preserve">Topic 2: </w:t>
      </w:r>
      <w:r w:rsidR="00BE67D6" w:rsidRPr="00393232">
        <w:rPr>
          <w:sz w:val="32"/>
          <w:szCs w:val="32"/>
        </w:rPr>
        <w:t>Evidentiary Concepts</w:t>
      </w:r>
    </w:p>
    <w:p w14:paraId="1B2F0F63" w14:textId="77777777" w:rsidR="00BE67D6" w:rsidRPr="00BE67D6" w:rsidRDefault="00BE67D6" w:rsidP="00BE67D6">
      <w:pPr>
        <w:tabs>
          <w:tab w:val="left" w:pos="590"/>
        </w:tabs>
        <w:spacing w:after="120"/>
        <w:textAlignment w:val="baseline"/>
        <w:rPr>
          <w:szCs w:val="24"/>
        </w:rPr>
      </w:pPr>
      <w:r w:rsidRPr="00BE67D6">
        <w:rPr>
          <w:szCs w:val="24"/>
        </w:rPr>
        <w:t>Topic objectives:</w:t>
      </w:r>
    </w:p>
    <w:p w14:paraId="1B2F0F64" w14:textId="77777777" w:rsidR="00BE67D6" w:rsidRPr="00BE67D6" w:rsidRDefault="00BE67D6" w:rsidP="00BE67D6">
      <w:pPr>
        <w:numPr>
          <w:ilvl w:val="0"/>
          <w:numId w:val="18"/>
        </w:numPr>
        <w:tabs>
          <w:tab w:val="left" w:pos="590"/>
        </w:tabs>
        <w:spacing w:after="120"/>
        <w:textAlignment w:val="baseline"/>
        <w:rPr>
          <w:bCs/>
          <w:szCs w:val="24"/>
        </w:rPr>
      </w:pPr>
      <w:r w:rsidRPr="00BE67D6">
        <w:rPr>
          <w:szCs w:val="24"/>
        </w:rPr>
        <w:t>Identify the major concepts involved in weighing evidence</w:t>
      </w:r>
    </w:p>
    <w:p w14:paraId="1B2F0F65" w14:textId="77777777" w:rsidR="00BE67D6" w:rsidRDefault="00BE67D6" w:rsidP="00BE67D6">
      <w:pPr>
        <w:tabs>
          <w:tab w:val="left" w:pos="590"/>
        </w:tabs>
        <w:spacing w:after="120"/>
        <w:textAlignment w:val="baseline"/>
        <w:rPr>
          <w:szCs w:val="24"/>
        </w:rPr>
      </w:pPr>
    </w:p>
    <w:p w14:paraId="1B2F0F66" w14:textId="77777777" w:rsidR="00BE67D6" w:rsidRPr="00BE67D6" w:rsidRDefault="00BE67D6" w:rsidP="00BE67D6">
      <w:pPr>
        <w:tabs>
          <w:tab w:val="left" w:pos="590"/>
        </w:tabs>
        <w:spacing w:after="120"/>
        <w:textAlignment w:val="baseline"/>
        <w:rPr>
          <w:bCs/>
          <w:szCs w:val="24"/>
        </w:rPr>
      </w:pPr>
      <w:r w:rsidRPr="00BE67D6">
        <w:rPr>
          <w:szCs w:val="24"/>
        </w:rPr>
        <w:t>The following topic teaching points support the topic objectives</w:t>
      </w:r>
      <w:r w:rsidRPr="00BE67D6">
        <w:rPr>
          <w:bCs/>
          <w:szCs w:val="24"/>
        </w:rPr>
        <w:t xml:space="preserve">: </w:t>
      </w:r>
    </w:p>
    <w:p w14:paraId="1B2F0F67" w14:textId="77777777" w:rsidR="00BE67D6" w:rsidRPr="00BE67D6" w:rsidRDefault="00BE67D6" w:rsidP="00BE67D6">
      <w:pPr>
        <w:numPr>
          <w:ilvl w:val="0"/>
          <w:numId w:val="18"/>
        </w:numPr>
        <w:tabs>
          <w:tab w:val="left" w:pos="590"/>
        </w:tabs>
        <w:spacing w:before="60" w:after="60"/>
        <w:textAlignment w:val="baseline"/>
        <w:rPr>
          <w:szCs w:val="24"/>
        </w:rPr>
      </w:pPr>
      <w:r w:rsidRPr="00BE67D6">
        <w:rPr>
          <w:szCs w:val="24"/>
        </w:rPr>
        <w:t>Evidentiary Concepts</w:t>
      </w:r>
    </w:p>
    <w:p w14:paraId="1B2F0F68" w14:textId="77777777" w:rsidR="00BE67D6" w:rsidRPr="00BE67D6" w:rsidRDefault="00BE67D6" w:rsidP="00BE67D6">
      <w:pPr>
        <w:numPr>
          <w:ilvl w:val="0"/>
          <w:numId w:val="18"/>
        </w:numPr>
        <w:tabs>
          <w:tab w:val="left" w:pos="590"/>
        </w:tabs>
        <w:spacing w:before="60" w:after="60"/>
        <w:textAlignment w:val="baseline"/>
        <w:rPr>
          <w:szCs w:val="24"/>
        </w:rPr>
      </w:pPr>
      <w:r w:rsidRPr="00BE67D6">
        <w:rPr>
          <w:szCs w:val="24"/>
        </w:rPr>
        <w:t>Credibility</w:t>
      </w:r>
    </w:p>
    <w:p w14:paraId="1B2F0F69" w14:textId="77777777" w:rsidR="00BE67D6" w:rsidRPr="00BE67D6" w:rsidRDefault="00BE67D6" w:rsidP="00BE67D6">
      <w:pPr>
        <w:numPr>
          <w:ilvl w:val="0"/>
          <w:numId w:val="18"/>
        </w:numPr>
        <w:tabs>
          <w:tab w:val="left" w:pos="590"/>
        </w:tabs>
        <w:spacing w:before="60" w:after="60"/>
        <w:textAlignment w:val="baseline"/>
        <w:rPr>
          <w:szCs w:val="24"/>
        </w:rPr>
      </w:pPr>
      <w:r w:rsidRPr="00BE67D6">
        <w:rPr>
          <w:szCs w:val="24"/>
        </w:rPr>
        <w:t>Competent Evidence</w:t>
      </w:r>
    </w:p>
    <w:p w14:paraId="1B2F0F6A" w14:textId="77777777" w:rsidR="00BE67D6" w:rsidRDefault="00BE67D6" w:rsidP="00BE67D6">
      <w:pPr>
        <w:numPr>
          <w:ilvl w:val="0"/>
          <w:numId w:val="18"/>
        </w:numPr>
        <w:tabs>
          <w:tab w:val="left" w:pos="590"/>
        </w:tabs>
        <w:spacing w:before="60" w:after="60"/>
        <w:textAlignment w:val="baseline"/>
        <w:rPr>
          <w:szCs w:val="24"/>
        </w:rPr>
      </w:pPr>
      <w:r w:rsidRPr="00BE67D6">
        <w:rPr>
          <w:szCs w:val="24"/>
        </w:rPr>
        <w:t>Probative Value</w:t>
      </w:r>
    </w:p>
    <w:p w14:paraId="1B2F0F6B" w14:textId="77777777" w:rsidR="00BE67D6" w:rsidRDefault="00BE67D6" w:rsidP="00BE67D6">
      <w:pPr>
        <w:numPr>
          <w:ilvl w:val="0"/>
          <w:numId w:val="18"/>
        </w:numPr>
        <w:tabs>
          <w:tab w:val="left" w:pos="590"/>
        </w:tabs>
        <w:spacing w:before="60" w:after="60"/>
        <w:textAlignment w:val="baseline"/>
        <w:rPr>
          <w:szCs w:val="24"/>
        </w:rPr>
      </w:pPr>
      <w:r w:rsidRPr="00BE67D6">
        <w:rPr>
          <w:szCs w:val="24"/>
        </w:rPr>
        <w:t>Absence of Evidence</w:t>
      </w:r>
    </w:p>
    <w:p w14:paraId="1B2F0F6C" w14:textId="77777777" w:rsidR="00BE67D6" w:rsidRDefault="00BE67D6" w:rsidP="00BE67D6">
      <w:pPr>
        <w:tabs>
          <w:tab w:val="left" w:pos="590"/>
        </w:tabs>
        <w:spacing w:before="60" w:after="60"/>
        <w:textAlignment w:val="baseline"/>
        <w:rPr>
          <w:szCs w:val="24"/>
        </w:rPr>
      </w:pPr>
    </w:p>
    <w:p w14:paraId="1B2F0F6E" w14:textId="77777777" w:rsidR="00BE67D6" w:rsidRPr="00BE67D6" w:rsidRDefault="00BE67D6" w:rsidP="00BE67D6">
      <w:pPr>
        <w:tabs>
          <w:tab w:val="left" w:pos="590"/>
        </w:tabs>
        <w:spacing w:before="60" w:after="60"/>
        <w:textAlignment w:val="baseline"/>
        <w:rPr>
          <w:b/>
        </w:rPr>
      </w:pPr>
      <w:r w:rsidRPr="00BE67D6">
        <w:rPr>
          <w:b/>
        </w:rPr>
        <w:t xml:space="preserve">Evidentiary Concepts </w:t>
      </w:r>
    </w:p>
    <w:p w14:paraId="1B2F0F6F" w14:textId="77777777" w:rsidR="00BE67D6" w:rsidRDefault="00BE67D6" w:rsidP="00BE67D6">
      <w:pPr>
        <w:tabs>
          <w:tab w:val="left" w:pos="590"/>
        </w:tabs>
        <w:spacing w:before="60" w:after="60"/>
        <w:textAlignment w:val="baseline"/>
      </w:pPr>
    </w:p>
    <w:p w14:paraId="1B2F0F70" w14:textId="77777777" w:rsidR="00BE67D6" w:rsidRPr="00BE67D6" w:rsidRDefault="00BE67D6" w:rsidP="00BE67D6">
      <w:pPr>
        <w:spacing w:after="240"/>
        <w:textAlignment w:val="baseline"/>
      </w:pPr>
      <w:r w:rsidRPr="00BE67D6">
        <w:t>There are a number of concepts pertaining to how evidence is evaluated.  In this lesson, we will define four major concepts:</w:t>
      </w:r>
    </w:p>
    <w:p w14:paraId="1B2F0F71" w14:textId="77777777" w:rsidR="00BE67D6" w:rsidRPr="00BE67D6" w:rsidRDefault="00BE67D6" w:rsidP="00393232">
      <w:pPr>
        <w:numPr>
          <w:ilvl w:val="0"/>
          <w:numId w:val="31"/>
        </w:numPr>
        <w:spacing w:before="0"/>
        <w:textAlignment w:val="baseline"/>
      </w:pPr>
      <w:r w:rsidRPr="00BE67D6">
        <w:t>Credibility</w:t>
      </w:r>
    </w:p>
    <w:p w14:paraId="1B2F0F72" w14:textId="77777777" w:rsidR="00BE67D6" w:rsidRPr="00BE67D6" w:rsidRDefault="00BE67D6" w:rsidP="00393232">
      <w:pPr>
        <w:numPr>
          <w:ilvl w:val="0"/>
          <w:numId w:val="31"/>
        </w:numPr>
        <w:spacing w:before="0"/>
        <w:textAlignment w:val="baseline"/>
      </w:pPr>
      <w:r w:rsidRPr="00BE67D6">
        <w:t>Competent evidence</w:t>
      </w:r>
    </w:p>
    <w:p w14:paraId="1B2F0F73" w14:textId="77777777" w:rsidR="00BE67D6" w:rsidRDefault="00BE67D6" w:rsidP="00393232">
      <w:pPr>
        <w:numPr>
          <w:ilvl w:val="0"/>
          <w:numId w:val="31"/>
        </w:numPr>
        <w:spacing w:before="0"/>
        <w:textAlignment w:val="baseline"/>
      </w:pPr>
      <w:r w:rsidRPr="00BE67D6">
        <w:t>Probative value</w:t>
      </w:r>
    </w:p>
    <w:p w14:paraId="1B2F0F74" w14:textId="77777777" w:rsidR="00BE67D6" w:rsidRDefault="00BE67D6" w:rsidP="00393232">
      <w:pPr>
        <w:numPr>
          <w:ilvl w:val="0"/>
          <w:numId w:val="31"/>
        </w:numPr>
        <w:spacing w:before="0"/>
        <w:textAlignment w:val="baseline"/>
      </w:pPr>
      <w:r w:rsidRPr="00BE67D6">
        <w:t>Absence of evidence</w:t>
      </w:r>
      <w:r>
        <w:t xml:space="preserve"> </w:t>
      </w:r>
    </w:p>
    <w:p w14:paraId="1B2F0F77" w14:textId="77777777" w:rsidR="00BE67D6" w:rsidRPr="00BE67D6" w:rsidRDefault="00BE67D6" w:rsidP="00BE67D6">
      <w:pPr>
        <w:spacing w:before="0"/>
        <w:textAlignment w:val="baseline"/>
        <w:rPr>
          <w:b/>
        </w:rPr>
      </w:pPr>
      <w:r w:rsidRPr="00BE67D6">
        <w:rPr>
          <w:b/>
        </w:rPr>
        <w:t>Credibility</w:t>
      </w:r>
    </w:p>
    <w:p w14:paraId="1B2F0F78" w14:textId="77777777" w:rsidR="00BE67D6" w:rsidRDefault="00BE67D6" w:rsidP="00BE67D6">
      <w:pPr>
        <w:spacing w:before="0"/>
        <w:textAlignment w:val="baseline"/>
      </w:pPr>
    </w:p>
    <w:p w14:paraId="1B2F0F79" w14:textId="77777777" w:rsidR="00BE67D6" w:rsidRDefault="00BE67D6" w:rsidP="00BE67D6">
      <w:pPr>
        <w:spacing w:before="0"/>
        <w:textAlignment w:val="baseline"/>
      </w:pPr>
      <w:r w:rsidRPr="00BE67D6">
        <w:t>Credibility is a blanket term for the fact finding of whether evidence is believable or not believable.</w:t>
      </w:r>
    </w:p>
    <w:p w14:paraId="1B2F0F7A" w14:textId="77777777" w:rsidR="00BE67D6" w:rsidRDefault="00BE67D6" w:rsidP="00BE67D6">
      <w:pPr>
        <w:spacing w:before="0"/>
        <w:textAlignment w:val="baseline"/>
      </w:pPr>
    </w:p>
    <w:p w14:paraId="1B2F0F7B" w14:textId="77777777" w:rsidR="00BE67D6" w:rsidRDefault="00BE67D6" w:rsidP="00BE67D6">
      <w:pPr>
        <w:spacing w:before="0"/>
        <w:textAlignment w:val="baseline"/>
      </w:pPr>
      <w:r w:rsidRPr="00BE67D6">
        <w:lastRenderedPageBreak/>
        <w:t>Factors to consider in making a fact finding of credibility include</w:t>
      </w:r>
    </w:p>
    <w:p w14:paraId="1B2F0F7C" w14:textId="77777777" w:rsidR="00C63725" w:rsidRPr="00BE67D6" w:rsidRDefault="00C63725" w:rsidP="00BE67D6">
      <w:pPr>
        <w:spacing w:before="0"/>
        <w:textAlignment w:val="baseline"/>
      </w:pPr>
    </w:p>
    <w:p w14:paraId="1B2F0F7D" w14:textId="60053695" w:rsidR="00BE67D6" w:rsidRPr="00BE67D6" w:rsidRDefault="00BE67D6" w:rsidP="00BE67D6">
      <w:pPr>
        <w:numPr>
          <w:ilvl w:val="0"/>
          <w:numId w:val="22"/>
        </w:numPr>
        <w:spacing w:before="0"/>
        <w:textAlignment w:val="baseline"/>
      </w:pPr>
      <w:r w:rsidRPr="00BE67D6">
        <w:t>facial plausibility</w:t>
      </w:r>
      <w:r w:rsidR="009F1C31">
        <w:t xml:space="preserve"> (upfront, on the surface)</w:t>
      </w:r>
    </w:p>
    <w:p w14:paraId="1B2F0F7E" w14:textId="77777777" w:rsidR="00BE67D6" w:rsidRPr="00BE67D6" w:rsidRDefault="00BE67D6" w:rsidP="00BE67D6">
      <w:pPr>
        <w:numPr>
          <w:ilvl w:val="0"/>
          <w:numId w:val="22"/>
        </w:numPr>
        <w:spacing w:before="0"/>
        <w:textAlignment w:val="baseline"/>
      </w:pPr>
      <w:r w:rsidRPr="00BE67D6">
        <w:t>consistency with other evidence submitted</w:t>
      </w:r>
    </w:p>
    <w:p w14:paraId="1B2F0F7F" w14:textId="50F90F1B" w:rsidR="00BE67D6" w:rsidRPr="00BE67D6" w:rsidRDefault="00BE67D6" w:rsidP="00BE67D6">
      <w:pPr>
        <w:numPr>
          <w:ilvl w:val="0"/>
          <w:numId w:val="22"/>
        </w:numPr>
        <w:spacing w:before="0"/>
        <w:textAlignment w:val="baseline"/>
      </w:pPr>
      <w:r w:rsidRPr="00BE67D6">
        <w:t>internal consistency</w:t>
      </w:r>
      <w:r w:rsidR="009F1C31">
        <w:t xml:space="preserve"> (the context of the facts remain the same)</w:t>
      </w:r>
    </w:p>
    <w:p w14:paraId="1B2F0F80" w14:textId="77777777" w:rsidR="00BE67D6" w:rsidRPr="00BE67D6" w:rsidRDefault="00BE67D6" w:rsidP="00BE67D6">
      <w:pPr>
        <w:numPr>
          <w:ilvl w:val="0"/>
          <w:numId w:val="22"/>
        </w:numPr>
        <w:spacing w:before="0"/>
        <w:textAlignment w:val="baseline"/>
      </w:pPr>
      <w:r w:rsidRPr="00BE67D6">
        <w:t>demeanor of a witness (who is offering in person testimonial evidence), and</w:t>
      </w:r>
    </w:p>
    <w:p w14:paraId="1B2F0F81" w14:textId="77777777" w:rsidR="00BE67D6" w:rsidRPr="00BE67D6" w:rsidRDefault="00BE67D6" w:rsidP="00BE67D6">
      <w:pPr>
        <w:numPr>
          <w:ilvl w:val="0"/>
          <w:numId w:val="22"/>
        </w:numPr>
        <w:spacing w:before="0"/>
        <w:textAlignment w:val="baseline"/>
      </w:pPr>
      <w:r w:rsidRPr="00BE67D6">
        <w:t>interest/bias.</w:t>
      </w:r>
    </w:p>
    <w:p w14:paraId="1B2F0F82" w14:textId="77777777" w:rsidR="002C37AB" w:rsidRDefault="002C37AB" w:rsidP="00BE67D6">
      <w:pPr>
        <w:spacing w:before="0"/>
        <w:textAlignment w:val="baseline"/>
      </w:pPr>
    </w:p>
    <w:p w14:paraId="1B2F0F83" w14:textId="77777777" w:rsidR="002C37AB" w:rsidRDefault="002C37AB" w:rsidP="00BE67D6">
      <w:pPr>
        <w:spacing w:before="0"/>
        <w:textAlignment w:val="baseline"/>
      </w:pPr>
    </w:p>
    <w:p w14:paraId="1B2F0F84" w14:textId="77777777" w:rsidR="002C37AB" w:rsidRPr="002C37AB" w:rsidRDefault="002C37AB" w:rsidP="00BE67D6">
      <w:pPr>
        <w:spacing w:before="0"/>
        <w:textAlignment w:val="baseline"/>
        <w:rPr>
          <w:b/>
        </w:rPr>
      </w:pPr>
      <w:r w:rsidRPr="002C37AB">
        <w:rPr>
          <w:b/>
        </w:rPr>
        <w:t xml:space="preserve">Competent Evidence </w:t>
      </w:r>
    </w:p>
    <w:p w14:paraId="1B2F0F85" w14:textId="77777777" w:rsidR="002C37AB" w:rsidRDefault="002C37AB" w:rsidP="00BE67D6">
      <w:pPr>
        <w:spacing w:before="0"/>
        <w:textAlignment w:val="baseline"/>
      </w:pPr>
    </w:p>
    <w:p w14:paraId="1B2F0F86" w14:textId="77777777" w:rsidR="002C37AB" w:rsidRDefault="002C37AB" w:rsidP="00BE67D6">
      <w:pPr>
        <w:spacing w:before="0"/>
        <w:textAlignment w:val="baseline"/>
      </w:pPr>
      <w:r w:rsidRPr="002C37AB">
        <w:t>For rating decisions, evidence must be from competent or qualified medical professionals who can diagnose and offer medical opinions or from lay persons who are competent and qualified to describe symptoms and observations.</w:t>
      </w:r>
    </w:p>
    <w:p w14:paraId="1B2F0F87" w14:textId="77777777" w:rsidR="002C37AB" w:rsidRDefault="002C37AB" w:rsidP="00BE67D6">
      <w:pPr>
        <w:spacing w:before="0"/>
        <w:textAlignment w:val="baseline"/>
      </w:pPr>
    </w:p>
    <w:p w14:paraId="1B2F0F88" w14:textId="77777777" w:rsidR="00A24DAA" w:rsidRDefault="002C37AB" w:rsidP="00BE67D6">
      <w:pPr>
        <w:spacing w:before="0"/>
        <w:textAlignment w:val="baseline"/>
      </w:pPr>
      <w:r>
        <w:t>Please refer to 38 CRF 3.159(a)(1) &amp; (2)</w:t>
      </w:r>
    </w:p>
    <w:p w14:paraId="1B2F0F89" w14:textId="77777777" w:rsidR="00A24DAA" w:rsidRDefault="00A24DAA" w:rsidP="00BE67D6">
      <w:pPr>
        <w:spacing w:before="0"/>
        <w:textAlignment w:val="baseline"/>
      </w:pPr>
    </w:p>
    <w:p w14:paraId="1B2F0F8A" w14:textId="77777777" w:rsidR="00A24DAA" w:rsidRDefault="00A24DAA" w:rsidP="00BE67D6">
      <w:pPr>
        <w:spacing w:before="0"/>
        <w:textAlignment w:val="baseline"/>
      </w:pPr>
    </w:p>
    <w:p w14:paraId="1B2F0F8B" w14:textId="77777777" w:rsidR="00A24DAA" w:rsidRPr="00A24DAA" w:rsidRDefault="00A24DAA" w:rsidP="00BE67D6">
      <w:pPr>
        <w:spacing w:before="0"/>
        <w:textAlignment w:val="baseline"/>
        <w:rPr>
          <w:b/>
        </w:rPr>
      </w:pPr>
      <w:r w:rsidRPr="00A24DAA">
        <w:rPr>
          <w:b/>
        </w:rPr>
        <w:t xml:space="preserve">Probative Value </w:t>
      </w:r>
    </w:p>
    <w:p w14:paraId="1B2F0F8C" w14:textId="77777777" w:rsidR="00A24DAA" w:rsidRDefault="00A24DAA" w:rsidP="00BE67D6">
      <w:pPr>
        <w:spacing w:before="0"/>
        <w:textAlignment w:val="baseline"/>
      </w:pPr>
    </w:p>
    <w:p w14:paraId="1B2F0F8D" w14:textId="77777777" w:rsidR="00A24DAA" w:rsidRDefault="00A24DAA" w:rsidP="00A24DAA">
      <w:pPr>
        <w:spacing w:before="0"/>
        <w:textAlignment w:val="baseline"/>
      </w:pPr>
      <w:r w:rsidRPr="00A24DAA">
        <w:t>Consider the following when evaluating the probative value of evidence:</w:t>
      </w:r>
    </w:p>
    <w:p w14:paraId="1B2F0F8E" w14:textId="77777777" w:rsidR="00A24DAA" w:rsidRPr="00A24DAA" w:rsidRDefault="00A24DAA" w:rsidP="00A24DAA">
      <w:pPr>
        <w:spacing w:before="0"/>
        <w:textAlignment w:val="baseline"/>
      </w:pPr>
    </w:p>
    <w:p w14:paraId="1B2F0F8F" w14:textId="77777777" w:rsidR="00A24DAA" w:rsidRPr="00A24DAA" w:rsidRDefault="00A24DAA" w:rsidP="00A24DAA">
      <w:pPr>
        <w:numPr>
          <w:ilvl w:val="0"/>
          <w:numId w:val="23"/>
        </w:numPr>
        <w:spacing w:before="0"/>
        <w:textAlignment w:val="baseline"/>
      </w:pPr>
      <w:r w:rsidRPr="00A24DAA">
        <w:t>Physician’s qualifications</w:t>
      </w:r>
    </w:p>
    <w:p w14:paraId="1B2F0F90" w14:textId="77777777" w:rsidR="00A24DAA" w:rsidRPr="00A24DAA" w:rsidRDefault="00A24DAA" w:rsidP="00A24DAA">
      <w:pPr>
        <w:numPr>
          <w:ilvl w:val="0"/>
          <w:numId w:val="23"/>
        </w:numPr>
        <w:spacing w:before="0"/>
        <w:textAlignment w:val="baseline"/>
      </w:pPr>
      <w:r w:rsidRPr="00A24DAA">
        <w:t>Physician’s knowledge of the relevant history</w:t>
      </w:r>
    </w:p>
    <w:p w14:paraId="1B2F0F91" w14:textId="77777777" w:rsidR="00A24DAA" w:rsidRPr="00A24DAA" w:rsidRDefault="00A24DAA" w:rsidP="00A24DAA">
      <w:pPr>
        <w:numPr>
          <w:ilvl w:val="0"/>
          <w:numId w:val="23"/>
        </w:numPr>
        <w:spacing w:before="0"/>
        <w:textAlignment w:val="baseline"/>
      </w:pPr>
      <w:r w:rsidRPr="00A24DAA">
        <w:t>Context in which the medical evidence was created</w:t>
      </w:r>
    </w:p>
    <w:p w14:paraId="1B2F0F92" w14:textId="77777777" w:rsidR="00A24DAA" w:rsidRPr="00A24DAA" w:rsidRDefault="00A24DAA" w:rsidP="00A24DAA">
      <w:pPr>
        <w:numPr>
          <w:ilvl w:val="0"/>
          <w:numId w:val="23"/>
        </w:numPr>
        <w:spacing w:before="0"/>
        <w:textAlignment w:val="baseline"/>
      </w:pPr>
      <w:r w:rsidRPr="00A24DAA">
        <w:t>Reasoning employed by the physician</w:t>
      </w:r>
    </w:p>
    <w:p w14:paraId="1B2F0F93" w14:textId="77777777" w:rsidR="00A24DAA" w:rsidRDefault="00A24DAA" w:rsidP="00A24DAA">
      <w:pPr>
        <w:numPr>
          <w:ilvl w:val="0"/>
          <w:numId w:val="23"/>
        </w:numPr>
        <w:spacing w:before="0"/>
        <w:textAlignment w:val="baseline"/>
      </w:pPr>
      <w:r w:rsidRPr="00A24DAA">
        <w:t>Degree of specificity</w:t>
      </w:r>
    </w:p>
    <w:p w14:paraId="1B2F0F94" w14:textId="77777777" w:rsidR="00A24DAA" w:rsidRDefault="00A24DAA" w:rsidP="00A24DAA">
      <w:pPr>
        <w:numPr>
          <w:ilvl w:val="0"/>
          <w:numId w:val="23"/>
        </w:numPr>
        <w:spacing w:before="0"/>
        <w:textAlignment w:val="baseline"/>
      </w:pPr>
      <w:r w:rsidRPr="00A24DAA">
        <w:t>Degree of certainty</w:t>
      </w:r>
    </w:p>
    <w:p w14:paraId="1B2F0F95" w14:textId="77777777" w:rsidR="00A24DAA" w:rsidRDefault="00A24DAA" w:rsidP="00A24DAA">
      <w:pPr>
        <w:spacing w:before="0"/>
        <w:textAlignment w:val="baseline"/>
      </w:pPr>
    </w:p>
    <w:p w14:paraId="1B2F0F96" w14:textId="77777777" w:rsidR="00A24DAA" w:rsidRDefault="00A24DAA" w:rsidP="00A24DAA">
      <w:pPr>
        <w:spacing w:before="0"/>
        <w:textAlignment w:val="baseline"/>
      </w:pPr>
    </w:p>
    <w:p w14:paraId="1B2F0F97" w14:textId="77777777" w:rsidR="00A24DAA" w:rsidRDefault="00A24DAA" w:rsidP="00A24DAA">
      <w:pPr>
        <w:spacing w:before="0"/>
        <w:textAlignment w:val="baseline"/>
      </w:pPr>
      <w:r w:rsidRPr="00A24DAA">
        <w:rPr>
          <w:b/>
        </w:rPr>
        <w:t xml:space="preserve">Absence of Evidence </w:t>
      </w:r>
    </w:p>
    <w:p w14:paraId="1B2F0F98" w14:textId="77777777" w:rsidR="00A24DAA" w:rsidRDefault="00A24DAA" w:rsidP="00A24DAA">
      <w:pPr>
        <w:spacing w:before="0"/>
        <w:textAlignment w:val="baseline"/>
      </w:pPr>
    </w:p>
    <w:p w14:paraId="1B2F0F99" w14:textId="77777777" w:rsidR="007A5600" w:rsidRPr="00A24DAA" w:rsidRDefault="00A24DAA" w:rsidP="00A24DAA">
      <w:pPr>
        <w:spacing w:before="0"/>
        <w:textAlignment w:val="baseline"/>
      </w:pPr>
      <w:r w:rsidRPr="00A24DAA">
        <w:t>Care must be taken when considering the absence of evidence as negative evidence.  Do not use the absence of evidence as negative evidence in cases where the claimant has simply failed to prove an element of the claim by the applicable standard.  However, the absence of any positive evidence, such as medical evidence showing diagnosis or treatment, may be considered in determining whether the benefit may be awarded.</w:t>
      </w:r>
      <w:r w:rsidR="007A5600" w:rsidRPr="00A24DAA">
        <w:br w:type="page"/>
      </w:r>
    </w:p>
    <w:p w14:paraId="1B2F0F9B" w14:textId="77777777" w:rsidR="007A5600" w:rsidRPr="00393232" w:rsidRDefault="000B44D3">
      <w:pPr>
        <w:pStyle w:val="VBATopicHeading1"/>
        <w:rPr>
          <w:b w:val="0"/>
        </w:rPr>
      </w:pPr>
      <w:bookmarkStart w:id="8" w:name="_Toc441822427"/>
      <w:r w:rsidRPr="00393232">
        <w:rPr>
          <w:b w:val="0"/>
        </w:rPr>
        <w:lastRenderedPageBreak/>
        <w:t xml:space="preserve">Topic 3: </w:t>
      </w:r>
      <w:r w:rsidR="00A24DAA" w:rsidRPr="00393232">
        <w:rPr>
          <w:b w:val="0"/>
        </w:rPr>
        <w:t>Making Evidentiary Decisions</w:t>
      </w:r>
      <w:bookmarkEnd w:id="8"/>
    </w:p>
    <w:p w14:paraId="1B2F0F9C" w14:textId="77777777" w:rsidR="00A24DAA" w:rsidRPr="00A24DAA" w:rsidRDefault="00A24DAA" w:rsidP="00A24DAA">
      <w:pPr>
        <w:overflowPunct/>
        <w:autoSpaceDE/>
        <w:autoSpaceDN/>
        <w:adjustRightInd/>
        <w:spacing w:before="0"/>
      </w:pPr>
      <w:r w:rsidRPr="00A24DAA">
        <w:t>Topic objectives:</w:t>
      </w:r>
    </w:p>
    <w:p w14:paraId="1B2F0F9D" w14:textId="77777777" w:rsidR="00A24DAA" w:rsidRPr="00A24DAA" w:rsidRDefault="00A24DAA" w:rsidP="00A24DAA">
      <w:pPr>
        <w:numPr>
          <w:ilvl w:val="0"/>
          <w:numId w:val="18"/>
        </w:numPr>
        <w:overflowPunct/>
        <w:autoSpaceDE/>
        <w:autoSpaceDN/>
        <w:adjustRightInd/>
        <w:spacing w:before="0"/>
      </w:pPr>
      <w:r w:rsidRPr="00A24DAA">
        <w:t>Identify different types of evidence and the principles involved in decision making</w:t>
      </w:r>
    </w:p>
    <w:p w14:paraId="1B2F0F9E" w14:textId="77777777" w:rsidR="00A24DAA" w:rsidRPr="00A24DAA" w:rsidRDefault="00A24DAA" w:rsidP="00A24DAA">
      <w:pPr>
        <w:numPr>
          <w:ilvl w:val="0"/>
          <w:numId w:val="18"/>
        </w:numPr>
        <w:overflowPunct/>
        <w:autoSpaceDE/>
        <w:autoSpaceDN/>
        <w:adjustRightInd/>
        <w:spacing w:before="0"/>
        <w:rPr>
          <w:bCs/>
        </w:rPr>
      </w:pPr>
      <w:r w:rsidRPr="00A24DAA">
        <w:t xml:space="preserve">Write clear and concise rating decision narratives discussing the evidence reviewed in the decision process </w:t>
      </w:r>
    </w:p>
    <w:p w14:paraId="1B2F0F9F" w14:textId="77777777" w:rsidR="00A24DAA" w:rsidRPr="00A24DAA" w:rsidRDefault="00A24DAA" w:rsidP="00A24DAA">
      <w:pPr>
        <w:overflowPunct/>
        <w:autoSpaceDE/>
        <w:autoSpaceDN/>
        <w:adjustRightInd/>
        <w:spacing w:before="0"/>
        <w:ind w:left="720"/>
        <w:rPr>
          <w:bCs/>
        </w:rPr>
      </w:pPr>
    </w:p>
    <w:p w14:paraId="1B2F0FA0" w14:textId="77777777" w:rsidR="00A24DAA" w:rsidRPr="00A24DAA" w:rsidRDefault="00A24DAA" w:rsidP="00A24DAA">
      <w:pPr>
        <w:overflowPunct/>
        <w:autoSpaceDE/>
        <w:autoSpaceDN/>
        <w:adjustRightInd/>
        <w:spacing w:before="0"/>
        <w:rPr>
          <w:bCs/>
        </w:rPr>
      </w:pPr>
      <w:r w:rsidRPr="00A24DAA">
        <w:t>The following topic teaching points support the topic objectives</w:t>
      </w:r>
      <w:r w:rsidRPr="00A24DAA">
        <w:rPr>
          <w:bCs/>
        </w:rPr>
        <w:t xml:space="preserve">: </w:t>
      </w:r>
    </w:p>
    <w:p w14:paraId="1B2F0FA1" w14:textId="77777777" w:rsidR="00A24DAA" w:rsidRPr="00A24DAA" w:rsidRDefault="00A24DAA" w:rsidP="00A24DAA">
      <w:pPr>
        <w:numPr>
          <w:ilvl w:val="0"/>
          <w:numId w:val="18"/>
        </w:numPr>
        <w:overflowPunct/>
        <w:autoSpaceDE/>
        <w:autoSpaceDN/>
        <w:adjustRightInd/>
        <w:spacing w:before="0"/>
      </w:pPr>
      <w:r w:rsidRPr="00A24DAA">
        <w:t>Decision making principles</w:t>
      </w:r>
    </w:p>
    <w:p w14:paraId="1B2F0FA2" w14:textId="77777777" w:rsidR="00A24DAA" w:rsidRDefault="00A24DAA" w:rsidP="00A24DAA">
      <w:pPr>
        <w:numPr>
          <w:ilvl w:val="0"/>
          <w:numId w:val="18"/>
        </w:numPr>
        <w:overflowPunct/>
        <w:autoSpaceDE/>
        <w:autoSpaceDN/>
        <w:adjustRightInd/>
        <w:spacing w:before="0"/>
      </w:pPr>
      <w:r w:rsidRPr="00A24DAA">
        <w:t>Types of evidence</w:t>
      </w:r>
    </w:p>
    <w:p w14:paraId="1B2F0FA3" w14:textId="77777777" w:rsidR="00A24DAA" w:rsidRDefault="00A24DAA" w:rsidP="00A24DAA">
      <w:pPr>
        <w:numPr>
          <w:ilvl w:val="0"/>
          <w:numId w:val="18"/>
        </w:numPr>
        <w:overflowPunct/>
        <w:autoSpaceDE/>
        <w:autoSpaceDN/>
        <w:adjustRightInd/>
        <w:spacing w:before="0"/>
      </w:pPr>
      <w:r w:rsidRPr="00A24DAA">
        <w:t>Reasons and bases requirements</w:t>
      </w:r>
    </w:p>
    <w:p w14:paraId="1B2F0FA4" w14:textId="77777777" w:rsidR="00A24DAA" w:rsidRDefault="00A24DAA" w:rsidP="00A24DAA">
      <w:pPr>
        <w:overflowPunct/>
        <w:autoSpaceDE/>
        <w:autoSpaceDN/>
        <w:adjustRightInd/>
        <w:spacing w:before="0"/>
      </w:pPr>
    </w:p>
    <w:p w14:paraId="1B2F0FA7" w14:textId="77777777" w:rsidR="00A24DAA" w:rsidRPr="00A24DAA" w:rsidRDefault="00A24DAA" w:rsidP="00A24DAA">
      <w:pPr>
        <w:overflowPunct/>
        <w:autoSpaceDE/>
        <w:autoSpaceDN/>
        <w:adjustRightInd/>
        <w:spacing w:before="0"/>
        <w:rPr>
          <w:b/>
        </w:rPr>
      </w:pPr>
      <w:r w:rsidRPr="00A24DAA">
        <w:rPr>
          <w:b/>
        </w:rPr>
        <w:t xml:space="preserve">Decision Making Principles </w:t>
      </w:r>
    </w:p>
    <w:p w14:paraId="1B2F0FA8" w14:textId="77777777" w:rsidR="00A24DAA" w:rsidRDefault="00A24DAA" w:rsidP="00A24DAA">
      <w:pPr>
        <w:overflowPunct/>
        <w:autoSpaceDE/>
        <w:autoSpaceDN/>
        <w:adjustRightInd/>
        <w:spacing w:before="0"/>
      </w:pPr>
    </w:p>
    <w:p w14:paraId="1B2F0FA9" w14:textId="77777777" w:rsidR="00A24DAA" w:rsidRDefault="00A24DAA" w:rsidP="00A24DAA">
      <w:pPr>
        <w:overflowPunct/>
        <w:autoSpaceDE/>
        <w:autoSpaceDN/>
        <w:adjustRightInd/>
        <w:spacing w:before="0"/>
      </w:pPr>
      <w:r w:rsidRPr="00A24DAA">
        <w:t xml:space="preserve">When evaluating medical evidence, do: </w:t>
      </w:r>
    </w:p>
    <w:p w14:paraId="1B2F0FAA" w14:textId="77777777" w:rsidR="00A24DAA" w:rsidRPr="00A24DAA" w:rsidRDefault="00A24DAA" w:rsidP="00A24DAA">
      <w:pPr>
        <w:overflowPunct/>
        <w:autoSpaceDE/>
        <w:autoSpaceDN/>
        <w:adjustRightInd/>
        <w:spacing w:before="0"/>
      </w:pPr>
    </w:p>
    <w:p w14:paraId="1B2F0FAB" w14:textId="77777777" w:rsidR="00A24DAA" w:rsidRPr="00A24DAA" w:rsidRDefault="00A24DAA" w:rsidP="00A24DAA">
      <w:pPr>
        <w:numPr>
          <w:ilvl w:val="0"/>
          <w:numId w:val="24"/>
        </w:numPr>
        <w:overflowPunct/>
        <w:autoSpaceDE/>
        <w:autoSpaceDN/>
        <w:adjustRightInd/>
        <w:spacing w:before="0"/>
      </w:pPr>
      <w:r w:rsidRPr="00A24DAA">
        <w:t>Be objective and fair in the consideration of evidence</w:t>
      </w:r>
    </w:p>
    <w:p w14:paraId="1B2F0FAC" w14:textId="77777777" w:rsidR="00A24DAA" w:rsidRPr="00A24DAA" w:rsidRDefault="00A24DAA" w:rsidP="00A24DAA">
      <w:pPr>
        <w:numPr>
          <w:ilvl w:val="0"/>
          <w:numId w:val="24"/>
        </w:numPr>
        <w:overflowPunct/>
        <w:autoSpaceDE/>
        <w:autoSpaceDN/>
        <w:adjustRightInd/>
        <w:spacing w:before="0"/>
      </w:pPr>
      <w:r w:rsidRPr="00A24DAA">
        <w:t>Ensure that any inferences, findings, and conclusions made are supported under the facts and law</w:t>
      </w:r>
    </w:p>
    <w:p w14:paraId="1B2F0FAD" w14:textId="77777777" w:rsidR="00A24DAA" w:rsidRPr="00A24DAA" w:rsidRDefault="00A24DAA" w:rsidP="00A24DAA">
      <w:pPr>
        <w:numPr>
          <w:ilvl w:val="0"/>
          <w:numId w:val="24"/>
        </w:numPr>
        <w:overflowPunct/>
        <w:autoSpaceDE/>
        <w:autoSpaceDN/>
        <w:adjustRightInd/>
        <w:spacing w:before="0"/>
      </w:pPr>
      <w:r w:rsidRPr="00A24DAA">
        <w:t>Follow the evidentiary guidance in this training</w:t>
      </w:r>
    </w:p>
    <w:p w14:paraId="1B2F0FAE" w14:textId="77777777" w:rsidR="00A24DAA" w:rsidRPr="00A24DAA" w:rsidRDefault="00A24DAA" w:rsidP="00A24DAA">
      <w:pPr>
        <w:numPr>
          <w:ilvl w:val="0"/>
          <w:numId w:val="24"/>
        </w:numPr>
        <w:overflowPunct/>
        <w:autoSpaceDE/>
        <w:autoSpaceDN/>
        <w:adjustRightInd/>
        <w:spacing w:before="0"/>
      </w:pPr>
      <w:r w:rsidRPr="00A24DAA">
        <w:t>Be professional and courteous even when claimants are antagonistic, critical, or abusive</w:t>
      </w:r>
    </w:p>
    <w:p w14:paraId="1B2F0FAF" w14:textId="77777777" w:rsidR="00A24DAA" w:rsidRDefault="00A24DAA" w:rsidP="00A24DAA">
      <w:pPr>
        <w:overflowPunct/>
        <w:autoSpaceDE/>
        <w:autoSpaceDN/>
        <w:adjustRightInd/>
        <w:spacing w:before="0"/>
      </w:pPr>
    </w:p>
    <w:p w14:paraId="1B2F0FB0" w14:textId="77777777" w:rsidR="00A24DAA" w:rsidRDefault="00A24DAA" w:rsidP="00A24DAA">
      <w:pPr>
        <w:overflowPunct/>
        <w:autoSpaceDE/>
        <w:autoSpaceDN/>
        <w:adjustRightInd/>
        <w:spacing w:before="0"/>
      </w:pPr>
      <w:r w:rsidRPr="00A24DAA">
        <w:t xml:space="preserve">When evaluating medical evidence, do not: </w:t>
      </w:r>
    </w:p>
    <w:p w14:paraId="1B2F0FB1" w14:textId="77777777" w:rsidR="00A24DAA" w:rsidRPr="00A24DAA" w:rsidRDefault="00A24DAA" w:rsidP="00A24DAA">
      <w:pPr>
        <w:overflowPunct/>
        <w:autoSpaceDE/>
        <w:autoSpaceDN/>
        <w:adjustRightInd/>
        <w:spacing w:before="0"/>
      </w:pPr>
    </w:p>
    <w:p w14:paraId="1B2F0FB2" w14:textId="77777777" w:rsidR="00A24DAA" w:rsidRPr="00A24DAA" w:rsidRDefault="00A24DAA" w:rsidP="00A24DAA">
      <w:pPr>
        <w:numPr>
          <w:ilvl w:val="0"/>
          <w:numId w:val="25"/>
        </w:numPr>
        <w:overflowPunct/>
        <w:autoSpaceDE/>
        <w:autoSpaceDN/>
        <w:adjustRightInd/>
        <w:spacing w:before="0"/>
      </w:pPr>
      <w:r w:rsidRPr="00A24DAA">
        <w:t>Rely on your own unsubstantiated medical opinion</w:t>
      </w:r>
    </w:p>
    <w:p w14:paraId="1B2F0FB3" w14:textId="77777777" w:rsidR="00A24DAA" w:rsidRPr="00A24DAA" w:rsidRDefault="00A24DAA" w:rsidP="00A24DAA">
      <w:pPr>
        <w:numPr>
          <w:ilvl w:val="0"/>
          <w:numId w:val="25"/>
        </w:numPr>
        <w:overflowPunct/>
        <w:autoSpaceDE/>
        <w:autoSpaceDN/>
        <w:adjustRightInd/>
        <w:spacing w:before="0"/>
      </w:pPr>
      <w:r w:rsidRPr="00A24DAA">
        <w:t xml:space="preserve">Allow any bias or personal feelings into the evaluation of evidence or the decision </w:t>
      </w:r>
    </w:p>
    <w:p w14:paraId="1B2F0FB4" w14:textId="77777777" w:rsidR="00A24DAA" w:rsidRPr="00A24DAA" w:rsidRDefault="00A24DAA" w:rsidP="00A24DAA">
      <w:pPr>
        <w:numPr>
          <w:ilvl w:val="0"/>
          <w:numId w:val="25"/>
        </w:numPr>
        <w:overflowPunct/>
        <w:autoSpaceDE/>
        <w:autoSpaceDN/>
        <w:adjustRightInd/>
        <w:spacing w:before="0"/>
      </w:pPr>
      <w:r w:rsidRPr="00A24DAA">
        <w:t>Arbitrarily or capriciously refuse to assign weight to a claimant’s evidence</w:t>
      </w:r>
    </w:p>
    <w:p w14:paraId="1B2F0FB5" w14:textId="77777777" w:rsidR="00A24DAA" w:rsidRPr="00A24DAA" w:rsidRDefault="00A24DAA" w:rsidP="00A24DAA">
      <w:pPr>
        <w:numPr>
          <w:ilvl w:val="0"/>
          <w:numId w:val="25"/>
        </w:numPr>
        <w:overflowPunct/>
        <w:autoSpaceDE/>
        <w:autoSpaceDN/>
        <w:adjustRightInd/>
        <w:spacing w:before="0"/>
      </w:pPr>
      <w:r w:rsidRPr="00A24DAA">
        <w:t>Adopt or express an adversarial position towards a claimant or beneficiary</w:t>
      </w:r>
    </w:p>
    <w:p w14:paraId="1B2F0FB6" w14:textId="77777777" w:rsidR="00A24DAA" w:rsidRDefault="00A24DAA" w:rsidP="00A24DAA">
      <w:pPr>
        <w:numPr>
          <w:ilvl w:val="0"/>
          <w:numId w:val="25"/>
        </w:numPr>
        <w:overflowPunct/>
        <w:autoSpaceDE/>
        <w:autoSpaceDN/>
        <w:adjustRightInd/>
        <w:spacing w:before="0"/>
      </w:pPr>
      <w:r w:rsidRPr="00A24DAA">
        <w:t>Refer to the claimant or beneficiary as a liar.  Where evidence is not credible, say that and cite facts of record in support</w:t>
      </w:r>
    </w:p>
    <w:p w14:paraId="1B2F0FB7" w14:textId="77777777" w:rsidR="0093391F" w:rsidRDefault="00A24DAA" w:rsidP="00A24DAA">
      <w:pPr>
        <w:numPr>
          <w:ilvl w:val="0"/>
          <w:numId w:val="25"/>
        </w:numPr>
        <w:overflowPunct/>
        <w:autoSpaceDE/>
        <w:autoSpaceDN/>
        <w:adjustRightInd/>
        <w:spacing w:before="0"/>
      </w:pPr>
      <w:r w:rsidRPr="00A24DAA">
        <w:t>Minimize the weight of a treating physician’s opinion based upon the idea that he/she has become an advocate for the patient since doing so may appear adversarial and biased</w:t>
      </w:r>
    </w:p>
    <w:p w14:paraId="1B2F0FB8" w14:textId="77777777" w:rsidR="0093391F" w:rsidRDefault="0093391F" w:rsidP="0093391F">
      <w:pPr>
        <w:overflowPunct/>
        <w:autoSpaceDE/>
        <w:autoSpaceDN/>
        <w:adjustRightInd/>
        <w:spacing w:before="0"/>
      </w:pPr>
    </w:p>
    <w:p w14:paraId="1B2F0FC1" w14:textId="77777777" w:rsidR="0093391F" w:rsidRPr="0093391F" w:rsidRDefault="0093391F" w:rsidP="0093391F">
      <w:pPr>
        <w:overflowPunct/>
        <w:autoSpaceDE/>
        <w:autoSpaceDN/>
        <w:adjustRightInd/>
        <w:spacing w:before="0"/>
        <w:rPr>
          <w:b/>
        </w:rPr>
      </w:pPr>
      <w:r w:rsidRPr="0093391F">
        <w:rPr>
          <w:b/>
        </w:rPr>
        <w:t xml:space="preserve">Types of Evidence </w:t>
      </w:r>
    </w:p>
    <w:p w14:paraId="1B2F0FC2" w14:textId="77777777" w:rsidR="0093391F" w:rsidRDefault="0093391F" w:rsidP="0093391F">
      <w:pPr>
        <w:overflowPunct/>
        <w:autoSpaceDE/>
        <w:autoSpaceDN/>
        <w:adjustRightInd/>
        <w:spacing w:before="0"/>
      </w:pPr>
    </w:p>
    <w:p w14:paraId="1B2F0FC3" w14:textId="77777777" w:rsidR="0093391F" w:rsidRDefault="0093391F" w:rsidP="0093391F">
      <w:pPr>
        <w:overflowPunct/>
        <w:autoSpaceDE/>
        <w:autoSpaceDN/>
        <w:adjustRightInd/>
        <w:spacing w:before="0"/>
      </w:pPr>
      <w:r w:rsidRPr="0093391F">
        <w:t>RVSRs are responsible for reviewing:</w:t>
      </w:r>
    </w:p>
    <w:p w14:paraId="1B2F0FC4" w14:textId="77777777" w:rsidR="0093391F" w:rsidRPr="0093391F" w:rsidRDefault="0093391F" w:rsidP="0093391F">
      <w:pPr>
        <w:overflowPunct/>
        <w:autoSpaceDE/>
        <w:autoSpaceDN/>
        <w:adjustRightInd/>
        <w:spacing w:before="0"/>
      </w:pPr>
    </w:p>
    <w:p w14:paraId="1B2F0FC5" w14:textId="77777777" w:rsidR="0093391F" w:rsidRPr="0093391F" w:rsidRDefault="0093391F" w:rsidP="0093391F">
      <w:pPr>
        <w:numPr>
          <w:ilvl w:val="0"/>
          <w:numId w:val="27"/>
        </w:numPr>
        <w:overflowPunct/>
        <w:autoSpaceDE/>
        <w:autoSpaceDN/>
        <w:adjustRightInd/>
        <w:spacing w:before="0"/>
      </w:pPr>
      <w:r w:rsidRPr="0093391F">
        <w:t>Service Medical &amp; Personnel Records</w:t>
      </w:r>
    </w:p>
    <w:p w14:paraId="1B2F0FC6" w14:textId="77777777" w:rsidR="0093391F" w:rsidRPr="0093391F" w:rsidRDefault="0093391F" w:rsidP="0093391F">
      <w:pPr>
        <w:numPr>
          <w:ilvl w:val="0"/>
          <w:numId w:val="27"/>
        </w:numPr>
        <w:overflowPunct/>
        <w:autoSpaceDE/>
        <w:autoSpaceDN/>
        <w:adjustRightInd/>
        <w:spacing w:before="0"/>
      </w:pPr>
      <w:r w:rsidRPr="0093391F">
        <w:t>VA Treatment Records</w:t>
      </w:r>
    </w:p>
    <w:p w14:paraId="1B2F0FC7" w14:textId="77777777" w:rsidR="0093391F" w:rsidRPr="0093391F" w:rsidRDefault="0093391F" w:rsidP="0093391F">
      <w:pPr>
        <w:numPr>
          <w:ilvl w:val="0"/>
          <w:numId w:val="27"/>
        </w:numPr>
        <w:overflowPunct/>
        <w:autoSpaceDE/>
        <w:autoSpaceDN/>
        <w:adjustRightInd/>
        <w:spacing w:before="0"/>
      </w:pPr>
      <w:r w:rsidRPr="0093391F">
        <w:t>VA Examinations</w:t>
      </w:r>
    </w:p>
    <w:p w14:paraId="1B2F0FC8" w14:textId="77777777" w:rsidR="0093391F" w:rsidRPr="0093391F" w:rsidRDefault="0093391F" w:rsidP="0093391F">
      <w:pPr>
        <w:numPr>
          <w:ilvl w:val="0"/>
          <w:numId w:val="27"/>
        </w:numPr>
        <w:overflowPunct/>
        <w:autoSpaceDE/>
        <w:autoSpaceDN/>
        <w:adjustRightInd/>
        <w:spacing w:before="0"/>
      </w:pPr>
      <w:r w:rsidRPr="0093391F">
        <w:t>Private Treatment Records</w:t>
      </w:r>
    </w:p>
    <w:p w14:paraId="1B2F0FC9" w14:textId="77777777" w:rsidR="0093391F" w:rsidRPr="0093391F" w:rsidRDefault="0093391F" w:rsidP="0093391F">
      <w:pPr>
        <w:numPr>
          <w:ilvl w:val="0"/>
          <w:numId w:val="27"/>
        </w:numPr>
        <w:overflowPunct/>
        <w:autoSpaceDE/>
        <w:autoSpaceDN/>
        <w:adjustRightInd/>
        <w:spacing w:before="0"/>
      </w:pPr>
      <w:r w:rsidRPr="0093391F">
        <w:t>Lay Statements</w:t>
      </w:r>
    </w:p>
    <w:p w14:paraId="1B2F0FCA" w14:textId="77777777" w:rsidR="0093391F" w:rsidRPr="0093391F" w:rsidRDefault="0093391F" w:rsidP="0093391F">
      <w:pPr>
        <w:numPr>
          <w:ilvl w:val="0"/>
          <w:numId w:val="27"/>
        </w:numPr>
        <w:overflowPunct/>
        <w:autoSpaceDE/>
        <w:autoSpaceDN/>
        <w:adjustRightInd/>
        <w:spacing w:before="0"/>
      </w:pPr>
      <w:r w:rsidRPr="0093391F">
        <w:t>Medical Opinions &amp; Treatises</w:t>
      </w:r>
    </w:p>
    <w:p w14:paraId="1B2F0FCB" w14:textId="77777777" w:rsidR="0093391F" w:rsidRDefault="0093391F" w:rsidP="0093391F">
      <w:pPr>
        <w:numPr>
          <w:ilvl w:val="0"/>
          <w:numId w:val="27"/>
        </w:numPr>
        <w:overflowPunct/>
        <w:autoSpaceDE/>
        <w:autoSpaceDN/>
        <w:adjustRightInd/>
        <w:spacing w:before="0"/>
      </w:pPr>
      <w:r w:rsidRPr="0093391F">
        <w:t>Due Process Letters</w:t>
      </w:r>
    </w:p>
    <w:p w14:paraId="1B2F0FCC" w14:textId="77777777" w:rsidR="0093391F" w:rsidRPr="0093391F" w:rsidRDefault="0093391F" w:rsidP="0093391F">
      <w:pPr>
        <w:overflowPunct/>
        <w:autoSpaceDE/>
        <w:autoSpaceDN/>
        <w:adjustRightInd/>
        <w:spacing w:before="0"/>
        <w:ind w:left="540"/>
      </w:pPr>
    </w:p>
    <w:p w14:paraId="1B2F0FCD" w14:textId="77777777" w:rsidR="0093391F" w:rsidRDefault="0093391F" w:rsidP="0093391F">
      <w:pPr>
        <w:overflowPunct/>
        <w:autoSpaceDE/>
        <w:autoSpaceDN/>
        <w:adjustRightInd/>
        <w:spacing w:before="0"/>
      </w:pPr>
      <w:r w:rsidRPr="0093391F">
        <w:lastRenderedPageBreak/>
        <w:t>The four main types of medical assessments for VA purposes are:</w:t>
      </w:r>
    </w:p>
    <w:p w14:paraId="1B2F0FCE" w14:textId="77777777" w:rsidR="0093391F" w:rsidRPr="0093391F" w:rsidRDefault="0093391F" w:rsidP="0093391F">
      <w:pPr>
        <w:overflowPunct/>
        <w:autoSpaceDE/>
        <w:autoSpaceDN/>
        <w:adjustRightInd/>
        <w:spacing w:before="0"/>
      </w:pPr>
    </w:p>
    <w:p w14:paraId="1B2F0FCF" w14:textId="77777777" w:rsidR="0093391F" w:rsidRPr="0093391F" w:rsidRDefault="0093391F" w:rsidP="0093391F">
      <w:pPr>
        <w:numPr>
          <w:ilvl w:val="0"/>
          <w:numId w:val="26"/>
        </w:numPr>
        <w:overflowPunct/>
        <w:autoSpaceDE/>
        <w:autoSpaceDN/>
        <w:adjustRightInd/>
        <w:spacing w:before="0"/>
      </w:pPr>
      <w:r w:rsidRPr="0093391F">
        <w:t>Diagnoses</w:t>
      </w:r>
    </w:p>
    <w:p w14:paraId="1B2F0FD0" w14:textId="77777777" w:rsidR="0093391F" w:rsidRPr="0093391F" w:rsidRDefault="0093391F" w:rsidP="0093391F">
      <w:pPr>
        <w:numPr>
          <w:ilvl w:val="0"/>
          <w:numId w:val="26"/>
        </w:numPr>
        <w:overflowPunct/>
        <w:autoSpaceDE/>
        <w:autoSpaceDN/>
        <w:adjustRightInd/>
        <w:spacing w:before="0"/>
      </w:pPr>
      <w:r w:rsidRPr="0093391F">
        <w:t>Opinions</w:t>
      </w:r>
    </w:p>
    <w:p w14:paraId="1B2F0FD1" w14:textId="77777777" w:rsidR="0093391F" w:rsidRPr="0093391F" w:rsidRDefault="0093391F" w:rsidP="0093391F">
      <w:pPr>
        <w:numPr>
          <w:ilvl w:val="0"/>
          <w:numId w:val="26"/>
        </w:numPr>
        <w:overflowPunct/>
        <w:autoSpaceDE/>
        <w:autoSpaceDN/>
        <w:adjustRightInd/>
        <w:spacing w:before="0"/>
      </w:pPr>
      <w:r w:rsidRPr="0093391F">
        <w:t>Examinations</w:t>
      </w:r>
    </w:p>
    <w:p w14:paraId="1B2F0FD2" w14:textId="77777777" w:rsidR="0093391F" w:rsidRPr="0093391F" w:rsidRDefault="0093391F" w:rsidP="0093391F">
      <w:pPr>
        <w:numPr>
          <w:ilvl w:val="0"/>
          <w:numId w:val="26"/>
        </w:numPr>
        <w:overflowPunct/>
        <w:autoSpaceDE/>
        <w:autoSpaceDN/>
        <w:adjustRightInd/>
        <w:spacing w:before="0"/>
      </w:pPr>
      <w:r w:rsidRPr="0093391F">
        <w:t>History</w:t>
      </w:r>
    </w:p>
    <w:p w14:paraId="1B2F0FD3" w14:textId="77777777" w:rsidR="0093391F" w:rsidRDefault="0093391F" w:rsidP="0093391F">
      <w:pPr>
        <w:overflowPunct/>
        <w:autoSpaceDE/>
        <w:autoSpaceDN/>
        <w:adjustRightInd/>
        <w:spacing w:before="0"/>
      </w:pPr>
    </w:p>
    <w:p w14:paraId="1B2F0FD5" w14:textId="77777777" w:rsidR="0093391F" w:rsidRPr="0093391F" w:rsidRDefault="0093391F" w:rsidP="0093391F">
      <w:pPr>
        <w:overflowPunct/>
        <w:autoSpaceDE/>
        <w:autoSpaceDN/>
        <w:adjustRightInd/>
        <w:spacing w:before="0"/>
        <w:rPr>
          <w:b/>
        </w:rPr>
      </w:pPr>
      <w:r w:rsidRPr="0093391F">
        <w:rPr>
          <w:b/>
        </w:rPr>
        <w:t xml:space="preserve">Reasons and Bases Requirements </w:t>
      </w:r>
    </w:p>
    <w:p w14:paraId="1B2F0FD6" w14:textId="77777777" w:rsidR="0093391F" w:rsidRDefault="0093391F" w:rsidP="0093391F">
      <w:pPr>
        <w:overflowPunct/>
        <w:autoSpaceDE/>
        <w:autoSpaceDN/>
        <w:adjustRightInd/>
        <w:spacing w:before="0"/>
      </w:pPr>
    </w:p>
    <w:p w14:paraId="1B2F0FD7" w14:textId="77777777" w:rsidR="0093391F" w:rsidRDefault="0093391F" w:rsidP="0093391F">
      <w:pPr>
        <w:overflowPunct/>
        <w:autoSpaceDE/>
        <w:autoSpaceDN/>
        <w:adjustRightInd/>
        <w:spacing w:before="0"/>
      </w:pPr>
      <w:r w:rsidRPr="0093391F">
        <w:t xml:space="preserve">If there is evidence both for and against the claim, the Narrative should discuss how the evidence was weighed and any discrepancies resolved. </w:t>
      </w:r>
    </w:p>
    <w:p w14:paraId="1B2F0FD8" w14:textId="77777777" w:rsidR="0093391F" w:rsidRPr="0093391F" w:rsidRDefault="0093391F" w:rsidP="0093391F">
      <w:pPr>
        <w:overflowPunct/>
        <w:autoSpaceDE/>
        <w:autoSpaceDN/>
        <w:adjustRightInd/>
        <w:spacing w:before="0"/>
      </w:pPr>
    </w:p>
    <w:p w14:paraId="1B2F0FD9" w14:textId="77777777" w:rsidR="0093391F" w:rsidRPr="0093391F" w:rsidRDefault="0093391F" w:rsidP="0093391F">
      <w:pPr>
        <w:overflowPunct/>
        <w:autoSpaceDE/>
        <w:autoSpaceDN/>
        <w:adjustRightInd/>
        <w:spacing w:before="0"/>
      </w:pPr>
      <w:r w:rsidRPr="0093391F">
        <w:t>After weighing the evidence to reach a conclusion,</w:t>
      </w:r>
    </w:p>
    <w:p w14:paraId="1B2F0FDA" w14:textId="77777777" w:rsidR="0093391F" w:rsidRPr="0093391F" w:rsidRDefault="0093391F" w:rsidP="0093391F">
      <w:pPr>
        <w:numPr>
          <w:ilvl w:val="0"/>
          <w:numId w:val="28"/>
        </w:numPr>
        <w:overflowPunct/>
        <w:autoSpaceDE/>
        <w:autoSpaceDN/>
        <w:adjustRightInd/>
        <w:spacing w:before="0"/>
      </w:pPr>
      <w:r w:rsidRPr="0093391F">
        <w:t>discuss the evidence in favor of the claim</w:t>
      </w:r>
    </w:p>
    <w:p w14:paraId="1B2F0FDB" w14:textId="77777777" w:rsidR="0093391F" w:rsidRPr="0093391F" w:rsidRDefault="0093391F" w:rsidP="0093391F">
      <w:pPr>
        <w:numPr>
          <w:ilvl w:val="0"/>
          <w:numId w:val="28"/>
        </w:numPr>
        <w:overflowPunct/>
        <w:autoSpaceDE/>
        <w:autoSpaceDN/>
        <w:adjustRightInd/>
        <w:spacing w:before="0"/>
      </w:pPr>
      <w:r w:rsidRPr="0093391F">
        <w:t>discuss the evidence against the claim to include any negative   evidence, and explain that</w:t>
      </w:r>
    </w:p>
    <w:p w14:paraId="1B2F0FDC" w14:textId="77777777" w:rsidR="0093391F" w:rsidRPr="0093391F" w:rsidRDefault="0093391F" w:rsidP="0093391F">
      <w:pPr>
        <w:numPr>
          <w:ilvl w:val="0"/>
          <w:numId w:val="29"/>
        </w:numPr>
        <w:overflowPunct/>
        <w:autoSpaceDE/>
        <w:autoSpaceDN/>
        <w:adjustRightInd/>
        <w:spacing w:before="0"/>
      </w:pPr>
      <w:r w:rsidRPr="0093391F">
        <w:t>one set of evidence outweighs the other set, or</w:t>
      </w:r>
    </w:p>
    <w:p w14:paraId="1B2F0FDD" w14:textId="77777777" w:rsidR="0093391F" w:rsidRDefault="0093391F" w:rsidP="0093391F">
      <w:pPr>
        <w:numPr>
          <w:ilvl w:val="0"/>
          <w:numId w:val="29"/>
        </w:numPr>
        <w:overflowPunct/>
        <w:autoSpaceDE/>
        <w:autoSpaceDN/>
        <w:adjustRightInd/>
        <w:spacing w:before="0"/>
      </w:pPr>
      <w:r w:rsidRPr="0093391F">
        <w:t>the evidence is in equal balance for and against the claim.</w:t>
      </w:r>
    </w:p>
    <w:p w14:paraId="1B2F0FDE" w14:textId="77777777" w:rsidR="0093391F" w:rsidRPr="0093391F" w:rsidRDefault="0093391F" w:rsidP="0093391F">
      <w:pPr>
        <w:overflowPunct/>
        <w:autoSpaceDE/>
        <w:autoSpaceDN/>
        <w:adjustRightInd/>
        <w:spacing w:before="0"/>
        <w:ind w:left="1380"/>
      </w:pPr>
    </w:p>
    <w:p w14:paraId="1B2F0FDF" w14:textId="77777777" w:rsidR="007A5600" w:rsidRPr="0093391F" w:rsidRDefault="0093391F">
      <w:pPr>
        <w:overflowPunct/>
        <w:autoSpaceDE/>
        <w:autoSpaceDN/>
        <w:adjustRightInd/>
        <w:spacing w:before="0"/>
      </w:pPr>
      <w:r w:rsidRPr="0093391F">
        <w:t>For most claims where evidence was weighed, the denial rationale glossaries in VBMS-R contain adequate explanation.</w:t>
      </w:r>
      <w:r w:rsidR="00D90DC8">
        <w:rPr>
          <w:rFonts w:ascii="Calibri" w:eastAsia="Calibri" w:hAnsi="Calibri"/>
          <w:sz w:val="22"/>
          <w:szCs w:val="22"/>
        </w:rPr>
        <w:br w:type="page"/>
      </w:r>
    </w:p>
    <w:p w14:paraId="1B2F0FE0" w14:textId="77777777" w:rsidR="007A5600" w:rsidRDefault="007A5600">
      <w:pPr>
        <w:pStyle w:val="VBATopicHeading1"/>
      </w:pPr>
      <w:bookmarkStart w:id="9" w:name="_Toc441822428"/>
      <w:r>
        <w:lastRenderedPageBreak/>
        <w:t>Practical Exercise</w:t>
      </w:r>
      <w:bookmarkEnd w:id="9"/>
    </w:p>
    <w:p w14:paraId="1B2F0FE1" w14:textId="77777777" w:rsidR="007A5600" w:rsidRDefault="005175F0" w:rsidP="005175F0">
      <w:r>
        <w:t xml:space="preserve">Directions: </w:t>
      </w:r>
      <w:r w:rsidR="00151F28">
        <w:t>Review the following scenario and provide answers for discussion:</w:t>
      </w:r>
    </w:p>
    <w:p w14:paraId="1B2F0FE2" w14:textId="77777777" w:rsidR="00151F28" w:rsidRDefault="00151F28" w:rsidP="005175F0"/>
    <w:p w14:paraId="1B2F0FE3" w14:textId="77777777" w:rsidR="00151F28" w:rsidRDefault="00151F28" w:rsidP="005175F0">
      <w:pPr>
        <w:rPr>
          <w:b/>
          <w:u w:val="single"/>
        </w:rPr>
      </w:pPr>
      <w:r>
        <w:rPr>
          <w:b/>
          <w:u w:val="single"/>
        </w:rPr>
        <w:t>Background</w:t>
      </w:r>
      <w:r w:rsidRPr="00151F28">
        <w:rPr>
          <w:b/>
          <w:u w:val="single"/>
        </w:rPr>
        <w:t>:</w:t>
      </w:r>
    </w:p>
    <w:p w14:paraId="1B2F0FE4" w14:textId="77777777" w:rsidR="00151F28" w:rsidRPr="00151F28" w:rsidRDefault="00151F28" w:rsidP="005175F0">
      <w:pPr>
        <w:rPr>
          <w:b/>
          <w:u w:val="single"/>
        </w:rPr>
      </w:pPr>
    </w:p>
    <w:p w14:paraId="1B2F0FE5" w14:textId="77777777" w:rsidR="00151F28" w:rsidRDefault="00151F28" w:rsidP="005175F0">
      <w:r w:rsidRPr="00151F28">
        <w:t xml:space="preserve">The WWII Veteran was SC for severe gunshot wounds to the left lower extremity.  The death certificate shows the cause of death was heart disease.  The widow claims SC for cause of death on the basis that the Veteran suffered from stress and insomnia that aggravated the heart disease and contributed to the cause of death.  </w:t>
      </w:r>
    </w:p>
    <w:p w14:paraId="1B2F0FE6" w14:textId="77777777" w:rsidR="00151F28" w:rsidRDefault="00151F28" w:rsidP="005175F0"/>
    <w:p w14:paraId="1B2F0FE7" w14:textId="77777777" w:rsidR="00151F28" w:rsidRDefault="00151F28" w:rsidP="005175F0">
      <w:pPr>
        <w:rPr>
          <w:b/>
        </w:rPr>
      </w:pPr>
      <w:r w:rsidRPr="00151F28">
        <w:rPr>
          <w:b/>
        </w:rPr>
        <w:t>1</w:t>
      </w:r>
      <w:r w:rsidRPr="00151F28">
        <w:rPr>
          <w:b/>
          <w:vertAlign w:val="superscript"/>
        </w:rPr>
        <w:t>st</w:t>
      </w:r>
      <w:r w:rsidRPr="00151F28">
        <w:rPr>
          <w:b/>
        </w:rPr>
        <w:t xml:space="preserve"> evidence scenario:</w:t>
      </w:r>
    </w:p>
    <w:p w14:paraId="1B2F0FE8" w14:textId="77777777" w:rsidR="00151F28" w:rsidRDefault="00151F28" w:rsidP="005175F0">
      <w:r w:rsidRPr="00151F28">
        <w:t>“I treated the Veteran for hypertension, diabetes mellitus, pylorospasm, multiple joint pain, and anxiety.  Xrays in 1985 revealed degenerative disc disease at the L5-S1 level and advanced DJD of the left knee.  It is my opinion that these conditions could have contributed to his death on May 20, 1989.”   (Statement from Dr. Joyce, Veteran’s long-time physician)</w:t>
      </w:r>
    </w:p>
    <w:p w14:paraId="1B2F0FE9" w14:textId="77777777" w:rsidR="00151F28" w:rsidRPr="00151F28" w:rsidRDefault="00151F28" w:rsidP="005175F0"/>
    <w:p w14:paraId="1B2F0FEA" w14:textId="77777777" w:rsidR="00151F28" w:rsidRPr="00151F28" w:rsidRDefault="00151F28" w:rsidP="00151F28">
      <w:pPr>
        <w:rPr>
          <w:b/>
        </w:rPr>
      </w:pPr>
      <w:r w:rsidRPr="00151F28">
        <w:rPr>
          <w:b/>
        </w:rPr>
        <w:t xml:space="preserve">Is this evidence credible?  </w:t>
      </w:r>
    </w:p>
    <w:p w14:paraId="1B2F0FEB" w14:textId="77777777" w:rsidR="00151F28" w:rsidRPr="00151F28" w:rsidRDefault="00151F28" w:rsidP="00151F28">
      <w:pPr>
        <w:rPr>
          <w:b/>
        </w:rPr>
      </w:pPr>
    </w:p>
    <w:p w14:paraId="1B2F0FEC" w14:textId="77777777" w:rsidR="00151F28" w:rsidRPr="00151F28" w:rsidRDefault="00151F28" w:rsidP="00151F28">
      <w:pPr>
        <w:rPr>
          <w:b/>
        </w:rPr>
      </w:pPr>
      <w:r w:rsidRPr="00151F28">
        <w:rPr>
          <w:b/>
        </w:rPr>
        <w:t>How would you assign weight to this evidence?</w:t>
      </w:r>
    </w:p>
    <w:p w14:paraId="1B2F0FED" w14:textId="77777777" w:rsidR="00151F28" w:rsidRDefault="00151F28" w:rsidP="00151F28"/>
    <w:p w14:paraId="1B2F0FEE" w14:textId="77777777" w:rsidR="00151F28" w:rsidRDefault="00151F28" w:rsidP="00151F28"/>
    <w:p w14:paraId="1B2F0FEF" w14:textId="77777777" w:rsidR="00151F28" w:rsidRDefault="00151F28" w:rsidP="00151F28"/>
    <w:p w14:paraId="1B2F0FF0" w14:textId="77777777" w:rsidR="00151F28" w:rsidRPr="00151F28" w:rsidRDefault="00151F28" w:rsidP="00151F28">
      <w:pPr>
        <w:rPr>
          <w:b/>
        </w:rPr>
      </w:pPr>
      <w:r w:rsidRPr="00151F28">
        <w:rPr>
          <w:b/>
        </w:rPr>
        <w:t>2</w:t>
      </w:r>
      <w:r w:rsidRPr="00151F28">
        <w:rPr>
          <w:b/>
          <w:vertAlign w:val="superscript"/>
        </w:rPr>
        <w:t>nd</w:t>
      </w:r>
      <w:r w:rsidRPr="00151F28">
        <w:rPr>
          <w:b/>
        </w:rPr>
        <w:t xml:space="preserve"> evidence scenario:</w:t>
      </w:r>
    </w:p>
    <w:p w14:paraId="1B2F0FF1" w14:textId="77777777" w:rsidR="005175F0" w:rsidRDefault="00151F28" w:rsidP="005175F0">
      <w:r w:rsidRPr="00151F28">
        <w:t>“I treated the Veteran for hypertension, diabetes mellitus, pylorospasm, multiple joint pain, and anxiety.  Xrays in 1985 revealed degenerative disc disease at the L5-S1 level and advanced DJD of the left knee.  It is my opinion that these conditions could have contributed to his death on May 20, 1989.”   (Statement from Dr. Joyce, Veteran’s long-time physician)</w:t>
      </w:r>
    </w:p>
    <w:p w14:paraId="1B2F0FF2" w14:textId="77777777" w:rsidR="005175F0" w:rsidRDefault="005175F0" w:rsidP="005175F0"/>
    <w:p w14:paraId="1B2F0FF3" w14:textId="77777777" w:rsidR="00151F28" w:rsidRPr="00151F28" w:rsidRDefault="00151F28" w:rsidP="00151F28">
      <w:pPr>
        <w:rPr>
          <w:b/>
        </w:rPr>
      </w:pPr>
      <w:r w:rsidRPr="00151F28">
        <w:rPr>
          <w:b/>
        </w:rPr>
        <w:t xml:space="preserve">Is this evidence credible?  </w:t>
      </w:r>
    </w:p>
    <w:p w14:paraId="1B2F0FF4" w14:textId="77777777" w:rsidR="00151F28" w:rsidRPr="00151F28" w:rsidRDefault="00151F28" w:rsidP="00151F28">
      <w:pPr>
        <w:rPr>
          <w:b/>
        </w:rPr>
      </w:pPr>
    </w:p>
    <w:p w14:paraId="1B2F0FF5" w14:textId="77777777" w:rsidR="00151F28" w:rsidRPr="00151F28" w:rsidRDefault="00151F28" w:rsidP="00151F28">
      <w:pPr>
        <w:rPr>
          <w:b/>
        </w:rPr>
      </w:pPr>
      <w:r w:rsidRPr="00151F28">
        <w:rPr>
          <w:b/>
        </w:rPr>
        <w:t>How would you assign weight to this evidence?</w:t>
      </w:r>
    </w:p>
    <w:p w14:paraId="1B2F0FF6" w14:textId="77777777" w:rsidR="00151F28" w:rsidRDefault="00151F28" w:rsidP="005175F0"/>
    <w:p w14:paraId="1B2F0FF7" w14:textId="77777777" w:rsidR="00151F28" w:rsidRDefault="00151F28" w:rsidP="005175F0"/>
    <w:p w14:paraId="1B2F0FF8" w14:textId="77777777" w:rsidR="00151F28" w:rsidRDefault="00151F28" w:rsidP="005175F0"/>
    <w:p w14:paraId="1B2F0FF9" w14:textId="77777777" w:rsidR="00151F28" w:rsidRDefault="00151F28" w:rsidP="005175F0"/>
    <w:p w14:paraId="1B2F0FFA" w14:textId="77777777" w:rsidR="00151F28" w:rsidRPr="00151F28" w:rsidRDefault="00151F28" w:rsidP="005175F0">
      <w:pPr>
        <w:rPr>
          <w:b/>
        </w:rPr>
      </w:pPr>
      <w:r w:rsidRPr="00151F28">
        <w:rPr>
          <w:b/>
        </w:rPr>
        <w:lastRenderedPageBreak/>
        <w:t>3</w:t>
      </w:r>
      <w:r w:rsidRPr="00151F28">
        <w:rPr>
          <w:b/>
          <w:vertAlign w:val="superscript"/>
        </w:rPr>
        <w:t>rd</w:t>
      </w:r>
      <w:r w:rsidRPr="00151F28">
        <w:rPr>
          <w:b/>
        </w:rPr>
        <w:t xml:space="preserve"> evidence scenario:</w:t>
      </w:r>
    </w:p>
    <w:p w14:paraId="1B2F0FFB" w14:textId="77777777" w:rsidR="00151F28" w:rsidRDefault="00151F28" w:rsidP="005175F0">
      <w:r w:rsidRPr="00151F28">
        <w:t>“Although there are multiple factors which could have contributed to his heart attack and death, including his hypertension and diabetes, stress should be included among the factors that can contribute to the development of coronary artery disease and myocardial infarction.  Clearly the Veteran did have a fair amount of stress and anxiety related to the chronic pain from the SC injury and this probably did contribute in some way to the development of his heart problem.”   (Dr. Eugene Linfors’s statement)</w:t>
      </w:r>
    </w:p>
    <w:p w14:paraId="1B2F0FFC" w14:textId="77777777" w:rsidR="00151F28" w:rsidRDefault="00151F28" w:rsidP="005175F0"/>
    <w:p w14:paraId="1B2F0FFD" w14:textId="77777777" w:rsidR="00151F28" w:rsidRPr="00151F28" w:rsidRDefault="00151F28" w:rsidP="00151F28">
      <w:pPr>
        <w:rPr>
          <w:b/>
        </w:rPr>
      </w:pPr>
      <w:r w:rsidRPr="00151F28">
        <w:rPr>
          <w:b/>
        </w:rPr>
        <w:t xml:space="preserve">Is this evidence credible?  </w:t>
      </w:r>
    </w:p>
    <w:p w14:paraId="1B2F0FFE" w14:textId="77777777" w:rsidR="00151F28" w:rsidRDefault="00151F28" w:rsidP="00151F28"/>
    <w:p w14:paraId="1B2F0FFF" w14:textId="77777777" w:rsidR="00151F28" w:rsidRPr="00151F28" w:rsidRDefault="00151F28" w:rsidP="00151F28">
      <w:pPr>
        <w:rPr>
          <w:b/>
        </w:rPr>
      </w:pPr>
      <w:r w:rsidRPr="00151F28">
        <w:rPr>
          <w:b/>
        </w:rPr>
        <w:t>How would you assign weight to this evidence?</w:t>
      </w:r>
    </w:p>
    <w:p w14:paraId="1B2F1000" w14:textId="77777777" w:rsidR="00151F28" w:rsidRDefault="00151F28" w:rsidP="005175F0"/>
    <w:p w14:paraId="1B2F1001" w14:textId="77777777" w:rsidR="00151F28" w:rsidRDefault="00151F28" w:rsidP="005175F0"/>
    <w:p w14:paraId="1B2F1002" w14:textId="77777777" w:rsidR="00151F28" w:rsidRDefault="00151F28" w:rsidP="005175F0"/>
    <w:p w14:paraId="1B2F1003" w14:textId="77777777" w:rsidR="00151F28" w:rsidRDefault="00151F28" w:rsidP="005175F0"/>
    <w:p w14:paraId="1B2F1004" w14:textId="77777777" w:rsidR="00151F28" w:rsidRPr="00151F28" w:rsidRDefault="00151F28" w:rsidP="005175F0">
      <w:pPr>
        <w:rPr>
          <w:b/>
        </w:rPr>
      </w:pPr>
      <w:r w:rsidRPr="00151F28">
        <w:rPr>
          <w:b/>
        </w:rPr>
        <w:t>4</w:t>
      </w:r>
      <w:r w:rsidRPr="00151F28">
        <w:rPr>
          <w:b/>
          <w:vertAlign w:val="superscript"/>
        </w:rPr>
        <w:t>th</w:t>
      </w:r>
      <w:r w:rsidRPr="00151F28">
        <w:rPr>
          <w:b/>
        </w:rPr>
        <w:t xml:space="preserve"> evidence scenario:</w:t>
      </w:r>
    </w:p>
    <w:p w14:paraId="1B2F1005" w14:textId="77777777" w:rsidR="00151F28" w:rsidRPr="00151F28" w:rsidRDefault="00151F28" w:rsidP="00151F28">
      <w:r w:rsidRPr="00151F28">
        <w:t>Veteran’s son, who is a registered nurse with an advanced degree in psychology, stated that he believed that the constant stress of pain from the Veteran’s SC injuries affected his vital bodily functions, especially his heart, causing his death.</w:t>
      </w:r>
    </w:p>
    <w:p w14:paraId="1B2F1006" w14:textId="77777777" w:rsidR="00151F28" w:rsidRDefault="00151F28" w:rsidP="005175F0"/>
    <w:p w14:paraId="1B2F1007" w14:textId="77777777" w:rsidR="00151F28" w:rsidRPr="00151F28" w:rsidRDefault="00151F28" w:rsidP="00151F28">
      <w:pPr>
        <w:rPr>
          <w:b/>
        </w:rPr>
      </w:pPr>
      <w:r w:rsidRPr="00151F28">
        <w:rPr>
          <w:b/>
        </w:rPr>
        <w:t xml:space="preserve">Is this evidence credible?  </w:t>
      </w:r>
    </w:p>
    <w:p w14:paraId="1B2F1008" w14:textId="77777777" w:rsidR="00151F28" w:rsidRDefault="00151F28" w:rsidP="00151F28"/>
    <w:p w14:paraId="1B2F1009" w14:textId="77777777" w:rsidR="00151F28" w:rsidRPr="00151F28" w:rsidRDefault="00151F28" w:rsidP="00151F28">
      <w:pPr>
        <w:rPr>
          <w:b/>
        </w:rPr>
      </w:pPr>
      <w:r w:rsidRPr="00151F28">
        <w:rPr>
          <w:b/>
        </w:rPr>
        <w:t>How would you assign weight to this evidence?</w:t>
      </w:r>
    </w:p>
    <w:p w14:paraId="1B2F100A" w14:textId="77777777" w:rsidR="00151F28" w:rsidRDefault="00151F28" w:rsidP="005175F0"/>
    <w:p w14:paraId="1B2F100B" w14:textId="77777777" w:rsidR="00151F28" w:rsidRDefault="00151F28" w:rsidP="005175F0"/>
    <w:p w14:paraId="1B2F100C" w14:textId="77777777" w:rsidR="00151F28" w:rsidRDefault="00151F28" w:rsidP="005175F0"/>
    <w:p w14:paraId="1B2F100D" w14:textId="77777777" w:rsidR="00151F28" w:rsidRDefault="00151F28" w:rsidP="005175F0"/>
    <w:p w14:paraId="1B2F100E" w14:textId="77777777" w:rsidR="00151F28" w:rsidRPr="00151F28" w:rsidRDefault="00151F28" w:rsidP="005175F0">
      <w:pPr>
        <w:rPr>
          <w:b/>
        </w:rPr>
      </w:pPr>
      <w:r w:rsidRPr="00151F28">
        <w:rPr>
          <w:b/>
        </w:rPr>
        <w:t>5</w:t>
      </w:r>
      <w:r w:rsidRPr="00151F28">
        <w:rPr>
          <w:b/>
          <w:vertAlign w:val="superscript"/>
        </w:rPr>
        <w:t>th</w:t>
      </w:r>
      <w:r w:rsidRPr="00151F28">
        <w:rPr>
          <w:b/>
        </w:rPr>
        <w:t xml:space="preserve"> evidence scenario:</w:t>
      </w:r>
    </w:p>
    <w:p w14:paraId="1B2F100F" w14:textId="77777777" w:rsidR="00151F28" w:rsidRPr="00151F28" w:rsidRDefault="00151F28" w:rsidP="00151F28">
      <w:r w:rsidRPr="00151F28">
        <w:t>“The increased physiological arousal due to the pain problem is a plausible contributor to the development of the underlying coronary disease that eventually took his life.  To a reasonable degree of medical certainty, it is my expert opinion that the Veteran’s chronic pain condition resulting from his service connected injury did indeed contribute to the hastening of the death.”  Statement from Dr. Williams, Professor of Psychiatry, Duke University Medical Center, obtained by Widow on a fee basis and based on review of the death certificate</w:t>
      </w:r>
    </w:p>
    <w:p w14:paraId="1B2F1010" w14:textId="77777777" w:rsidR="00151F28" w:rsidRDefault="00151F28" w:rsidP="005175F0"/>
    <w:p w14:paraId="1B2F1011" w14:textId="77777777" w:rsidR="00151F28" w:rsidRDefault="00151F28" w:rsidP="005175F0"/>
    <w:p w14:paraId="1B2F1012" w14:textId="77777777" w:rsidR="00151F28" w:rsidRPr="00151F28" w:rsidRDefault="00151F28" w:rsidP="00151F28">
      <w:pPr>
        <w:rPr>
          <w:b/>
        </w:rPr>
      </w:pPr>
      <w:r w:rsidRPr="00151F28">
        <w:rPr>
          <w:b/>
        </w:rPr>
        <w:lastRenderedPageBreak/>
        <w:t xml:space="preserve">Is this evidence credible?  </w:t>
      </w:r>
    </w:p>
    <w:p w14:paraId="1B2F1013" w14:textId="77777777" w:rsidR="00151F28" w:rsidRPr="00151F28" w:rsidRDefault="00151F28" w:rsidP="00151F28">
      <w:pPr>
        <w:rPr>
          <w:b/>
        </w:rPr>
      </w:pPr>
    </w:p>
    <w:p w14:paraId="1B2F1014" w14:textId="77777777" w:rsidR="00151F28" w:rsidRPr="00151F28" w:rsidRDefault="00151F28" w:rsidP="00151F28">
      <w:pPr>
        <w:rPr>
          <w:b/>
        </w:rPr>
      </w:pPr>
      <w:r w:rsidRPr="00151F28">
        <w:rPr>
          <w:b/>
        </w:rPr>
        <w:t>How would you assign weight to this evidence?</w:t>
      </w:r>
    </w:p>
    <w:p w14:paraId="1B2F1015" w14:textId="77777777" w:rsidR="00151F28" w:rsidRDefault="00151F28" w:rsidP="00151F28"/>
    <w:p w14:paraId="1B2F1016" w14:textId="77777777" w:rsidR="00151F28" w:rsidRDefault="00151F28" w:rsidP="00151F28"/>
    <w:p w14:paraId="1B2F1017" w14:textId="77777777" w:rsidR="00151F28" w:rsidRDefault="00151F28" w:rsidP="00151F28"/>
    <w:p w14:paraId="1B2F1018" w14:textId="77777777" w:rsidR="00151F28" w:rsidRPr="00151F28" w:rsidRDefault="00151F28" w:rsidP="00151F28">
      <w:pPr>
        <w:rPr>
          <w:b/>
        </w:rPr>
      </w:pPr>
      <w:r w:rsidRPr="00151F28">
        <w:rPr>
          <w:b/>
        </w:rPr>
        <w:t>6</w:t>
      </w:r>
      <w:r w:rsidRPr="00151F28">
        <w:rPr>
          <w:b/>
          <w:vertAlign w:val="superscript"/>
        </w:rPr>
        <w:t>th</w:t>
      </w:r>
      <w:r w:rsidRPr="00151F28">
        <w:rPr>
          <w:b/>
        </w:rPr>
        <w:t xml:space="preserve"> evidence scenario:</w:t>
      </w:r>
    </w:p>
    <w:p w14:paraId="1B2F1019" w14:textId="77777777" w:rsidR="00151F28" w:rsidRDefault="00151F28" w:rsidP="00151F28">
      <w:r w:rsidRPr="00151F28">
        <w:t>“Unfortunately, in spite of hundreds of studies relating to stress on the heart, it is still controversial, unproven, and very complex to link life stress, personality factors, and [certain] other individual attributes (lack or presence of coping skills, etc.), to the development of coronary disease.  While I personally believe that chronic stress in susceptible individuals may lead to an acceleration of coronary arteriosclerosis, the evidence is inconclusive and this would only represent a piece of the puzzle.  The [veteran] had unfortunately a strong mix of well known, indisputable coronary risk factors, including male sex, advanced age, smoking, hypertension and diabetes.” (Independent Medical Opinion from Dr. Abrams, Professor of Medicine in Cardiology, University of New Mexico Hospital)</w:t>
      </w:r>
    </w:p>
    <w:p w14:paraId="1B2F101A" w14:textId="77777777" w:rsidR="00151F28" w:rsidRDefault="00151F28" w:rsidP="00151F28"/>
    <w:p w14:paraId="1B2F101B" w14:textId="77777777" w:rsidR="00151F28" w:rsidRPr="00151F28" w:rsidRDefault="00151F28" w:rsidP="00151F28">
      <w:pPr>
        <w:rPr>
          <w:b/>
        </w:rPr>
      </w:pPr>
      <w:r w:rsidRPr="00151F28">
        <w:rPr>
          <w:b/>
        </w:rPr>
        <w:t xml:space="preserve">Is this evidence credible?  </w:t>
      </w:r>
    </w:p>
    <w:p w14:paraId="1B2F101C" w14:textId="77777777" w:rsidR="00151F28" w:rsidRDefault="00151F28" w:rsidP="00151F28"/>
    <w:p w14:paraId="1B2F101D" w14:textId="77777777" w:rsidR="00151F28" w:rsidRDefault="00151F28" w:rsidP="00151F28">
      <w:pPr>
        <w:rPr>
          <w:b/>
        </w:rPr>
      </w:pPr>
      <w:r w:rsidRPr="00151F28">
        <w:rPr>
          <w:b/>
        </w:rPr>
        <w:t>How would you assign weight to this evidence?</w:t>
      </w:r>
    </w:p>
    <w:p w14:paraId="1B2F101E" w14:textId="77777777" w:rsidR="00151F28" w:rsidRDefault="00151F28" w:rsidP="00151F28">
      <w:pPr>
        <w:rPr>
          <w:b/>
        </w:rPr>
      </w:pPr>
    </w:p>
    <w:p w14:paraId="1B2F101F" w14:textId="77777777" w:rsidR="00151F28" w:rsidRPr="00151F28" w:rsidRDefault="00151F28" w:rsidP="00151F28">
      <w:pPr>
        <w:rPr>
          <w:b/>
        </w:rPr>
      </w:pPr>
    </w:p>
    <w:p w14:paraId="1B2F1020" w14:textId="77777777" w:rsidR="00151F28" w:rsidRDefault="00151F28" w:rsidP="00151F28"/>
    <w:p w14:paraId="1B2F1021" w14:textId="77777777" w:rsidR="00151F28" w:rsidRPr="00151F28" w:rsidRDefault="00151F28" w:rsidP="00151F28">
      <w:pPr>
        <w:rPr>
          <w:b/>
        </w:rPr>
      </w:pPr>
      <w:r w:rsidRPr="00151F28">
        <w:rPr>
          <w:b/>
        </w:rPr>
        <w:t>Considering the given evidence, which evidence is the most probative in deciding the case?</w:t>
      </w:r>
    </w:p>
    <w:p w14:paraId="1B2F1022" w14:textId="77777777" w:rsidR="00151F28" w:rsidRDefault="00151F28" w:rsidP="00151F28"/>
    <w:p w14:paraId="1B2F1023" w14:textId="77777777" w:rsidR="00151F28" w:rsidRDefault="00151F28" w:rsidP="00151F28"/>
    <w:p w14:paraId="1B2F1024" w14:textId="77777777" w:rsidR="00151F28" w:rsidRDefault="00151F28" w:rsidP="00151F28"/>
    <w:p w14:paraId="1B2F1025" w14:textId="77777777" w:rsidR="00151F28" w:rsidRDefault="00151F28" w:rsidP="00151F28"/>
    <w:p w14:paraId="1B2F1026" w14:textId="77777777" w:rsidR="00151F28" w:rsidRPr="00151F28" w:rsidRDefault="00151F28" w:rsidP="00151F28">
      <w:pPr>
        <w:rPr>
          <w:b/>
        </w:rPr>
      </w:pPr>
      <w:r w:rsidRPr="00151F28">
        <w:rPr>
          <w:b/>
        </w:rPr>
        <w:t>Would you grant or deny service connection?</w:t>
      </w:r>
    </w:p>
    <w:p w14:paraId="1B2F1027" w14:textId="77777777" w:rsidR="00151F28" w:rsidRDefault="00151F28" w:rsidP="00151F28"/>
    <w:p w14:paraId="1B2F1028" w14:textId="77777777" w:rsidR="00151F28" w:rsidRDefault="00151F28" w:rsidP="005175F0"/>
    <w:p w14:paraId="1B2F1029" w14:textId="77777777" w:rsidR="007A5600" w:rsidRDefault="007A5600">
      <w:pPr>
        <w:jc w:val="center"/>
      </w:pPr>
    </w:p>
    <w:sectPr w:rsidR="007A5600">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4042E" w14:textId="77777777" w:rsidR="00EF60A2" w:rsidRDefault="00EF60A2">
      <w:pPr>
        <w:spacing w:before="0"/>
      </w:pPr>
      <w:r>
        <w:separator/>
      </w:r>
    </w:p>
  </w:endnote>
  <w:endnote w:type="continuationSeparator" w:id="0">
    <w:p w14:paraId="385415B6" w14:textId="77777777" w:rsidR="00EF60A2" w:rsidRDefault="00EF60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F102E" w14:textId="77777777" w:rsidR="00FC4C93" w:rsidRDefault="00FC4C93">
    <w:pPr>
      <w:pStyle w:val="Footer"/>
      <w:jc w:val="right"/>
    </w:pPr>
    <w:r>
      <w:t xml:space="preserve">February 2016                                                                                                             </w:t>
    </w:r>
    <w:sdt>
      <w:sdtPr>
        <w:id w:val="-1433897117"/>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786728">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86728">
              <w:rPr>
                <w:b/>
                <w:bCs/>
                <w:noProof/>
              </w:rPr>
              <w:t>11</w:t>
            </w:r>
            <w:r>
              <w:rPr>
                <w:b/>
                <w:bCs/>
                <w:szCs w:val="24"/>
              </w:rPr>
              <w:fldChar w:fldCharType="end"/>
            </w:r>
          </w:sdtContent>
        </w:sdt>
      </w:sdtContent>
    </w:sdt>
  </w:p>
  <w:p w14:paraId="1B2F102F" w14:textId="77777777" w:rsidR="00AA1A39" w:rsidRDefault="00AA1A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7B00B" w14:textId="77777777" w:rsidR="00EF60A2" w:rsidRDefault="00EF60A2">
      <w:pPr>
        <w:spacing w:before="0"/>
      </w:pPr>
      <w:r>
        <w:separator/>
      </w:r>
    </w:p>
  </w:footnote>
  <w:footnote w:type="continuationSeparator" w:id="0">
    <w:p w14:paraId="7F987076" w14:textId="77777777" w:rsidR="00EF60A2" w:rsidRDefault="00EF60A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3F1"/>
    <w:multiLevelType w:val="hybridMultilevel"/>
    <w:tmpl w:val="C08083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94C5893"/>
    <w:multiLevelType w:val="hybridMultilevel"/>
    <w:tmpl w:val="8BFA562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023BC"/>
    <w:multiLevelType w:val="hybridMultilevel"/>
    <w:tmpl w:val="1CC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75619"/>
    <w:multiLevelType w:val="hybridMultilevel"/>
    <w:tmpl w:val="695AFC8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258D38E8"/>
    <w:multiLevelType w:val="hybridMultilevel"/>
    <w:tmpl w:val="92B23C6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11E3B"/>
    <w:multiLevelType w:val="hybridMultilevel"/>
    <w:tmpl w:val="C9622B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7">
    <w:nsid w:val="4FF7092F"/>
    <w:multiLevelType w:val="hybridMultilevel"/>
    <w:tmpl w:val="0B2261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57B875E1"/>
    <w:multiLevelType w:val="hybridMultilevel"/>
    <w:tmpl w:val="0710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0">
    <w:nsid w:val="6220233C"/>
    <w:multiLevelType w:val="hybridMultilevel"/>
    <w:tmpl w:val="FFDA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4A77D4"/>
    <w:multiLevelType w:val="hybridMultilevel"/>
    <w:tmpl w:val="AE6269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170FD1"/>
    <w:multiLevelType w:val="hybridMultilevel"/>
    <w:tmpl w:val="E40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B17CF4"/>
    <w:multiLevelType w:val="hybridMultilevel"/>
    <w:tmpl w:val="C38C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641CDB"/>
    <w:multiLevelType w:val="hybridMultilevel"/>
    <w:tmpl w:val="6BB8EB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3977FB"/>
    <w:multiLevelType w:val="multilevel"/>
    <w:tmpl w:val="47B0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16"/>
  </w:num>
  <w:num w:numId="4">
    <w:abstractNumId w:val="14"/>
  </w:num>
  <w:num w:numId="5">
    <w:abstractNumId w:val="22"/>
  </w:num>
  <w:num w:numId="6">
    <w:abstractNumId w:val="4"/>
  </w:num>
  <w:num w:numId="7">
    <w:abstractNumId w:val="7"/>
  </w:num>
  <w:num w:numId="8">
    <w:abstractNumId w:val="24"/>
  </w:num>
  <w:num w:numId="9">
    <w:abstractNumId w:val="15"/>
  </w:num>
  <w:num w:numId="10">
    <w:abstractNumId w:val="2"/>
  </w:num>
  <w:num w:numId="11">
    <w:abstractNumId w:val="12"/>
  </w:num>
  <w:num w:numId="12">
    <w:abstractNumId w:val="30"/>
  </w:num>
  <w:num w:numId="13">
    <w:abstractNumId w:val="1"/>
  </w:num>
  <w:num w:numId="14">
    <w:abstractNumId w:val="21"/>
  </w:num>
  <w:num w:numId="15">
    <w:abstractNumId w:val="13"/>
  </w:num>
  <w:num w:numId="16">
    <w:abstractNumId w:val="5"/>
  </w:num>
  <w:num w:numId="17">
    <w:abstractNumId w:val="27"/>
  </w:num>
  <w:num w:numId="18">
    <w:abstractNumId w:val="19"/>
  </w:num>
  <w:num w:numId="19">
    <w:abstractNumId w:val="20"/>
  </w:num>
  <w:num w:numId="20">
    <w:abstractNumId w:val="8"/>
  </w:num>
  <w:num w:numId="21">
    <w:abstractNumId w:val="6"/>
  </w:num>
  <w:num w:numId="22">
    <w:abstractNumId w:val="29"/>
  </w:num>
  <w:num w:numId="23">
    <w:abstractNumId w:val="18"/>
  </w:num>
  <w:num w:numId="24">
    <w:abstractNumId w:val="3"/>
  </w:num>
  <w:num w:numId="25">
    <w:abstractNumId w:val="17"/>
  </w:num>
  <w:num w:numId="26">
    <w:abstractNumId w:val="23"/>
  </w:num>
  <w:num w:numId="27">
    <w:abstractNumId w:val="0"/>
  </w:num>
  <w:num w:numId="28">
    <w:abstractNumId w:val="25"/>
  </w:num>
  <w:num w:numId="29">
    <w:abstractNumId w:val="9"/>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4553F"/>
    <w:rsid w:val="000B44D3"/>
    <w:rsid w:val="000E3279"/>
    <w:rsid w:val="001026F8"/>
    <w:rsid w:val="00151F28"/>
    <w:rsid w:val="001948B1"/>
    <w:rsid w:val="001C38D3"/>
    <w:rsid w:val="00244857"/>
    <w:rsid w:val="002C37AB"/>
    <w:rsid w:val="002D5157"/>
    <w:rsid w:val="00335191"/>
    <w:rsid w:val="00375E4E"/>
    <w:rsid w:val="00393232"/>
    <w:rsid w:val="003B11BD"/>
    <w:rsid w:val="003C3F7E"/>
    <w:rsid w:val="003F7729"/>
    <w:rsid w:val="005175F0"/>
    <w:rsid w:val="0052286D"/>
    <w:rsid w:val="005361DF"/>
    <w:rsid w:val="0059633D"/>
    <w:rsid w:val="005E6CC5"/>
    <w:rsid w:val="006B0C0F"/>
    <w:rsid w:val="006C23D5"/>
    <w:rsid w:val="006D507F"/>
    <w:rsid w:val="00786728"/>
    <w:rsid w:val="007A5600"/>
    <w:rsid w:val="0093391F"/>
    <w:rsid w:val="00975461"/>
    <w:rsid w:val="009A1EA9"/>
    <w:rsid w:val="009A671D"/>
    <w:rsid w:val="009F1C31"/>
    <w:rsid w:val="00A24DAA"/>
    <w:rsid w:val="00A26F18"/>
    <w:rsid w:val="00AA1A39"/>
    <w:rsid w:val="00B11B27"/>
    <w:rsid w:val="00B4447A"/>
    <w:rsid w:val="00BD181F"/>
    <w:rsid w:val="00BE67D6"/>
    <w:rsid w:val="00C63725"/>
    <w:rsid w:val="00C7114B"/>
    <w:rsid w:val="00CC5F90"/>
    <w:rsid w:val="00CF3ADC"/>
    <w:rsid w:val="00D05745"/>
    <w:rsid w:val="00D90DC8"/>
    <w:rsid w:val="00DA38DE"/>
    <w:rsid w:val="00DF1FC9"/>
    <w:rsid w:val="00E35C8B"/>
    <w:rsid w:val="00E45692"/>
    <w:rsid w:val="00EC4154"/>
    <w:rsid w:val="00EF60A2"/>
    <w:rsid w:val="00F04839"/>
    <w:rsid w:val="00F47561"/>
    <w:rsid w:val="00F86C93"/>
    <w:rsid w:val="00FC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A9"/>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VBALevel2Heading">
    <w:name w:val="VBA Level 2 Heading"/>
    <w:basedOn w:val="Normal"/>
    <w:qFormat/>
    <w:rsid w:val="00CC5F90"/>
    <w:pPr>
      <w:textAlignment w:val="baseline"/>
    </w:pPr>
    <w:rPr>
      <w:b/>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A9"/>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VBALevel2Heading">
    <w:name w:val="VBA Level 2 Heading"/>
    <w:basedOn w:val="Normal"/>
    <w:qFormat/>
    <w:rsid w:val="00CC5F90"/>
    <w:pPr>
      <w:textAlignment w:val="baseline"/>
    </w:pPr>
    <w:rPr>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54734023">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92238043">
      <w:bodyDiv w:val="1"/>
      <w:marLeft w:val="0"/>
      <w:marRight w:val="0"/>
      <w:marTop w:val="0"/>
      <w:marBottom w:val="0"/>
      <w:divBdr>
        <w:top w:val="none" w:sz="0" w:space="0" w:color="auto"/>
        <w:left w:val="none" w:sz="0" w:space="0" w:color="auto"/>
        <w:bottom w:val="none" w:sz="0" w:space="0" w:color="auto"/>
        <w:right w:val="none" w:sz="0" w:space="0" w:color="auto"/>
      </w:divBdr>
    </w:div>
    <w:div w:id="19888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gp=&amp;SID=97d42b95e227ec4129bd831e8d742da5&amp;mc=true&amp;n=sp38.1.4.a&amp;r=SUBPART&amp;ty=HTML" TargetMode="External"/><Relationship Id="rId18" Type="http://schemas.openxmlformats.org/officeDocument/2006/relationships/hyperlink" Target="https://vaww.compensation.pension.km.va.gov/system/templates/selfservice/va_ka/portal.html?portalid=554400000001034" TargetMode="External"/><Relationship Id="rId26" Type="http://schemas.openxmlformats.org/officeDocument/2006/relationships/hyperlink" Target="http://vbaw.vba.va.gov/bl/21/advisory/CAVCDAD.htm"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3&amp;rgn=div58" TargetMode="External"/><Relationship Id="rId7" Type="http://schemas.microsoft.com/office/2007/relationships/stylesWithEffects" Target="stylesWithEffects.xml"/><Relationship Id="rId12" Type="http://schemas.openxmlformats.org/officeDocument/2006/relationships/hyperlink" Target="http://www.ecfr.gov/cgi-bin/text-idx?SID=97d42b95e227ec4129bd831e8d742da5&amp;mc=true&amp;node=se38.1.4_12&amp;rgn=div8"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vbaw.vba.va.gov/bl/21/advisory/CAVCDAD.htm" TargetMode="External"/><Relationship Id="rId2" Type="http://schemas.openxmlformats.org/officeDocument/2006/relationships/customXml" Target="../customXml/item2.xml"/><Relationship Id="rId16" Type="http://schemas.openxmlformats.org/officeDocument/2006/relationships/hyperlink" Target="http://www.ecfr.gov/cgi-bin/retrieveECFR?gp=&amp;SID=97d42b95e227ec4129bd831e8d742da5&amp;mc=true&amp;n=sp38.1.4.a&amp;r=SUBPART&amp;ty=HTML" TargetMode="External"/><Relationship Id="rId20" Type="http://schemas.openxmlformats.org/officeDocument/2006/relationships/hyperlink" Target="http://www.ecfr.gov/cgi-bin/text-idx?SID=ad275643432556b9dda942343fb89296&amp;mc=true&amp;node=pt38.1.3&amp;rgn=div5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bl/21/advisory/CAVCDAD.htm" TargetMode="External"/><Relationship Id="rId5" Type="http://schemas.openxmlformats.org/officeDocument/2006/relationships/numbering" Target="numbering.xml"/><Relationship Id="rId15" Type="http://schemas.openxmlformats.org/officeDocument/2006/relationships/hyperlink" Target="http://www.ecfr.gov/cgi-bin/retrieveECFR?gp=&amp;SID=97d42b95e227ec4129bd831e8d742da5&amp;mc=true&amp;n=sp38.1.4.a&amp;r=SUBPART&amp;ty=HTML"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vbaw.vba.va.gov/bl/21/advisory/CAVCDAD.htm" TargetMode="External"/><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3&amp;rgn=div5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amp;SID=97d42b95e227ec4129bd831e8d742da5&amp;mc=true&amp;n=sp38.1.4.a&amp;r=SUBPART&amp;ty=HTML"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yperlink" Target="http://vbaw.vba.va.gov/bl/21/advisory/CAVCDAD.ht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C36ED-9EF3-4A31-B88B-743D5EB2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151</TotalTime>
  <Pages>11</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RATING ANALYSIS</vt:lpstr>
    </vt:vector>
  </TitlesOfParts>
  <Company>Veterans Benefits Administration</Company>
  <LinksUpToDate>false</LinksUpToDate>
  <CharactersWithSpaces>14491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ANALYSIS</dc:title>
  <dc:subject>RVSR</dc:subject>
  <dc:creator>Department of Veterans Affairs, Veterans Benefits Administration, Compensation Service, STAFF</dc:creator>
  <cp:keywords>rating analysis, weighing evidence, probative value, Wray, credibility, lay evidence</cp:keywords>
  <dc:description>This lesson is intended to identify the process of weighing evidence. </dc:description>
  <cp:lastModifiedBy>Gilbert, Sarah</cp:lastModifiedBy>
  <cp:revision>11</cp:revision>
  <cp:lastPrinted>2016-01-28T17:39:00Z</cp:lastPrinted>
  <dcterms:created xsi:type="dcterms:W3CDTF">2016-01-20T20:24:00Z</dcterms:created>
  <dcterms:modified xsi:type="dcterms:W3CDTF">2016-02-14T23:17:00Z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