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DADC2" w14:textId="77777777" w:rsidR="007A5600" w:rsidRPr="00715FF9" w:rsidRDefault="002A630B">
      <w:pPr>
        <w:pStyle w:val="VBALessonPlanName"/>
        <w:rPr>
          <w:color w:val="auto"/>
        </w:rPr>
      </w:pPr>
      <w:bookmarkStart w:id="0" w:name="_GoBack"/>
      <w:bookmarkEnd w:id="0"/>
      <w:r w:rsidRPr="00715FF9">
        <w:rPr>
          <w:color w:val="auto"/>
        </w:rPr>
        <w:t xml:space="preserve">Genitourinary </w:t>
      </w:r>
      <w:r w:rsidR="00163AA7" w:rsidRPr="00715FF9">
        <w:rPr>
          <w:color w:val="auto"/>
        </w:rPr>
        <w:t>System</w:t>
      </w:r>
      <w:r w:rsidRPr="00715FF9">
        <w:rPr>
          <w:color w:val="auto"/>
        </w:rPr>
        <w:t xml:space="preserve"> (Post Challenge)</w:t>
      </w:r>
    </w:p>
    <w:p w14:paraId="33CDADC3" w14:textId="77777777" w:rsidR="007A5600" w:rsidRDefault="007A5600">
      <w:pPr>
        <w:pStyle w:val="VBALessonPlanTitle"/>
        <w:rPr>
          <w:color w:val="auto"/>
        </w:rPr>
      </w:pPr>
      <w:bookmarkStart w:id="1" w:name="_Toc276556863"/>
      <w:r>
        <w:rPr>
          <w:color w:val="auto"/>
        </w:rPr>
        <w:t>Trainee Handout</w:t>
      </w:r>
      <w:bookmarkEnd w:id="1"/>
    </w:p>
    <w:p w14:paraId="33CDADC4" w14:textId="77777777" w:rsidR="007A5600" w:rsidRDefault="007A5600">
      <w:pPr>
        <w:pStyle w:val="VBATopicHeading1"/>
      </w:pPr>
      <w:bookmarkStart w:id="2" w:name="_Toc276556864"/>
    </w:p>
    <w:p w14:paraId="33CDADC5"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33CDADC6" w14:textId="77777777" w:rsidR="007A5600" w:rsidRDefault="007A5600"/>
    <w:p w14:paraId="33CDADC7" w14:textId="77777777" w:rsidR="00AA2D14"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1668466" w:history="1">
        <w:r w:rsidR="00AA2D14" w:rsidRPr="001515EA">
          <w:rPr>
            <w:rStyle w:val="Hyperlink"/>
          </w:rPr>
          <w:t>Objectives</w:t>
        </w:r>
        <w:r w:rsidR="00AA2D14">
          <w:rPr>
            <w:webHidden/>
          </w:rPr>
          <w:tab/>
        </w:r>
        <w:r w:rsidR="00AA2D14">
          <w:rPr>
            <w:webHidden/>
          </w:rPr>
          <w:fldChar w:fldCharType="begin"/>
        </w:r>
        <w:r w:rsidR="00AA2D14">
          <w:rPr>
            <w:webHidden/>
          </w:rPr>
          <w:instrText xml:space="preserve"> PAGEREF _Toc441668466 \h </w:instrText>
        </w:r>
        <w:r w:rsidR="00AA2D14">
          <w:rPr>
            <w:webHidden/>
          </w:rPr>
        </w:r>
        <w:r w:rsidR="00AA2D14">
          <w:rPr>
            <w:webHidden/>
          </w:rPr>
          <w:fldChar w:fldCharType="separate"/>
        </w:r>
        <w:r w:rsidR="00AA2D14">
          <w:rPr>
            <w:webHidden/>
          </w:rPr>
          <w:t>2</w:t>
        </w:r>
        <w:r w:rsidR="00AA2D14">
          <w:rPr>
            <w:webHidden/>
          </w:rPr>
          <w:fldChar w:fldCharType="end"/>
        </w:r>
      </w:hyperlink>
    </w:p>
    <w:p w14:paraId="33CDADC8" w14:textId="77777777" w:rsidR="00AA2D14" w:rsidRDefault="009B54BD">
      <w:pPr>
        <w:pStyle w:val="TOC1"/>
        <w:rPr>
          <w:rFonts w:asciiTheme="minorHAnsi" w:eastAsiaTheme="minorEastAsia" w:hAnsiTheme="minorHAnsi" w:cstheme="minorBidi"/>
          <w:sz w:val="22"/>
        </w:rPr>
      </w:pPr>
      <w:hyperlink w:anchor="_Toc441668467" w:history="1">
        <w:r w:rsidR="00AA2D14" w:rsidRPr="001515EA">
          <w:rPr>
            <w:rStyle w:val="Hyperlink"/>
          </w:rPr>
          <w:t>References</w:t>
        </w:r>
        <w:r w:rsidR="00AA2D14">
          <w:rPr>
            <w:webHidden/>
          </w:rPr>
          <w:tab/>
        </w:r>
        <w:r w:rsidR="00AA2D14">
          <w:rPr>
            <w:webHidden/>
          </w:rPr>
          <w:fldChar w:fldCharType="begin"/>
        </w:r>
        <w:r w:rsidR="00AA2D14">
          <w:rPr>
            <w:webHidden/>
          </w:rPr>
          <w:instrText xml:space="preserve"> PAGEREF _Toc441668467 \h </w:instrText>
        </w:r>
        <w:r w:rsidR="00AA2D14">
          <w:rPr>
            <w:webHidden/>
          </w:rPr>
        </w:r>
        <w:r w:rsidR="00AA2D14">
          <w:rPr>
            <w:webHidden/>
          </w:rPr>
          <w:fldChar w:fldCharType="separate"/>
        </w:r>
        <w:r w:rsidR="00AA2D14">
          <w:rPr>
            <w:webHidden/>
          </w:rPr>
          <w:t>3</w:t>
        </w:r>
        <w:r w:rsidR="00AA2D14">
          <w:rPr>
            <w:webHidden/>
          </w:rPr>
          <w:fldChar w:fldCharType="end"/>
        </w:r>
      </w:hyperlink>
    </w:p>
    <w:p w14:paraId="33CDADC9" w14:textId="77777777" w:rsidR="00AA2D14" w:rsidRDefault="009B54BD">
      <w:pPr>
        <w:pStyle w:val="TOC1"/>
        <w:rPr>
          <w:rFonts w:asciiTheme="minorHAnsi" w:eastAsiaTheme="minorEastAsia" w:hAnsiTheme="minorHAnsi" w:cstheme="minorBidi"/>
          <w:sz w:val="22"/>
        </w:rPr>
      </w:pPr>
      <w:hyperlink w:anchor="_Toc441668468" w:history="1">
        <w:r w:rsidR="00AA2D14" w:rsidRPr="001515EA">
          <w:rPr>
            <w:rStyle w:val="Hyperlink"/>
          </w:rPr>
          <w:t>Topic 1: Common Considerations of the Genitourinary System</w:t>
        </w:r>
        <w:r w:rsidR="00AA2D14">
          <w:rPr>
            <w:webHidden/>
          </w:rPr>
          <w:tab/>
        </w:r>
        <w:r w:rsidR="00AA2D14">
          <w:rPr>
            <w:webHidden/>
          </w:rPr>
          <w:fldChar w:fldCharType="begin"/>
        </w:r>
        <w:r w:rsidR="00AA2D14">
          <w:rPr>
            <w:webHidden/>
          </w:rPr>
          <w:instrText xml:space="preserve"> PAGEREF _Toc441668468 \h </w:instrText>
        </w:r>
        <w:r w:rsidR="00AA2D14">
          <w:rPr>
            <w:webHidden/>
          </w:rPr>
        </w:r>
        <w:r w:rsidR="00AA2D14">
          <w:rPr>
            <w:webHidden/>
          </w:rPr>
          <w:fldChar w:fldCharType="separate"/>
        </w:r>
        <w:r w:rsidR="00AA2D14">
          <w:rPr>
            <w:webHidden/>
          </w:rPr>
          <w:t>4</w:t>
        </w:r>
        <w:r w:rsidR="00AA2D14">
          <w:rPr>
            <w:webHidden/>
          </w:rPr>
          <w:fldChar w:fldCharType="end"/>
        </w:r>
      </w:hyperlink>
    </w:p>
    <w:p w14:paraId="33CDADCA" w14:textId="77777777" w:rsidR="00AA2D14" w:rsidRDefault="009B54BD">
      <w:pPr>
        <w:pStyle w:val="TOC1"/>
        <w:rPr>
          <w:rFonts w:asciiTheme="minorHAnsi" w:eastAsiaTheme="minorEastAsia" w:hAnsiTheme="minorHAnsi" w:cstheme="minorBidi"/>
          <w:sz w:val="22"/>
        </w:rPr>
      </w:pPr>
      <w:hyperlink w:anchor="_Toc441668469" w:history="1">
        <w:r w:rsidR="00AA2D14" w:rsidRPr="001515EA">
          <w:rPr>
            <w:rStyle w:val="Hyperlink"/>
          </w:rPr>
          <w:t>Topic 2: Rating Prostate Cancer Claims</w:t>
        </w:r>
        <w:r w:rsidR="00AA2D14">
          <w:rPr>
            <w:webHidden/>
          </w:rPr>
          <w:tab/>
        </w:r>
        <w:r w:rsidR="00AA2D14">
          <w:rPr>
            <w:webHidden/>
          </w:rPr>
          <w:fldChar w:fldCharType="begin"/>
        </w:r>
        <w:r w:rsidR="00AA2D14">
          <w:rPr>
            <w:webHidden/>
          </w:rPr>
          <w:instrText xml:space="preserve"> PAGEREF _Toc441668469 \h </w:instrText>
        </w:r>
        <w:r w:rsidR="00AA2D14">
          <w:rPr>
            <w:webHidden/>
          </w:rPr>
        </w:r>
        <w:r w:rsidR="00AA2D14">
          <w:rPr>
            <w:webHidden/>
          </w:rPr>
          <w:fldChar w:fldCharType="separate"/>
        </w:r>
        <w:r w:rsidR="00AA2D14">
          <w:rPr>
            <w:webHidden/>
          </w:rPr>
          <w:t>6</w:t>
        </w:r>
        <w:r w:rsidR="00AA2D14">
          <w:rPr>
            <w:webHidden/>
          </w:rPr>
          <w:fldChar w:fldCharType="end"/>
        </w:r>
      </w:hyperlink>
    </w:p>
    <w:p w14:paraId="33CDADCB" w14:textId="77777777" w:rsidR="00AA2D14" w:rsidRDefault="009B54BD">
      <w:pPr>
        <w:pStyle w:val="TOC1"/>
        <w:rPr>
          <w:rFonts w:asciiTheme="minorHAnsi" w:eastAsiaTheme="minorEastAsia" w:hAnsiTheme="minorHAnsi" w:cstheme="minorBidi"/>
          <w:sz w:val="22"/>
        </w:rPr>
      </w:pPr>
      <w:hyperlink w:anchor="_Toc441668470" w:history="1">
        <w:r w:rsidR="00AA2D14" w:rsidRPr="001515EA">
          <w:rPr>
            <w:rStyle w:val="Hyperlink"/>
          </w:rPr>
          <w:t>Topic 3: Evaluations Under Renal Dysfunctions</w:t>
        </w:r>
        <w:r w:rsidR="00AA2D14">
          <w:rPr>
            <w:webHidden/>
          </w:rPr>
          <w:tab/>
        </w:r>
        <w:r w:rsidR="00AA2D14">
          <w:rPr>
            <w:webHidden/>
          </w:rPr>
          <w:fldChar w:fldCharType="begin"/>
        </w:r>
        <w:r w:rsidR="00AA2D14">
          <w:rPr>
            <w:webHidden/>
          </w:rPr>
          <w:instrText xml:space="preserve"> PAGEREF _Toc441668470 \h </w:instrText>
        </w:r>
        <w:r w:rsidR="00AA2D14">
          <w:rPr>
            <w:webHidden/>
          </w:rPr>
        </w:r>
        <w:r w:rsidR="00AA2D14">
          <w:rPr>
            <w:webHidden/>
          </w:rPr>
          <w:fldChar w:fldCharType="separate"/>
        </w:r>
        <w:r w:rsidR="00AA2D14">
          <w:rPr>
            <w:webHidden/>
          </w:rPr>
          <w:t>7</w:t>
        </w:r>
        <w:r w:rsidR="00AA2D14">
          <w:rPr>
            <w:webHidden/>
          </w:rPr>
          <w:fldChar w:fldCharType="end"/>
        </w:r>
      </w:hyperlink>
    </w:p>
    <w:p w14:paraId="33CDADCC" w14:textId="77777777" w:rsidR="00AA2D14" w:rsidRDefault="009B54BD">
      <w:pPr>
        <w:pStyle w:val="TOC1"/>
        <w:rPr>
          <w:rFonts w:asciiTheme="minorHAnsi" w:eastAsiaTheme="minorEastAsia" w:hAnsiTheme="minorHAnsi" w:cstheme="minorBidi"/>
          <w:sz w:val="22"/>
        </w:rPr>
      </w:pPr>
      <w:hyperlink w:anchor="_Toc441668471" w:history="1">
        <w:r w:rsidR="00AA2D14" w:rsidRPr="001515EA">
          <w:rPr>
            <w:rStyle w:val="Hyperlink"/>
          </w:rPr>
          <w:t>Practical Exercise</w:t>
        </w:r>
        <w:r w:rsidR="00AA2D14">
          <w:rPr>
            <w:webHidden/>
          </w:rPr>
          <w:tab/>
        </w:r>
        <w:r w:rsidR="00AA2D14">
          <w:rPr>
            <w:webHidden/>
          </w:rPr>
          <w:fldChar w:fldCharType="begin"/>
        </w:r>
        <w:r w:rsidR="00AA2D14">
          <w:rPr>
            <w:webHidden/>
          </w:rPr>
          <w:instrText xml:space="preserve"> PAGEREF _Toc441668471 \h </w:instrText>
        </w:r>
        <w:r w:rsidR="00AA2D14">
          <w:rPr>
            <w:webHidden/>
          </w:rPr>
        </w:r>
        <w:r w:rsidR="00AA2D14">
          <w:rPr>
            <w:webHidden/>
          </w:rPr>
          <w:fldChar w:fldCharType="separate"/>
        </w:r>
        <w:r w:rsidR="00AA2D14">
          <w:rPr>
            <w:webHidden/>
          </w:rPr>
          <w:t>8</w:t>
        </w:r>
        <w:r w:rsidR="00AA2D14">
          <w:rPr>
            <w:webHidden/>
          </w:rPr>
          <w:fldChar w:fldCharType="end"/>
        </w:r>
      </w:hyperlink>
    </w:p>
    <w:p w14:paraId="33CDADCD" w14:textId="77777777" w:rsidR="007A5600" w:rsidRDefault="007A5600">
      <w:pPr>
        <w:pStyle w:val="VBATopicHeading1"/>
        <w:rPr>
          <w:sz w:val="24"/>
        </w:rPr>
      </w:pPr>
      <w:r>
        <w:rPr>
          <w:rStyle w:val="Hyperlink"/>
          <w:bCs/>
          <w:szCs w:val="24"/>
        </w:rPr>
        <w:fldChar w:fldCharType="end"/>
      </w:r>
    </w:p>
    <w:p w14:paraId="33CDADCE" w14:textId="77777777" w:rsidR="007A5600" w:rsidRDefault="007A5600"/>
    <w:p w14:paraId="33CDADCF" w14:textId="77777777" w:rsidR="007A5600" w:rsidRDefault="007A5600"/>
    <w:p w14:paraId="33CDADD0" w14:textId="77777777" w:rsidR="007A5600" w:rsidRDefault="007A5600"/>
    <w:p w14:paraId="33CDADD1" w14:textId="77777777" w:rsidR="007A5600" w:rsidRDefault="007A5600"/>
    <w:p w14:paraId="33CDADD2" w14:textId="77777777" w:rsidR="007A5600" w:rsidRDefault="007A5600"/>
    <w:p w14:paraId="33CDADD3" w14:textId="77777777" w:rsidR="007A5600" w:rsidRDefault="007A5600"/>
    <w:p w14:paraId="33CDADD4" w14:textId="77777777" w:rsidR="007A5600" w:rsidRDefault="007A5600"/>
    <w:p w14:paraId="33CDADD5" w14:textId="77777777" w:rsidR="007A5600" w:rsidRDefault="007A5600"/>
    <w:p w14:paraId="33CDADD6" w14:textId="77777777" w:rsidR="007A5600" w:rsidRDefault="007A5600">
      <w:pPr>
        <w:overflowPunct/>
        <w:autoSpaceDE/>
        <w:autoSpaceDN/>
        <w:adjustRightInd/>
        <w:spacing w:before="0"/>
      </w:pPr>
      <w:r>
        <w:br w:type="page"/>
      </w:r>
    </w:p>
    <w:p w14:paraId="33CDADD7" w14:textId="77777777" w:rsidR="007A5600" w:rsidRDefault="007A5600">
      <w:pPr>
        <w:pStyle w:val="VBATopicHeading1"/>
      </w:pPr>
      <w:bookmarkStart w:id="3" w:name="_Toc441668466"/>
      <w:bookmarkStart w:id="4" w:name="_Toc269888405"/>
      <w:bookmarkStart w:id="5" w:name="_Toc269888748"/>
      <w:bookmarkStart w:id="6" w:name="_Toc278291133"/>
      <w:r>
        <w:lastRenderedPageBreak/>
        <w:t>Objectives</w:t>
      </w:r>
      <w:bookmarkEnd w:id="3"/>
    </w:p>
    <w:p w14:paraId="33CDADD8" w14:textId="77777777" w:rsidR="002A630B" w:rsidRPr="007943D0" w:rsidRDefault="002A630B" w:rsidP="002A630B">
      <w:pPr>
        <w:pStyle w:val="VBAFirstLevelBullet"/>
      </w:pPr>
      <w:r w:rsidRPr="007943D0">
        <w:t>Identify genitourinary diagnoses and dysfunctions</w:t>
      </w:r>
    </w:p>
    <w:p w14:paraId="33CDADD9" w14:textId="77777777" w:rsidR="002A630B" w:rsidRPr="007943D0" w:rsidRDefault="002A630B" w:rsidP="002A630B">
      <w:pPr>
        <w:pStyle w:val="VBAFirstLevelBullet"/>
      </w:pPr>
      <w:r w:rsidRPr="007943D0">
        <w:t xml:space="preserve">Understand various rules and regulations governing the rating of genitourinary conditions  </w:t>
      </w:r>
    </w:p>
    <w:p w14:paraId="33CDADDA" w14:textId="77777777" w:rsidR="002A630B" w:rsidRPr="007943D0" w:rsidRDefault="002A630B" w:rsidP="002A630B">
      <w:pPr>
        <w:pStyle w:val="VBAFirstLevelBullet"/>
      </w:pPr>
      <w:r w:rsidRPr="007943D0">
        <w:t>Process claims pertaining to prostate cancer</w:t>
      </w:r>
    </w:p>
    <w:p w14:paraId="33CDADDB" w14:textId="77777777" w:rsidR="002A630B" w:rsidRPr="007943D0" w:rsidRDefault="002A630B" w:rsidP="002A630B">
      <w:pPr>
        <w:pStyle w:val="VBAFirstLevelBullet"/>
      </w:pPr>
      <w:r w:rsidRPr="007943D0">
        <w:t>Assign proper evaluations under 38 CFR 4.115a, Renal Dysfunction</w:t>
      </w:r>
    </w:p>
    <w:p w14:paraId="33CDADDC" w14:textId="77777777" w:rsidR="002A630B" w:rsidRPr="007943D0" w:rsidRDefault="002A630B" w:rsidP="002A630B">
      <w:pPr>
        <w:pStyle w:val="VBAFirstLevelBullet"/>
      </w:pPr>
      <w:r w:rsidRPr="007943D0">
        <w:t>Rate genitourinary conditions</w:t>
      </w:r>
    </w:p>
    <w:p w14:paraId="33CDADDD" w14:textId="77777777" w:rsidR="000E3279" w:rsidRDefault="000E3279" w:rsidP="000E3279">
      <w:pPr>
        <w:pStyle w:val="VBATopicHeading1"/>
        <w:jc w:val="left"/>
        <w:rPr>
          <w:rFonts w:ascii="Times New Roman" w:hAnsi="Times New Roman"/>
          <w:b w:val="0"/>
          <w:smallCaps w:val="0"/>
          <w:sz w:val="24"/>
          <w:szCs w:val="20"/>
        </w:rPr>
      </w:pPr>
    </w:p>
    <w:p w14:paraId="33CDADDE" w14:textId="77777777" w:rsidR="007A5600" w:rsidRDefault="007A5600" w:rsidP="000E3279">
      <w:pPr>
        <w:pStyle w:val="VBATopicHeading1"/>
      </w:pPr>
      <w:r>
        <w:br w:type="page"/>
      </w:r>
      <w:bookmarkStart w:id="7" w:name="_Toc441668467"/>
      <w:r>
        <w:lastRenderedPageBreak/>
        <w:t>References</w:t>
      </w:r>
      <w:bookmarkEnd w:id="7"/>
    </w:p>
    <w:p w14:paraId="33CDADDF" w14:textId="77777777" w:rsidR="00F86C93" w:rsidRDefault="00F86C93" w:rsidP="00F86C93">
      <w:pPr>
        <w:pStyle w:val="VBATopicHeading1"/>
        <w:ind w:left="720"/>
      </w:pPr>
    </w:p>
    <w:p w14:paraId="33CDADE0" w14:textId="77777777" w:rsidR="002A630B" w:rsidRPr="002A630B" w:rsidRDefault="009B54BD" w:rsidP="002A630B">
      <w:pPr>
        <w:pStyle w:val="ListParagraph"/>
        <w:numPr>
          <w:ilvl w:val="0"/>
          <w:numId w:val="18"/>
        </w:numPr>
        <w:spacing w:before="0"/>
        <w:textAlignment w:val="baseline"/>
      </w:pPr>
      <w:hyperlink r:id="rId12" w:history="1">
        <w:r w:rsidR="002A630B" w:rsidRPr="002A630B">
          <w:rPr>
            <w:color w:val="0000FF"/>
            <w:u w:val="single"/>
          </w:rPr>
          <w:t xml:space="preserve">38 CFR </w:t>
        </w:r>
      </w:hyperlink>
      <w:hyperlink r:id="rId13" w:history="1">
        <w:r w:rsidR="002A630B" w:rsidRPr="002A630B">
          <w:rPr>
            <w:color w:val="0000FF"/>
            <w:u w:val="single"/>
          </w:rPr>
          <w:t>3.307 - Presumptive service connection for chronic, tropical or prisoner-of-war related disease, or disease associated with exposure to certain herbicide agents; wartime and service on or after January 1, 1947.</w:t>
        </w:r>
      </w:hyperlink>
    </w:p>
    <w:p w14:paraId="33CDADE1" w14:textId="77777777" w:rsidR="002A630B" w:rsidRPr="002A630B" w:rsidRDefault="009B54BD" w:rsidP="002A630B">
      <w:pPr>
        <w:pStyle w:val="ListParagraph"/>
        <w:numPr>
          <w:ilvl w:val="0"/>
          <w:numId w:val="18"/>
        </w:numPr>
        <w:spacing w:before="0"/>
        <w:textAlignment w:val="baseline"/>
      </w:pPr>
      <w:hyperlink r:id="rId14" w:history="1">
        <w:r w:rsidR="002A630B" w:rsidRPr="002A630B">
          <w:rPr>
            <w:color w:val="0000FF"/>
            <w:u w:val="single"/>
          </w:rPr>
          <w:t>38 CFR 3.309 – Disease subject to presumptive service connection</w:t>
        </w:r>
      </w:hyperlink>
    </w:p>
    <w:p w14:paraId="33CDADE2" w14:textId="77777777" w:rsidR="002A630B" w:rsidRPr="002A630B" w:rsidRDefault="009B54BD" w:rsidP="002A630B">
      <w:pPr>
        <w:pStyle w:val="ListParagraph"/>
        <w:numPr>
          <w:ilvl w:val="0"/>
          <w:numId w:val="18"/>
        </w:numPr>
        <w:spacing w:before="0"/>
        <w:textAlignment w:val="baseline"/>
      </w:pPr>
      <w:hyperlink r:id="rId15" w:history="1">
        <w:r w:rsidR="002A630B" w:rsidRPr="002A630B">
          <w:rPr>
            <w:color w:val="0000FF"/>
            <w:u w:val="single"/>
          </w:rPr>
          <w:t xml:space="preserve">38 CFR 3.383(a) - Special consideration for paired organs and </w:t>
        </w:r>
      </w:hyperlink>
      <w:hyperlink r:id="rId16" w:history="1">
        <w:r w:rsidR="002A630B" w:rsidRPr="002A630B">
          <w:rPr>
            <w:color w:val="0000FF"/>
            <w:u w:val="single"/>
          </w:rPr>
          <w:t>extremities</w:t>
        </w:r>
      </w:hyperlink>
    </w:p>
    <w:p w14:paraId="33CDADE3" w14:textId="77777777" w:rsidR="002A630B" w:rsidRPr="002A630B" w:rsidRDefault="009B54BD" w:rsidP="002A630B">
      <w:pPr>
        <w:pStyle w:val="ListParagraph"/>
        <w:numPr>
          <w:ilvl w:val="0"/>
          <w:numId w:val="18"/>
        </w:numPr>
        <w:spacing w:before="0"/>
        <w:textAlignment w:val="baseline"/>
      </w:pPr>
      <w:hyperlink r:id="rId17" w:history="1">
        <w:r w:rsidR="002A630B" w:rsidRPr="002A630B">
          <w:rPr>
            <w:color w:val="0000FF"/>
            <w:u w:val="single"/>
          </w:rPr>
          <w:t>38 CFR 4.115 – Nephritis</w:t>
        </w:r>
      </w:hyperlink>
    </w:p>
    <w:p w14:paraId="33CDADE4" w14:textId="77777777" w:rsidR="002A630B" w:rsidRPr="002A630B" w:rsidRDefault="009B54BD" w:rsidP="002A630B">
      <w:pPr>
        <w:pStyle w:val="ListParagraph"/>
        <w:numPr>
          <w:ilvl w:val="0"/>
          <w:numId w:val="18"/>
        </w:numPr>
        <w:spacing w:before="0"/>
        <w:textAlignment w:val="baseline"/>
      </w:pPr>
      <w:hyperlink r:id="rId18" w:history="1">
        <w:r w:rsidR="002A630B" w:rsidRPr="002A630B">
          <w:rPr>
            <w:color w:val="0000FF"/>
            <w:u w:val="single"/>
          </w:rPr>
          <w:t>38 CFR 4.115a – Ratings of the genitourinary system – dysfunctions</w:t>
        </w:r>
      </w:hyperlink>
    </w:p>
    <w:p w14:paraId="33CDADE5" w14:textId="77777777" w:rsidR="002A630B" w:rsidRPr="002A630B" w:rsidRDefault="009B54BD" w:rsidP="002A630B">
      <w:pPr>
        <w:pStyle w:val="ListParagraph"/>
        <w:numPr>
          <w:ilvl w:val="0"/>
          <w:numId w:val="18"/>
        </w:numPr>
        <w:spacing w:before="0"/>
        <w:textAlignment w:val="baseline"/>
      </w:pPr>
      <w:hyperlink r:id="rId19" w:history="1">
        <w:r w:rsidR="002A630B" w:rsidRPr="002A630B">
          <w:rPr>
            <w:color w:val="0000FF"/>
            <w:u w:val="single"/>
          </w:rPr>
          <w:t>38 CFR 4.115b – Ratings of the genitourinary system - diagnoses</w:t>
        </w:r>
      </w:hyperlink>
    </w:p>
    <w:p w14:paraId="33CDADE6" w14:textId="77777777" w:rsidR="002A630B" w:rsidRPr="002A630B" w:rsidRDefault="009B54BD" w:rsidP="002A630B">
      <w:pPr>
        <w:pStyle w:val="ListParagraph"/>
        <w:numPr>
          <w:ilvl w:val="0"/>
          <w:numId w:val="18"/>
        </w:numPr>
        <w:spacing w:before="0"/>
        <w:textAlignment w:val="baseline"/>
      </w:pPr>
      <w:hyperlink r:id="rId20" w:history="1">
        <w:r w:rsidR="002A630B" w:rsidRPr="002A630B">
          <w:rPr>
            <w:color w:val="0000FF"/>
            <w:u w:val="single"/>
          </w:rPr>
          <w:t>M21-1, Part III, Subpart iv, Chapter 4, Section I - Conditions of Other Body Systems</w:t>
        </w:r>
      </w:hyperlink>
    </w:p>
    <w:p w14:paraId="33CDADE7" w14:textId="77777777" w:rsidR="00F86C93" w:rsidRDefault="00F86C93" w:rsidP="00F86C93">
      <w:pPr>
        <w:ind w:left="360"/>
      </w:pPr>
    </w:p>
    <w:p w14:paraId="33CDADE8"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33CDADE9" w14:textId="77777777" w:rsidR="007A5600" w:rsidRDefault="007A5600"/>
    <w:p w14:paraId="33CDADEA" w14:textId="77777777" w:rsidR="007A5600" w:rsidRDefault="007A5600"/>
    <w:p w14:paraId="33CDADEB" w14:textId="77777777" w:rsidR="007A5600" w:rsidRDefault="007A5600"/>
    <w:p w14:paraId="33CDADEC" w14:textId="77777777" w:rsidR="007A5600" w:rsidRDefault="007A5600"/>
    <w:p w14:paraId="33CDADED" w14:textId="77777777" w:rsidR="007A5600" w:rsidRDefault="007A5600"/>
    <w:p w14:paraId="33CDADEE" w14:textId="77777777" w:rsidR="007A5600" w:rsidRDefault="007A5600"/>
    <w:p w14:paraId="33CDADEF" w14:textId="77777777" w:rsidR="007A5600" w:rsidRDefault="007A5600"/>
    <w:p w14:paraId="33CDADF0" w14:textId="77777777" w:rsidR="007A5600" w:rsidRDefault="007A5600"/>
    <w:p w14:paraId="33CDADF1" w14:textId="77777777" w:rsidR="007A5600" w:rsidRDefault="007A5600"/>
    <w:p w14:paraId="33CDADF2" w14:textId="77777777" w:rsidR="007A5600" w:rsidRDefault="007A5600"/>
    <w:p w14:paraId="33CDADF3" w14:textId="77777777" w:rsidR="007A5600" w:rsidRDefault="007A5600"/>
    <w:p w14:paraId="33CDADF4" w14:textId="77777777" w:rsidR="007A5600" w:rsidRDefault="007A5600"/>
    <w:p w14:paraId="33CDADF5" w14:textId="77777777" w:rsidR="007A5600" w:rsidRDefault="007A5600"/>
    <w:p w14:paraId="33CDADF6" w14:textId="77777777" w:rsidR="007A5600" w:rsidRDefault="007A5600"/>
    <w:p w14:paraId="33CDADF7" w14:textId="77777777" w:rsidR="007A5600" w:rsidRDefault="007A5600"/>
    <w:p w14:paraId="33CDADF8" w14:textId="77777777" w:rsidR="007A5600" w:rsidRDefault="007A5600"/>
    <w:p w14:paraId="33CDADF9" w14:textId="77777777" w:rsidR="007A5600" w:rsidRDefault="007A5600"/>
    <w:p w14:paraId="33CDADFA" w14:textId="77777777" w:rsidR="007A5600" w:rsidRDefault="007A5600"/>
    <w:p w14:paraId="33CDADFB" w14:textId="77777777" w:rsidR="007A5600" w:rsidRDefault="007A5600"/>
    <w:p w14:paraId="33CDADFC" w14:textId="77777777" w:rsidR="007A5600" w:rsidRDefault="007A5600"/>
    <w:p w14:paraId="33CDADFD" w14:textId="77777777" w:rsidR="007A5600" w:rsidRDefault="007A5600">
      <w:pPr>
        <w:overflowPunct/>
        <w:autoSpaceDE/>
        <w:autoSpaceDN/>
        <w:adjustRightInd/>
        <w:spacing w:before="0"/>
        <w:rPr>
          <w:rFonts w:ascii="Times New Roman Bold" w:hAnsi="Times New Roman Bold"/>
          <w:b/>
          <w:smallCaps/>
          <w:color w:val="0070C0"/>
          <w:sz w:val="32"/>
          <w:szCs w:val="32"/>
        </w:rPr>
      </w:pPr>
    </w:p>
    <w:p w14:paraId="33CDADFE" w14:textId="77777777" w:rsidR="00AA1A39" w:rsidRPr="00715FF9" w:rsidRDefault="007A5600" w:rsidP="00D90DC8">
      <w:pPr>
        <w:pStyle w:val="VBATopicHeading1"/>
        <w:rPr>
          <w:bCs/>
          <w:i/>
        </w:rPr>
      </w:pPr>
      <w:bookmarkStart w:id="8" w:name="_Toc441668468"/>
      <w:r w:rsidRPr="00715FF9">
        <w:lastRenderedPageBreak/>
        <w:t xml:space="preserve">Topic 1: </w:t>
      </w:r>
      <w:r w:rsidR="002A630B" w:rsidRPr="00715FF9">
        <w:t>Common Considerations of the Genitourinary System</w:t>
      </w:r>
      <w:bookmarkEnd w:id="8"/>
    </w:p>
    <w:p w14:paraId="33CDADFF" w14:textId="77777777" w:rsidR="00975461" w:rsidRDefault="00975461">
      <w:pPr>
        <w:pStyle w:val="VBASubHeading1"/>
        <w:spacing w:before="0"/>
        <w:rPr>
          <w:bCs/>
          <w:i w:val="0"/>
        </w:rPr>
      </w:pPr>
    </w:p>
    <w:p w14:paraId="33CDAE00" w14:textId="77777777" w:rsidR="00975461" w:rsidRDefault="00975461">
      <w:pPr>
        <w:pStyle w:val="VBASubHeading1"/>
        <w:spacing w:before="0"/>
        <w:rPr>
          <w:bCs/>
          <w:i w:val="0"/>
        </w:rPr>
      </w:pPr>
    </w:p>
    <w:p w14:paraId="33CDAE01" w14:textId="77777777" w:rsidR="00B95C96" w:rsidRPr="00B95C96" w:rsidRDefault="00B95C96" w:rsidP="00B95C96">
      <w:pPr>
        <w:tabs>
          <w:tab w:val="left" w:pos="590"/>
        </w:tabs>
        <w:spacing w:after="120"/>
        <w:textAlignment w:val="baseline"/>
        <w:rPr>
          <w:szCs w:val="24"/>
        </w:rPr>
      </w:pPr>
      <w:r w:rsidRPr="00B95C96">
        <w:rPr>
          <w:szCs w:val="24"/>
        </w:rPr>
        <w:t>Topic objectives:</w:t>
      </w:r>
    </w:p>
    <w:p w14:paraId="33CDAE02" w14:textId="77777777" w:rsidR="00B95C96" w:rsidRPr="00B95C96" w:rsidRDefault="00B95C96" w:rsidP="00B95C96">
      <w:pPr>
        <w:numPr>
          <w:ilvl w:val="0"/>
          <w:numId w:val="19"/>
        </w:numPr>
        <w:tabs>
          <w:tab w:val="left" w:pos="590"/>
        </w:tabs>
        <w:spacing w:before="60" w:after="60"/>
        <w:textAlignment w:val="baseline"/>
        <w:rPr>
          <w:szCs w:val="24"/>
        </w:rPr>
      </w:pPr>
      <w:r w:rsidRPr="00B95C96">
        <w:rPr>
          <w:szCs w:val="24"/>
        </w:rPr>
        <w:t>Identify genitourinary diagnoses and dysfunctions</w:t>
      </w:r>
    </w:p>
    <w:p w14:paraId="33CDAE03" w14:textId="77777777" w:rsidR="00B95C96" w:rsidRPr="00B95C96" w:rsidRDefault="00B95C96" w:rsidP="00B95C96">
      <w:pPr>
        <w:numPr>
          <w:ilvl w:val="0"/>
          <w:numId w:val="19"/>
        </w:numPr>
        <w:tabs>
          <w:tab w:val="left" w:pos="590"/>
        </w:tabs>
        <w:spacing w:before="60" w:after="60"/>
        <w:textAlignment w:val="baseline"/>
        <w:rPr>
          <w:szCs w:val="24"/>
        </w:rPr>
      </w:pPr>
      <w:r w:rsidRPr="00B95C96">
        <w:rPr>
          <w:szCs w:val="24"/>
        </w:rPr>
        <w:t xml:space="preserve">Understand various rules and regulations governing the rating of genitourinary conditions  </w:t>
      </w:r>
    </w:p>
    <w:p w14:paraId="33CDAE04" w14:textId="77777777" w:rsidR="00B95C96" w:rsidRDefault="00B95C96" w:rsidP="00B95C96">
      <w:pPr>
        <w:pStyle w:val="VBASubHeading1"/>
        <w:spacing w:before="0"/>
        <w:rPr>
          <w:bCs/>
          <w:i w:val="0"/>
        </w:rPr>
      </w:pPr>
    </w:p>
    <w:p w14:paraId="33CDAE05" w14:textId="77777777" w:rsidR="00B95C96" w:rsidRPr="00B95C96" w:rsidRDefault="00B95C96" w:rsidP="00B95C96">
      <w:pPr>
        <w:tabs>
          <w:tab w:val="left" w:pos="590"/>
        </w:tabs>
        <w:spacing w:after="120"/>
        <w:textAlignment w:val="baseline"/>
        <w:rPr>
          <w:bCs/>
          <w:szCs w:val="24"/>
        </w:rPr>
      </w:pPr>
      <w:r w:rsidRPr="00B95C96">
        <w:rPr>
          <w:szCs w:val="24"/>
        </w:rPr>
        <w:t>The following topic teaching points support the topic objectives</w:t>
      </w:r>
      <w:r w:rsidRPr="00B95C96">
        <w:rPr>
          <w:bCs/>
          <w:szCs w:val="24"/>
        </w:rPr>
        <w:t xml:space="preserve">: </w:t>
      </w:r>
    </w:p>
    <w:p w14:paraId="33CDAE06" w14:textId="77777777" w:rsidR="00B95C96" w:rsidRPr="00B95C96" w:rsidRDefault="00B95C96" w:rsidP="00B95C96">
      <w:pPr>
        <w:numPr>
          <w:ilvl w:val="0"/>
          <w:numId w:val="19"/>
        </w:numPr>
        <w:tabs>
          <w:tab w:val="left" w:pos="590"/>
        </w:tabs>
        <w:spacing w:after="60"/>
        <w:textAlignment w:val="baseline"/>
        <w:rPr>
          <w:szCs w:val="24"/>
        </w:rPr>
      </w:pPr>
      <w:r w:rsidRPr="00B95C96">
        <w:rPr>
          <w:szCs w:val="24"/>
        </w:rPr>
        <w:t>Erectile Dysfunction/Loss of Use of a Creative Organ</w:t>
      </w:r>
    </w:p>
    <w:p w14:paraId="33CDAE07" w14:textId="62B07E5A" w:rsidR="00B95C96" w:rsidRDefault="00CB42E5" w:rsidP="00B95C96">
      <w:pPr>
        <w:numPr>
          <w:ilvl w:val="0"/>
          <w:numId w:val="19"/>
        </w:numPr>
        <w:tabs>
          <w:tab w:val="left" w:pos="590"/>
        </w:tabs>
        <w:spacing w:before="60" w:after="60"/>
        <w:textAlignment w:val="baseline"/>
        <w:rPr>
          <w:szCs w:val="24"/>
        </w:rPr>
      </w:pPr>
      <w:r>
        <w:rPr>
          <w:szCs w:val="24"/>
        </w:rPr>
        <w:t>Nephritis</w:t>
      </w:r>
      <w:r w:rsidR="00B95C96" w:rsidRPr="00B95C96">
        <w:rPr>
          <w:szCs w:val="24"/>
        </w:rPr>
        <w:t>Nephtitis vs. Nephropathy</w:t>
      </w:r>
    </w:p>
    <w:p w14:paraId="33CDAE08" w14:textId="77777777" w:rsidR="00B95C96" w:rsidRDefault="00B95C96" w:rsidP="00B95C96">
      <w:pPr>
        <w:numPr>
          <w:ilvl w:val="0"/>
          <w:numId w:val="19"/>
        </w:numPr>
        <w:tabs>
          <w:tab w:val="left" w:pos="590"/>
        </w:tabs>
        <w:spacing w:before="60" w:after="60"/>
        <w:textAlignment w:val="baseline"/>
        <w:rPr>
          <w:szCs w:val="24"/>
        </w:rPr>
      </w:pPr>
      <w:r w:rsidRPr="00B95C96">
        <w:rPr>
          <w:szCs w:val="24"/>
        </w:rPr>
        <w:t>Calculi of the Kidney, Bladder, or Gallbladder</w:t>
      </w:r>
    </w:p>
    <w:p w14:paraId="33CDAE09" w14:textId="77777777" w:rsidR="00B95C96" w:rsidRDefault="00B95C96" w:rsidP="00B95C96">
      <w:pPr>
        <w:tabs>
          <w:tab w:val="left" w:pos="590"/>
        </w:tabs>
        <w:spacing w:before="60" w:after="60"/>
        <w:textAlignment w:val="baseline"/>
        <w:rPr>
          <w:szCs w:val="24"/>
        </w:rPr>
      </w:pPr>
    </w:p>
    <w:p w14:paraId="33CDAE0A" w14:textId="77777777" w:rsidR="00B95C96" w:rsidRDefault="00B95C96" w:rsidP="00B95C96">
      <w:pPr>
        <w:tabs>
          <w:tab w:val="left" w:pos="590"/>
        </w:tabs>
        <w:spacing w:before="60" w:after="60"/>
        <w:textAlignment w:val="baseline"/>
        <w:rPr>
          <w:szCs w:val="24"/>
        </w:rPr>
      </w:pPr>
    </w:p>
    <w:p w14:paraId="33CDAE0B" w14:textId="77777777" w:rsidR="00B95C96" w:rsidRPr="006E6790" w:rsidRDefault="00B95C96" w:rsidP="00B95C96">
      <w:pPr>
        <w:tabs>
          <w:tab w:val="left" w:pos="590"/>
        </w:tabs>
        <w:spacing w:before="60" w:after="60"/>
        <w:textAlignment w:val="baseline"/>
        <w:rPr>
          <w:b/>
        </w:rPr>
      </w:pPr>
      <w:r w:rsidRPr="006E6790">
        <w:rPr>
          <w:b/>
        </w:rPr>
        <w:t>Erectile dysfunction and SMC K</w:t>
      </w:r>
    </w:p>
    <w:p w14:paraId="33CDAE0C" w14:textId="77777777" w:rsidR="00B95C96" w:rsidRDefault="00B95C96" w:rsidP="00B95C96">
      <w:pPr>
        <w:tabs>
          <w:tab w:val="left" w:pos="590"/>
        </w:tabs>
        <w:spacing w:before="60" w:after="60"/>
        <w:textAlignment w:val="baseline"/>
      </w:pPr>
    </w:p>
    <w:p w14:paraId="33CDAE0D" w14:textId="77777777" w:rsidR="00B95C96" w:rsidRDefault="00B95C96" w:rsidP="006E6790">
      <w:pPr>
        <w:pStyle w:val="ListParagraph"/>
        <w:numPr>
          <w:ilvl w:val="0"/>
          <w:numId w:val="21"/>
        </w:numPr>
        <w:tabs>
          <w:tab w:val="left" w:pos="590"/>
        </w:tabs>
        <w:spacing w:before="60" w:after="60"/>
        <w:textAlignment w:val="baseline"/>
        <w:rPr>
          <w:szCs w:val="24"/>
        </w:rPr>
      </w:pPr>
      <w:r>
        <w:rPr>
          <w:szCs w:val="24"/>
        </w:rPr>
        <w:t>Use DC 7522 – penis deformity, with loss of erectile power</w:t>
      </w:r>
    </w:p>
    <w:p w14:paraId="33CDAE0E" w14:textId="77777777" w:rsidR="00B95C96" w:rsidRDefault="00B95C96" w:rsidP="006E6790">
      <w:pPr>
        <w:pStyle w:val="ListParagraph"/>
        <w:numPr>
          <w:ilvl w:val="0"/>
          <w:numId w:val="21"/>
        </w:numPr>
        <w:tabs>
          <w:tab w:val="left" w:pos="590"/>
        </w:tabs>
        <w:spacing w:before="60" w:after="60"/>
        <w:textAlignment w:val="baseline"/>
        <w:rPr>
          <w:szCs w:val="24"/>
        </w:rPr>
      </w:pPr>
      <w:r>
        <w:rPr>
          <w:szCs w:val="24"/>
        </w:rPr>
        <w:t>Per 38 CFR 4.31 – zero percent evaluations, a non-compensable evaluation may be assigned for DC 7522 when erectile dysfunction is diagnosed in the absence of penile deformity</w:t>
      </w:r>
    </w:p>
    <w:p w14:paraId="33CDAE0F" w14:textId="77777777" w:rsidR="00B95C96" w:rsidRDefault="006E6790" w:rsidP="006E6790">
      <w:pPr>
        <w:pStyle w:val="ListParagraph"/>
        <w:numPr>
          <w:ilvl w:val="0"/>
          <w:numId w:val="21"/>
        </w:numPr>
        <w:tabs>
          <w:tab w:val="left" w:pos="590"/>
        </w:tabs>
        <w:spacing w:before="60" w:after="60"/>
        <w:textAlignment w:val="baseline"/>
        <w:rPr>
          <w:szCs w:val="24"/>
        </w:rPr>
      </w:pPr>
      <w:r>
        <w:rPr>
          <w:szCs w:val="24"/>
        </w:rPr>
        <w:t>Consider entitlement to SMC K, loss of use of a creative organ</w:t>
      </w:r>
    </w:p>
    <w:p w14:paraId="33CDAE10" w14:textId="77777777" w:rsidR="006E6790" w:rsidRDefault="006E6790" w:rsidP="006E6790">
      <w:pPr>
        <w:pStyle w:val="ListParagraph"/>
        <w:numPr>
          <w:ilvl w:val="1"/>
          <w:numId w:val="21"/>
        </w:numPr>
        <w:tabs>
          <w:tab w:val="left" w:pos="590"/>
        </w:tabs>
        <w:spacing w:before="60" w:after="60"/>
        <w:textAlignment w:val="baseline"/>
        <w:rPr>
          <w:szCs w:val="24"/>
        </w:rPr>
      </w:pPr>
      <w:r>
        <w:rPr>
          <w:szCs w:val="24"/>
        </w:rPr>
        <w:t>This is a factual determination, not automatic</w:t>
      </w:r>
    </w:p>
    <w:p w14:paraId="33CDAE11" w14:textId="77777777" w:rsidR="006E6790" w:rsidRDefault="006E6790" w:rsidP="006E6790">
      <w:pPr>
        <w:pStyle w:val="ListParagraph"/>
        <w:numPr>
          <w:ilvl w:val="0"/>
          <w:numId w:val="21"/>
        </w:numPr>
        <w:tabs>
          <w:tab w:val="left" w:pos="590"/>
        </w:tabs>
        <w:spacing w:before="60" w:after="60"/>
        <w:textAlignment w:val="baseline"/>
        <w:rPr>
          <w:szCs w:val="24"/>
        </w:rPr>
      </w:pPr>
      <w:r>
        <w:rPr>
          <w:szCs w:val="24"/>
        </w:rPr>
        <w:t>Remember Note 1 under DC 7913 diabetes mellitus</w:t>
      </w:r>
    </w:p>
    <w:p w14:paraId="33CDAE12" w14:textId="77777777" w:rsidR="006E6790" w:rsidRDefault="006E6790" w:rsidP="006E6790">
      <w:pPr>
        <w:tabs>
          <w:tab w:val="left" w:pos="590"/>
        </w:tabs>
        <w:spacing w:before="60" w:after="60"/>
        <w:textAlignment w:val="baseline"/>
        <w:rPr>
          <w:szCs w:val="24"/>
        </w:rPr>
      </w:pPr>
    </w:p>
    <w:p w14:paraId="33CDAE13" w14:textId="77777777" w:rsidR="006E6790" w:rsidRDefault="006E6790" w:rsidP="006E6790">
      <w:pPr>
        <w:tabs>
          <w:tab w:val="left" w:pos="590"/>
        </w:tabs>
        <w:spacing w:before="60" w:after="60"/>
        <w:textAlignment w:val="baseline"/>
        <w:rPr>
          <w:szCs w:val="24"/>
        </w:rPr>
      </w:pPr>
    </w:p>
    <w:p w14:paraId="33CDAE14" w14:textId="77777777" w:rsidR="006E6790" w:rsidRDefault="006E6790" w:rsidP="006E6790">
      <w:pPr>
        <w:tabs>
          <w:tab w:val="left" w:pos="590"/>
        </w:tabs>
        <w:spacing w:before="60" w:after="60"/>
        <w:textAlignment w:val="baseline"/>
        <w:rPr>
          <w:b/>
          <w:szCs w:val="24"/>
        </w:rPr>
      </w:pPr>
      <w:r w:rsidRPr="006E6790">
        <w:rPr>
          <w:b/>
          <w:szCs w:val="24"/>
        </w:rPr>
        <w:t>Nephritis vs. Nephropathy</w:t>
      </w:r>
    </w:p>
    <w:p w14:paraId="33CDAE15" w14:textId="77777777" w:rsidR="006E6790" w:rsidRDefault="006E6790" w:rsidP="006E6790">
      <w:pPr>
        <w:tabs>
          <w:tab w:val="left" w:pos="590"/>
        </w:tabs>
        <w:spacing w:before="60" w:after="60"/>
        <w:textAlignment w:val="baseline"/>
        <w:rPr>
          <w:b/>
          <w:szCs w:val="24"/>
        </w:rPr>
      </w:pPr>
    </w:p>
    <w:p w14:paraId="33CDAE16" w14:textId="77777777" w:rsidR="006E6790" w:rsidRDefault="006E6790" w:rsidP="006E6790">
      <w:pPr>
        <w:pStyle w:val="ListParagraph"/>
        <w:numPr>
          <w:ilvl w:val="0"/>
          <w:numId w:val="22"/>
        </w:numPr>
        <w:tabs>
          <w:tab w:val="left" w:pos="590"/>
        </w:tabs>
        <w:spacing w:before="60" w:after="60"/>
        <w:textAlignment w:val="baseline"/>
        <w:rPr>
          <w:szCs w:val="24"/>
        </w:rPr>
      </w:pPr>
      <w:r w:rsidRPr="006E6790">
        <w:rPr>
          <w:szCs w:val="24"/>
        </w:rPr>
        <w:t>Nephritis is defined as an inflammatory kidney disease</w:t>
      </w:r>
    </w:p>
    <w:p w14:paraId="33CDAE17" w14:textId="77777777" w:rsidR="006E6790" w:rsidRDefault="006E6790" w:rsidP="006E6790">
      <w:pPr>
        <w:pStyle w:val="ListParagraph"/>
        <w:numPr>
          <w:ilvl w:val="0"/>
          <w:numId w:val="22"/>
        </w:numPr>
        <w:tabs>
          <w:tab w:val="left" w:pos="590"/>
        </w:tabs>
        <w:spacing w:before="60" w:after="60"/>
        <w:textAlignment w:val="baseline"/>
        <w:rPr>
          <w:szCs w:val="24"/>
        </w:rPr>
      </w:pPr>
      <w:r>
        <w:rPr>
          <w:szCs w:val="24"/>
        </w:rPr>
        <w:t>N</w:t>
      </w:r>
      <w:r w:rsidRPr="006E6790">
        <w:rPr>
          <w:szCs w:val="24"/>
        </w:rPr>
        <w:t>ephropathy is considered damage to, or disease of, the kidney</w:t>
      </w:r>
      <w:r>
        <w:rPr>
          <w:szCs w:val="24"/>
        </w:rPr>
        <w:t xml:space="preserve"> </w:t>
      </w:r>
    </w:p>
    <w:p w14:paraId="33CDAE18" w14:textId="77777777" w:rsidR="006E6790" w:rsidRPr="006E6790" w:rsidRDefault="006E6790" w:rsidP="006E6790">
      <w:pPr>
        <w:pStyle w:val="ListParagraph"/>
        <w:numPr>
          <w:ilvl w:val="0"/>
          <w:numId w:val="22"/>
        </w:numPr>
        <w:tabs>
          <w:tab w:val="left" w:pos="590"/>
        </w:tabs>
        <w:spacing w:before="60" w:after="60"/>
        <w:textAlignment w:val="baseline"/>
        <w:rPr>
          <w:szCs w:val="24"/>
        </w:rPr>
      </w:pPr>
      <w:r>
        <w:rPr>
          <w:szCs w:val="24"/>
        </w:rPr>
        <w:t xml:space="preserve">38 CFR 4.115 – nephritis, </w:t>
      </w:r>
      <w:r w:rsidRPr="007943D0">
        <w:t>directs us that “separate ratings are not to be assigned for disability from disease of the heart and any form of nephritis, on account of the close interrelationships of cardiovascular disabilities.”</w:t>
      </w:r>
    </w:p>
    <w:p w14:paraId="33CDAE19" w14:textId="77777777" w:rsidR="006E6790" w:rsidRPr="006E6790" w:rsidRDefault="006E6790" w:rsidP="006E6790">
      <w:pPr>
        <w:pStyle w:val="ListParagraph"/>
        <w:numPr>
          <w:ilvl w:val="1"/>
          <w:numId w:val="22"/>
        </w:numPr>
        <w:tabs>
          <w:tab w:val="left" w:pos="590"/>
        </w:tabs>
        <w:spacing w:before="60" w:after="60"/>
        <w:textAlignment w:val="baseline"/>
        <w:rPr>
          <w:szCs w:val="24"/>
        </w:rPr>
      </w:pPr>
      <w:r>
        <w:t>Two exceptions to this</w:t>
      </w:r>
    </w:p>
    <w:p w14:paraId="33CDAE1A" w14:textId="77777777" w:rsidR="006E6790" w:rsidRPr="006E6790" w:rsidRDefault="006E6790" w:rsidP="006E6790">
      <w:pPr>
        <w:pStyle w:val="ListParagraph"/>
        <w:numPr>
          <w:ilvl w:val="2"/>
          <w:numId w:val="22"/>
        </w:numPr>
        <w:tabs>
          <w:tab w:val="left" w:pos="590"/>
        </w:tabs>
        <w:spacing w:before="60" w:after="60"/>
        <w:textAlignment w:val="baseline"/>
        <w:rPr>
          <w:szCs w:val="24"/>
        </w:rPr>
      </w:pPr>
      <w:r w:rsidRPr="006E6790">
        <w:rPr>
          <w:szCs w:val="24"/>
        </w:rPr>
        <w:t>If the absence of a kidney is the sole renal disability, or</w:t>
      </w:r>
    </w:p>
    <w:p w14:paraId="33CDAE1B" w14:textId="77777777" w:rsidR="006E6790" w:rsidRPr="006E6790" w:rsidRDefault="006E6790" w:rsidP="006E6790">
      <w:pPr>
        <w:pStyle w:val="ListParagraph"/>
        <w:numPr>
          <w:ilvl w:val="2"/>
          <w:numId w:val="22"/>
        </w:numPr>
        <w:tabs>
          <w:tab w:val="left" w:pos="590"/>
        </w:tabs>
        <w:spacing w:before="60" w:after="60"/>
        <w:textAlignment w:val="baseline"/>
        <w:rPr>
          <w:szCs w:val="24"/>
        </w:rPr>
      </w:pPr>
      <w:r w:rsidRPr="006E6790">
        <w:rPr>
          <w:szCs w:val="24"/>
        </w:rPr>
        <w:t>In the event chronic renal disease has progressed to the point where regular dialysis is required</w:t>
      </w:r>
    </w:p>
    <w:p w14:paraId="33CDAE1C" w14:textId="77777777" w:rsidR="006E6790" w:rsidRPr="006E6790" w:rsidRDefault="006E6790" w:rsidP="006E6790">
      <w:pPr>
        <w:pStyle w:val="ListParagraph"/>
        <w:numPr>
          <w:ilvl w:val="1"/>
          <w:numId w:val="22"/>
        </w:numPr>
        <w:tabs>
          <w:tab w:val="left" w:pos="590"/>
        </w:tabs>
        <w:spacing w:before="60" w:after="60"/>
        <w:textAlignment w:val="baseline"/>
        <w:rPr>
          <w:szCs w:val="24"/>
        </w:rPr>
      </w:pPr>
      <w:r w:rsidRPr="007943D0">
        <w:t>In these circumstances, any coexisting hypertension or heart disease will be separately rated</w:t>
      </w:r>
    </w:p>
    <w:p w14:paraId="33CDAE1D" w14:textId="77777777" w:rsidR="006E6790" w:rsidRDefault="006E6790" w:rsidP="006E6790">
      <w:pPr>
        <w:tabs>
          <w:tab w:val="left" w:pos="590"/>
        </w:tabs>
        <w:spacing w:before="60" w:after="60"/>
        <w:textAlignment w:val="baseline"/>
        <w:rPr>
          <w:szCs w:val="24"/>
        </w:rPr>
      </w:pPr>
    </w:p>
    <w:p w14:paraId="33CDAE1E" w14:textId="77777777" w:rsidR="006E6790" w:rsidRDefault="00724AD5" w:rsidP="00724AD5">
      <w:pPr>
        <w:pStyle w:val="ListParagraph"/>
        <w:numPr>
          <w:ilvl w:val="0"/>
          <w:numId w:val="23"/>
        </w:numPr>
        <w:tabs>
          <w:tab w:val="left" w:pos="590"/>
        </w:tabs>
        <w:spacing w:before="60" w:after="60"/>
        <w:textAlignment w:val="baseline"/>
        <w:rPr>
          <w:szCs w:val="24"/>
        </w:rPr>
      </w:pPr>
      <w:r>
        <w:rPr>
          <w:szCs w:val="24"/>
        </w:rPr>
        <w:lastRenderedPageBreak/>
        <w:t>Nephropathy is a common complication of diabetes mellitus, type II</w:t>
      </w:r>
    </w:p>
    <w:p w14:paraId="33CDAE1F" w14:textId="77777777" w:rsidR="00724AD5" w:rsidRDefault="00724AD5" w:rsidP="00724AD5">
      <w:pPr>
        <w:pStyle w:val="ListParagraph"/>
        <w:numPr>
          <w:ilvl w:val="0"/>
          <w:numId w:val="23"/>
        </w:numPr>
        <w:tabs>
          <w:tab w:val="left" w:pos="590"/>
        </w:tabs>
        <w:spacing w:before="60" w:after="60"/>
        <w:textAlignment w:val="baseline"/>
        <w:rPr>
          <w:szCs w:val="24"/>
        </w:rPr>
      </w:pPr>
      <w:r>
        <w:rPr>
          <w:szCs w:val="24"/>
        </w:rPr>
        <w:t>Nephropathy may be evaluated using many of the genitourinary dysfunctions</w:t>
      </w:r>
    </w:p>
    <w:p w14:paraId="33CDAE20" w14:textId="77777777" w:rsidR="00724AD5" w:rsidRPr="00724AD5" w:rsidRDefault="00724AD5" w:rsidP="00724AD5">
      <w:pPr>
        <w:pStyle w:val="ListParagraph"/>
        <w:numPr>
          <w:ilvl w:val="1"/>
          <w:numId w:val="23"/>
        </w:numPr>
        <w:tabs>
          <w:tab w:val="left" w:pos="590"/>
        </w:tabs>
        <w:spacing w:before="60" w:after="60"/>
        <w:textAlignment w:val="baseline"/>
        <w:rPr>
          <w:szCs w:val="24"/>
        </w:rPr>
      </w:pPr>
      <w:r w:rsidRPr="00724AD5">
        <w:rPr>
          <w:szCs w:val="24"/>
        </w:rPr>
        <w:t>renal dysfunction, if renal function is affected</w:t>
      </w:r>
    </w:p>
    <w:p w14:paraId="33CDAE21" w14:textId="77777777" w:rsidR="00724AD5" w:rsidRPr="00724AD5" w:rsidRDefault="00724AD5" w:rsidP="00724AD5">
      <w:pPr>
        <w:pStyle w:val="ListParagraph"/>
        <w:numPr>
          <w:ilvl w:val="1"/>
          <w:numId w:val="23"/>
        </w:numPr>
        <w:tabs>
          <w:tab w:val="left" w:pos="590"/>
        </w:tabs>
        <w:spacing w:before="60" w:after="60"/>
        <w:textAlignment w:val="baseline"/>
        <w:rPr>
          <w:szCs w:val="24"/>
        </w:rPr>
      </w:pPr>
      <w:r w:rsidRPr="00724AD5">
        <w:rPr>
          <w:szCs w:val="24"/>
        </w:rPr>
        <w:t>voiding dysfunction, if there is incontinence from autonomic nephropathy</w:t>
      </w:r>
    </w:p>
    <w:p w14:paraId="33CDAE22" w14:textId="77777777" w:rsidR="00724AD5" w:rsidRPr="00724AD5" w:rsidRDefault="00724AD5" w:rsidP="00724AD5">
      <w:pPr>
        <w:pStyle w:val="ListParagraph"/>
        <w:numPr>
          <w:ilvl w:val="1"/>
          <w:numId w:val="23"/>
        </w:numPr>
        <w:tabs>
          <w:tab w:val="left" w:pos="590"/>
        </w:tabs>
        <w:spacing w:before="60" w:after="60"/>
        <w:textAlignment w:val="baseline"/>
        <w:rPr>
          <w:szCs w:val="24"/>
        </w:rPr>
      </w:pPr>
      <w:r w:rsidRPr="00724AD5">
        <w:rPr>
          <w:szCs w:val="24"/>
        </w:rPr>
        <w:t>urinary tract infection, if there is chronic pyelonephritis, as appropriate</w:t>
      </w:r>
    </w:p>
    <w:p w14:paraId="33CDAE23" w14:textId="77777777" w:rsidR="00724AD5" w:rsidRPr="00724AD5" w:rsidRDefault="00724AD5" w:rsidP="00724AD5">
      <w:pPr>
        <w:pStyle w:val="ListParagraph"/>
        <w:numPr>
          <w:ilvl w:val="1"/>
          <w:numId w:val="23"/>
        </w:numPr>
        <w:tabs>
          <w:tab w:val="left" w:pos="590"/>
        </w:tabs>
        <w:spacing w:before="60" w:after="60"/>
        <w:textAlignment w:val="baseline"/>
        <w:rPr>
          <w:szCs w:val="24"/>
        </w:rPr>
      </w:pPr>
      <w:r w:rsidRPr="00724AD5">
        <w:rPr>
          <w:szCs w:val="24"/>
        </w:rPr>
        <w:t>kidney transplant</w:t>
      </w:r>
    </w:p>
    <w:p w14:paraId="33CDAE24" w14:textId="77777777" w:rsidR="00724AD5" w:rsidRPr="00724AD5" w:rsidRDefault="00724AD5" w:rsidP="00724AD5">
      <w:pPr>
        <w:pStyle w:val="ListParagraph"/>
        <w:numPr>
          <w:ilvl w:val="1"/>
          <w:numId w:val="23"/>
        </w:numPr>
        <w:tabs>
          <w:tab w:val="left" w:pos="590"/>
        </w:tabs>
        <w:spacing w:before="60" w:after="60"/>
        <w:textAlignment w:val="baseline"/>
        <w:rPr>
          <w:szCs w:val="24"/>
        </w:rPr>
      </w:pPr>
      <w:r w:rsidRPr="00724AD5">
        <w:rPr>
          <w:szCs w:val="24"/>
        </w:rPr>
        <w:t>hemodialysis, or</w:t>
      </w:r>
    </w:p>
    <w:p w14:paraId="33CDAE25" w14:textId="77777777" w:rsidR="00724AD5" w:rsidRDefault="00724AD5" w:rsidP="00724AD5">
      <w:pPr>
        <w:pStyle w:val="ListParagraph"/>
        <w:numPr>
          <w:ilvl w:val="1"/>
          <w:numId w:val="23"/>
        </w:numPr>
        <w:tabs>
          <w:tab w:val="left" w:pos="590"/>
        </w:tabs>
        <w:spacing w:before="60" w:after="60"/>
        <w:textAlignment w:val="baseline"/>
        <w:rPr>
          <w:szCs w:val="24"/>
        </w:rPr>
      </w:pPr>
      <w:r w:rsidRPr="00724AD5">
        <w:rPr>
          <w:szCs w:val="24"/>
        </w:rPr>
        <w:t>nephrectomy</w:t>
      </w:r>
    </w:p>
    <w:p w14:paraId="33CDAE26" w14:textId="77777777" w:rsidR="00724AD5" w:rsidRDefault="00724AD5" w:rsidP="00724AD5">
      <w:pPr>
        <w:tabs>
          <w:tab w:val="left" w:pos="590"/>
        </w:tabs>
        <w:spacing w:before="60" w:after="60"/>
        <w:textAlignment w:val="baseline"/>
        <w:rPr>
          <w:szCs w:val="24"/>
        </w:rPr>
      </w:pPr>
    </w:p>
    <w:p w14:paraId="33CDAE27" w14:textId="77777777" w:rsidR="00724AD5" w:rsidRDefault="00724AD5" w:rsidP="00724AD5">
      <w:pPr>
        <w:tabs>
          <w:tab w:val="left" w:pos="590"/>
        </w:tabs>
        <w:spacing w:before="60" w:after="60"/>
        <w:textAlignment w:val="baseline"/>
        <w:rPr>
          <w:szCs w:val="24"/>
        </w:rPr>
      </w:pPr>
      <w:r w:rsidRPr="00724AD5">
        <w:rPr>
          <w:b/>
          <w:szCs w:val="24"/>
        </w:rPr>
        <w:t>Nephrolithiasis/Ureterolithiasis</w:t>
      </w:r>
    </w:p>
    <w:p w14:paraId="33CDAE28" w14:textId="77777777" w:rsidR="00724AD5" w:rsidRDefault="00724AD5" w:rsidP="00724AD5">
      <w:pPr>
        <w:tabs>
          <w:tab w:val="left" w:pos="590"/>
        </w:tabs>
        <w:spacing w:before="60" w:after="60"/>
        <w:textAlignment w:val="baseline"/>
        <w:rPr>
          <w:szCs w:val="24"/>
        </w:rPr>
      </w:pPr>
    </w:p>
    <w:p w14:paraId="33CDAE29" w14:textId="77777777" w:rsidR="00724AD5" w:rsidRPr="00724AD5" w:rsidRDefault="00724AD5" w:rsidP="00724AD5">
      <w:pPr>
        <w:pStyle w:val="ListParagraph"/>
        <w:numPr>
          <w:ilvl w:val="0"/>
          <w:numId w:val="25"/>
        </w:numPr>
        <w:rPr>
          <w:szCs w:val="24"/>
        </w:rPr>
      </w:pPr>
      <w:r w:rsidRPr="00724AD5">
        <w:rPr>
          <w:szCs w:val="24"/>
        </w:rPr>
        <w:t>Lithiasis is defined as the formation of stony concretions (calculi) in the body, most often in the gallbladder or urinary system</w:t>
      </w:r>
    </w:p>
    <w:p w14:paraId="33CDAE2A" w14:textId="77777777" w:rsidR="00724AD5" w:rsidRPr="00724AD5" w:rsidRDefault="00724AD5" w:rsidP="00724AD5">
      <w:pPr>
        <w:pStyle w:val="ListParagraph"/>
        <w:numPr>
          <w:ilvl w:val="0"/>
          <w:numId w:val="24"/>
        </w:numPr>
        <w:tabs>
          <w:tab w:val="left" w:pos="590"/>
        </w:tabs>
        <w:spacing w:before="60" w:after="60"/>
        <w:textAlignment w:val="baseline"/>
        <w:rPr>
          <w:szCs w:val="24"/>
        </w:rPr>
      </w:pPr>
      <w:r>
        <w:t xml:space="preserve">  </w:t>
      </w:r>
      <w:r w:rsidRPr="007943D0">
        <w:t>Calculi is any abnormal collection of mineral salts within the body, commonly called a stone</w:t>
      </w:r>
    </w:p>
    <w:p w14:paraId="33CDAE2B" w14:textId="77777777" w:rsidR="00724AD5" w:rsidRPr="00724AD5" w:rsidRDefault="00724AD5" w:rsidP="00724AD5">
      <w:pPr>
        <w:pStyle w:val="ListParagraph"/>
        <w:numPr>
          <w:ilvl w:val="0"/>
          <w:numId w:val="24"/>
        </w:numPr>
        <w:tabs>
          <w:tab w:val="left" w:pos="590"/>
        </w:tabs>
        <w:spacing w:before="60" w:after="60"/>
        <w:textAlignment w:val="baseline"/>
        <w:rPr>
          <w:szCs w:val="24"/>
        </w:rPr>
      </w:pPr>
      <w:r>
        <w:t xml:space="preserve">  Calculi is normally considered for service connection on a direct, aggravated, or presumptive basis</w:t>
      </w:r>
    </w:p>
    <w:p w14:paraId="33CDAE2C" w14:textId="77777777" w:rsidR="00724AD5" w:rsidRPr="00724AD5" w:rsidRDefault="00724AD5" w:rsidP="00724AD5">
      <w:pPr>
        <w:pStyle w:val="ListParagraph"/>
        <w:numPr>
          <w:ilvl w:val="1"/>
          <w:numId w:val="24"/>
        </w:numPr>
        <w:tabs>
          <w:tab w:val="left" w:pos="590"/>
        </w:tabs>
        <w:spacing w:before="60" w:after="60"/>
        <w:textAlignment w:val="baseline"/>
        <w:rPr>
          <w:szCs w:val="24"/>
        </w:rPr>
      </w:pPr>
      <w:r>
        <w:t xml:space="preserve">38 CFR 3.309 (a) - </w:t>
      </w:r>
      <w:r w:rsidRPr="00724AD5">
        <w:t>Disease subject to presumptive service connection</w:t>
      </w:r>
    </w:p>
    <w:p w14:paraId="33CDAE2D" w14:textId="77777777" w:rsidR="00724AD5" w:rsidRDefault="00724AD5" w:rsidP="00724AD5">
      <w:pPr>
        <w:pStyle w:val="ListParagraph"/>
        <w:numPr>
          <w:ilvl w:val="2"/>
          <w:numId w:val="24"/>
        </w:numPr>
        <w:tabs>
          <w:tab w:val="left" w:pos="590"/>
        </w:tabs>
        <w:spacing w:before="60" w:after="60"/>
        <w:textAlignment w:val="baseline"/>
        <w:rPr>
          <w:szCs w:val="24"/>
        </w:rPr>
      </w:pPr>
      <w:r w:rsidRPr="00724AD5">
        <w:rPr>
          <w:szCs w:val="24"/>
        </w:rPr>
        <w:t>Calculi of the kidney, bladder, or gallbladder</w:t>
      </w:r>
    </w:p>
    <w:p w14:paraId="33CDAE2E" w14:textId="77777777" w:rsidR="00C433EE" w:rsidRDefault="00C433EE" w:rsidP="00C433EE">
      <w:pPr>
        <w:pStyle w:val="ListParagraph"/>
        <w:numPr>
          <w:ilvl w:val="0"/>
          <w:numId w:val="24"/>
        </w:numPr>
        <w:tabs>
          <w:tab w:val="left" w:pos="590"/>
        </w:tabs>
        <w:spacing w:before="60" w:after="60"/>
        <w:textAlignment w:val="baseline"/>
        <w:rPr>
          <w:szCs w:val="24"/>
        </w:rPr>
      </w:pPr>
      <w:r>
        <w:rPr>
          <w:szCs w:val="24"/>
        </w:rPr>
        <w:t xml:space="preserve">  Evaluate both </w:t>
      </w:r>
      <w:r w:rsidRPr="00C433EE">
        <w:rPr>
          <w:szCs w:val="24"/>
        </w:rPr>
        <w:t>nephrolithiasis (DC 7508) and ureterolithias (DC 7510)</w:t>
      </w:r>
      <w:r>
        <w:rPr>
          <w:szCs w:val="24"/>
        </w:rPr>
        <w:t xml:space="preserve"> under DC 7509 – hydronephrosis when no recurrent stone formations occur</w:t>
      </w:r>
    </w:p>
    <w:p w14:paraId="33CDAE2F" w14:textId="77777777" w:rsidR="00C433EE" w:rsidRDefault="00C433EE" w:rsidP="00C433EE">
      <w:pPr>
        <w:pStyle w:val="ListParagraph"/>
        <w:numPr>
          <w:ilvl w:val="0"/>
          <w:numId w:val="24"/>
        </w:numPr>
        <w:tabs>
          <w:tab w:val="left" w:pos="590"/>
        </w:tabs>
        <w:spacing w:before="60" w:after="60"/>
        <w:textAlignment w:val="baseline"/>
        <w:rPr>
          <w:szCs w:val="24"/>
        </w:rPr>
      </w:pPr>
      <w:r>
        <w:rPr>
          <w:szCs w:val="24"/>
        </w:rPr>
        <w:t xml:space="preserve">  With recurrent stone formation, evaluate under DC 7508 or DC 7510 for:</w:t>
      </w:r>
    </w:p>
    <w:p w14:paraId="33CDAE30" w14:textId="77777777" w:rsidR="00C433EE" w:rsidRPr="00C433EE" w:rsidRDefault="00C433EE" w:rsidP="00C433EE">
      <w:pPr>
        <w:pStyle w:val="ListParagraph"/>
        <w:numPr>
          <w:ilvl w:val="1"/>
          <w:numId w:val="24"/>
        </w:numPr>
        <w:tabs>
          <w:tab w:val="left" w:pos="590"/>
        </w:tabs>
        <w:spacing w:before="60" w:after="60"/>
        <w:textAlignment w:val="baseline"/>
        <w:rPr>
          <w:szCs w:val="24"/>
        </w:rPr>
      </w:pPr>
      <w:r w:rsidRPr="00C433EE">
        <w:rPr>
          <w:szCs w:val="24"/>
        </w:rPr>
        <w:t>diet therapy</w:t>
      </w:r>
    </w:p>
    <w:p w14:paraId="33CDAE31" w14:textId="77777777" w:rsidR="00C433EE" w:rsidRPr="00C433EE" w:rsidRDefault="00C433EE" w:rsidP="00C433EE">
      <w:pPr>
        <w:pStyle w:val="ListParagraph"/>
        <w:numPr>
          <w:ilvl w:val="1"/>
          <w:numId w:val="24"/>
        </w:numPr>
        <w:tabs>
          <w:tab w:val="left" w:pos="590"/>
        </w:tabs>
        <w:spacing w:before="60" w:after="60"/>
        <w:textAlignment w:val="baseline"/>
        <w:rPr>
          <w:szCs w:val="24"/>
        </w:rPr>
      </w:pPr>
      <w:r w:rsidRPr="00C433EE">
        <w:rPr>
          <w:szCs w:val="24"/>
        </w:rPr>
        <w:t>drug therapy, or</w:t>
      </w:r>
    </w:p>
    <w:p w14:paraId="33CDAE32" w14:textId="77777777" w:rsidR="00C433EE" w:rsidRPr="00C433EE" w:rsidRDefault="00C433EE" w:rsidP="00C433EE">
      <w:pPr>
        <w:pStyle w:val="ListParagraph"/>
        <w:numPr>
          <w:ilvl w:val="1"/>
          <w:numId w:val="24"/>
        </w:numPr>
        <w:tabs>
          <w:tab w:val="left" w:pos="590"/>
        </w:tabs>
        <w:spacing w:before="60" w:after="60"/>
        <w:textAlignment w:val="baseline"/>
        <w:rPr>
          <w:szCs w:val="24"/>
        </w:rPr>
      </w:pPr>
      <w:r w:rsidRPr="00C433EE">
        <w:rPr>
          <w:szCs w:val="24"/>
        </w:rPr>
        <w:t>invasive or non-invasive procedures more than 2 times per year</w:t>
      </w:r>
    </w:p>
    <w:p w14:paraId="33CDAE33" w14:textId="77777777" w:rsidR="00C433EE" w:rsidRDefault="00C433EE" w:rsidP="00C433EE">
      <w:pPr>
        <w:pStyle w:val="ListParagraph"/>
        <w:numPr>
          <w:ilvl w:val="0"/>
          <w:numId w:val="24"/>
        </w:numPr>
        <w:tabs>
          <w:tab w:val="left" w:pos="590"/>
        </w:tabs>
        <w:spacing w:before="60" w:after="60"/>
        <w:textAlignment w:val="baseline"/>
        <w:rPr>
          <w:szCs w:val="24"/>
        </w:rPr>
      </w:pPr>
      <w:r>
        <w:rPr>
          <w:szCs w:val="24"/>
        </w:rPr>
        <w:t xml:space="preserve">  </w:t>
      </w:r>
      <w:r w:rsidRPr="00C433EE">
        <w:rPr>
          <w:szCs w:val="24"/>
        </w:rPr>
        <w:t>Once service connection is established for calculi, any future stone formation is also considered service connected</w:t>
      </w:r>
    </w:p>
    <w:p w14:paraId="33CDAE34" w14:textId="77777777" w:rsidR="00C433EE" w:rsidRPr="00724AD5" w:rsidRDefault="00C433EE" w:rsidP="00C433EE">
      <w:pPr>
        <w:pStyle w:val="ListParagraph"/>
        <w:numPr>
          <w:ilvl w:val="0"/>
          <w:numId w:val="24"/>
        </w:numPr>
        <w:tabs>
          <w:tab w:val="left" w:pos="590"/>
        </w:tabs>
        <w:spacing w:before="60" w:after="60"/>
        <w:textAlignment w:val="baseline"/>
        <w:rPr>
          <w:szCs w:val="24"/>
        </w:rPr>
      </w:pPr>
      <w:r>
        <w:rPr>
          <w:szCs w:val="24"/>
        </w:rPr>
        <w:t xml:space="preserve">  B</w:t>
      </w:r>
      <w:r w:rsidRPr="00C433EE">
        <w:rPr>
          <w:szCs w:val="24"/>
        </w:rPr>
        <w:t>ilateral stone formation is considered a single disability, with one evaluation assigned</w:t>
      </w:r>
    </w:p>
    <w:p w14:paraId="33CDAE35" w14:textId="77777777" w:rsidR="00724AD5" w:rsidRPr="00724AD5" w:rsidRDefault="00724AD5" w:rsidP="00724AD5">
      <w:pPr>
        <w:tabs>
          <w:tab w:val="left" w:pos="590"/>
        </w:tabs>
        <w:spacing w:before="60" w:after="60"/>
        <w:ind w:left="1080"/>
        <w:textAlignment w:val="baseline"/>
        <w:rPr>
          <w:szCs w:val="24"/>
        </w:rPr>
      </w:pPr>
    </w:p>
    <w:p w14:paraId="33CDAE36" w14:textId="77777777" w:rsidR="007A5600" w:rsidRDefault="007A5600">
      <w:pPr>
        <w:jc w:val="center"/>
      </w:pPr>
    </w:p>
    <w:p w14:paraId="33CDAE37" w14:textId="77777777" w:rsidR="007A5600" w:rsidRDefault="007A5600">
      <w:pPr>
        <w:pStyle w:val="VBABodyText0"/>
      </w:pPr>
    </w:p>
    <w:p w14:paraId="33CDAE38" w14:textId="77777777" w:rsidR="007A5600" w:rsidRDefault="007A5600"/>
    <w:p w14:paraId="33CDAE39" w14:textId="77777777" w:rsidR="007A5600" w:rsidRDefault="007A5600"/>
    <w:p w14:paraId="33CDAE3A" w14:textId="77777777" w:rsidR="007A5600" w:rsidRDefault="007A5600"/>
    <w:p w14:paraId="33CDAE3B" w14:textId="77777777" w:rsidR="007A5600" w:rsidRDefault="007A5600"/>
    <w:p w14:paraId="33CDAE3C" w14:textId="77777777" w:rsidR="007A5600" w:rsidRDefault="007A5600"/>
    <w:p w14:paraId="33CDAE3D" w14:textId="77777777" w:rsidR="007A5600" w:rsidRDefault="007A5600"/>
    <w:p w14:paraId="33CDAE3E" w14:textId="77777777" w:rsidR="007A5600" w:rsidRDefault="007A5600"/>
    <w:p w14:paraId="33CDAE3F" w14:textId="77777777" w:rsidR="007A5600" w:rsidRDefault="007A5600"/>
    <w:p w14:paraId="33CDAE40" w14:textId="77777777" w:rsidR="007A5600" w:rsidRDefault="007A5600">
      <w:pPr>
        <w:overflowPunct/>
        <w:autoSpaceDE/>
        <w:autoSpaceDN/>
        <w:adjustRightInd/>
        <w:spacing w:before="0"/>
        <w:rPr>
          <w:rFonts w:ascii="Times New Roman Bold" w:hAnsi="Times New Roman Bold"/>
          <w:b/>
          <w:smallCaps/>
          <w:color w:val="0070C0"/>
          <w:sz w:val="32"/>
          <w:szCs w:val="32"/>
        </w:rPr>
      </w:pPr>
    </w:p>
    <w:p w14:paraId="33CDAE41" w14:textId="77777777" w:rsidR="007A5600" w:rsidRPr="00715FF9" w:rsidRDefault="007A5600">
      <w:pPr>
        <w:pStyle w:val="VBATopicHeading1"/>
      </w:pPr>
      <w:bookmarkStart w:id="9" w:name="_Toc441668469"/>
      <w:r w:rsidRPr="00715FF9">
        <w:lastRenderedPageBreak/>
        <w:t xml:space="preserve">Topic 2: </w:t>
      </w:r>
      <w:r w:rsidR="0000229A" w:rsidRPr="00715FF9">
        <w:t>Rating Prostate Cancer Claims</w:t>
      </w:r>
      <w:bookmarkEnd w:id="9"/>
    </w:p>
    <w:p w14:paraId="33CDAE42" w14:textId="77777777" w:rsidR="00C433EE" w:rsidRPr="00C433EE" w:rsidRDefault="00C433EE" w:rsidP="00C433EE">
      <w:pPr>
        <w:pStyle w:val="VBABodyText0"/>
      </w:pPr>
      <w:r w:rsidRPr="00C433EE">
        <w:t>Topic objectives:</w:t>
      </w:r>
    </w:p>
    <w:p w14:paraId="33CDAE43" w14:textId="77777777" w:rsidR="00C433EE" w:rsidRPr="00C433EE" w:rsidRDefault="00C433EE" w:rsidP="00C433EE">
      <w:pPr>
        <w:pStyle w:val="VBABodyText0"/>
        <w:numPr>
          <w:ilvl w:val="0"/>
          <w:numId w:val="19"/>
        </w:numPr>
      </w:pPr>
      <w:r w:rsidRPr="00C433EE">
        <w:t>Properly evaluate claims for prostate cancer</w:t>
      </w:r>
    </w:p>
    <w:p w14:paraId="33CDAE44" w14:textId="77777777" w:rsidR="00C433EE" w:rsidRDefault="00C433EE" w:rsidP="00E35C8B">
      <w:pPr>
        <w:pStyle w:val="VBABodyText0"/>
      </w:pPr>
    </w:p>
    <w:p w14:paraId="33CDAE45" w14:textId="77777777" w:rsidR="00C433EE" w:rsidRPr="00C433EE" w:rsidRDefault="00C433EE" w:rsidP="00C433EE">
      <w:pPr>
        <w:pStyle w:val="VBABodyText0"/>
        <w:rPr>
          <w:bCs/>
        </w:rPr>
      </w:pPr>
      <w:r w:rsidRPr="00C433EE">
        <w:t>The following topic teaching points support the topic objectives</w:t>
      </w:r>
      <w:r w:rsidRPr="00C433EE">
        <w:rPr>
          <w:bCs/>
        </w:rPr>
        <w:t xml:space="preserve">: </w:t>
      </w:r>
    </w:p>
    <w:p w14:paraId="33CDAE46" w14:textId="77777777" w:rsidR="00C433EE" w:rsidRPr="00C433EE" w:rsidRDefault="00C433EE" w:rsidP="00C433EE">
      <w:pPr>
        <w:pStyle w:val="VBABodyText0"/>
        <w:numPr>
          <w:ilvl w:val="0"/>
          <w:numId w:val="19"/>
        </w:numPr>
      </w:pPr>
      <w:r w:rsidRPr="00C433EE">
        <w:t>Establishing service connection for prostate cancer</w:t>
      </w:r>
    </w:p>
    <w:p w14:paraId="33CDAE47" w14:textId="77777777" w:rsidR="00C433EE" w:rsidRPr="00C433EE" w:rsidRDefault="00C433EE" w:rsidP="00C433EE">
      <w:pPr>
        <w:pStyle w:val="VBABodyText0"/>
        <w:numPr>
          <w:ilvl w:val="0"/>
          <w:numId w:val="19"/>
        </w:numPr>
      </w:pPr>
      <w:r w:rsidRPr="00C433EE">
        <w:t>Treatment methods for prostate cancer</w:t>
      </w:r>
    </w:p>
    <w:p w14:paraId="33CDAE48" w14:textId="77777777" w:rsidR="00C433EE" w:rsidRPr="00C433EE" w:rsidRDefault="00C433EE" w:rsidP="00C433EE">
      <w:pPr>
        <w:pStyle w:val="VBABodyText0"/>
        <w:numPr>
          <w:ilvl w:val="0"/>
          <w:numId w:val="19"/>
        </w:numPr>
      </w:pPr>
      <w:r w:rsidRPr="00C433EE">
        <w:t>Rating considerations</w:t>
      </w:r>
    </w:p>
    <w:p w14:paraId="33CDAE49" w14:textId="77777777" w:rsidR="00C433EE" w:rsidRDefault="00C433EE" w:rsidP="00E35C8B">
      <w:pPr>
        <w:pStyle w:val="VBABodyText0"/>
      </w:pPr>
    </w:p>
    <w:p w14:paraId="33CDAE4A" w14:textId="77777777" w:rsidR="00C433EE" w:rsidRDefault="00C433EE" w:rsidP="00C433EE">
      <w:pPr>
        <w:pStyle w:val="VBABodyText0"/>
      </w:pPr>
      <w:r w:rsidRPr="00C433EE">
        <w:rPr>
          <w:b/>
        </w:rPr>
        <w:t>Establishing SC for prostate cancer</w:t>
      </w:r>
    </w:p>
    <w:p w14:paraId="33CDAE4B" w14:textId="77777777" w:rsidR="00C433EE" w:rsidRDefault="00C433EE" w:rsidP="00C433EE">
      <w:pPr>
        <w:pStyle w:val="VBABodyText0"/>
        <w:numPr>
          <w:ilvl w:val="0"/>
          <w:numId w:val="29"/>
        </w:numPr>
      </w:pPr>
      <w:r>
        <w:t>A diagnosis of prostate cancer must be confirmed by biopsy evidence</w:t>
      </w:r>
    </w:p>
    <w:p w14:paraId="33CDAE4C" w14:textId="77777777" w:rsidR="00C433EE" w:rsidRDefault="00C433EE" w:rsidP="00C433EE">
      <w:pPr>
        <w:pStyle w:val="VBABodyText0"/>
        <w:numPr>
          <w:ilvl w:val="1"/>
          <w:numId w:val="29"/>
        </w:numPr>
      </w:pPr>
      <w:r>
        <w:t xml:space="preserve">Elevated PSA is not </w:t>
      </w:r>
      <w:r w:rsidR="00E37760">
        <w:t>sufficient to establish an initial diagnosis</w:t>
      </w:r>
    </w:p>
    <w:p w14:paraId="33CDAE4D" w14:textId="77777777" w:rsidR="00E37760" w:rsidRDefault="00E37760" w:rsidP="00C433EE">
      <w:pPr>
        <w:pStyle w:val="VBABodyText0"/>
        <w:numPr>
          <w:ilvl w:val="1"/>
          <w:numId w:val="29"/>
        </w:numPr>
      </w:pPr>
      <w:r>
        <w:t>Past medical history cannot be taken as evidence of a diagnosis</w:t>
      </w:r>
    </w:p>
    <w:p w14:paraId="33CDAE4E" w14:textId="77777777" w:rsidR="00E37760" w:rsidRDefault="00E37760" w:rsidP="00E37760">
      <w:pPr>
        <w:pStyle w:val="VBABodyText0"/>
        <w:numPr>
          <w:ilvl w:val="0"/>
          <w:numId w:val="29"/>
        </w:numPr>
      </w:pPr>
      <w:r>
        <w:t>Service connection is normally established on a direct or presumptive basis</w:t>
      </w:r>
    </w:p>
    <w:p w14:paraId="33CDAE4F" w14:textId="77777777" w:rsidR="00E37760" w:rsidRDefault="00E37760" w:rsidP="00E37760">
      <w:pPr>
        <w:pStyle w:val="VBABodyText0"/>
        <w:numPr>
          <w:ilvl w:val="0"/>
          <w:numId w:val="29"/>
        </w:numPr>
      </w:pPr>
      <w:r>
        <w:t>Presumptive service connection can be established through:</w:t>
      </w:r>
    </w:p>
    <w:p w14:paraId="33CDAE50" w14:textId="77777777" w:rsidR="00E37760" w:rsidRDefault="00E37760" w:rsidP="00E37760">
      <w:pPr>
        <w:pStyle w:val="VBABodyText0"/>
        <w:numPr>
          <w:ilvl w:val="1"/>
          <w:numId w:val="29"/>
        </w:numPr>
      </w:pPr>
      <w:r>
        <w:t xml:space="preserve">38 CFR 3.309 (a) - </w:t>
      </w:r>
      <w:r w:rsidRPr="00724AD5">
        <w:t>Disease subject to presumptive service connection</w:t>
      </w:r>
      <w:r>
        <w:t>, t</w:t>
      </w:r>
      <w:r w:rsidRPr="00E37760">
        <w:t>umors, malignant, or of the brain or spinal cord or peripheral nerves</w:t>
      </w:r>
    </w:p>
    <w:p w14:paraId="33CDAE51" w14:textId="77777777" w:rsidR="00E37760" w:rsidRDefault="00E37760" w:rsidP="00E37760">
      <w:pPr>
        <w:pStyle w:val="VBABodyText0"/>
        <w:numPr>
          <w:ilvl w:val="1"/>
          <w:numId w:val="29"/>
        </w:numPr>
      </w:pPr>
      <w:r>
        <w:t xml:space="preserve">38 CFR 3.309 (e) - </w:t>
      </w:r>
      <w:r w:rsidRPr="00E37760">
        <w:t>Disease associated with exposure to certain herbicide agents</w:t>
      </w:r>
    </w:p>
    <w:p w14:paraId="33CDAE52" w14:textId="77777777" w:rsidR="00E37760" w:rsidRDefault="006175E9" w:rsidP="006175E9">
      <w:pPr>
        <w:pStyle w:val="VBABodyText0"/>
        <w:numPr>
          <w:ilvl w:val="1"/>
          <w:numId w:val="29"/>
        </w:numPr>
      </w:pPr>
      <w:r>
        <w:t xml:space="preserve">38 CFR </w:t>
      </w:r>
      <w:r w:rsidR="00E37760">
        <w:t xml:space="preserve">3.311 - </w:t>
      </w:r>
      <w:r w:rsidRPr="006175E9">
        <w:t>Claims based on exposure to ionizing radiation</w:t>
      </w:r>
      <w:r>
        <w:t xml:space="preserve"> (claims based on ionizing radiation processed by the Jackson Regional Office)</w:t>
      </w:r>
    </w:p>
    <w:p w14:paraId="33CDAE53" w14:textId="77777777" w:rsidR="006175E9" w:rsidRDefault="006175E9" w:rsidP="006175E9">
      <w:pPr>
        <w:pStyle w:val="VBABodyText0"/>
      </w:pPr>
    </w:p>
    <w:p w14:paraId="33CDAE54" w14:textId="77777777" w:rsidR="006175E9" w:rsidRDefault="006175E9" w:rsidP="00C433EE">
      <w:pPr>
        <w:pStyle w:val="VBABodyText0"/>
        <w:rPr>
          <w:b/>
        </w:rPr>
      </w:pPr>
      <w:r w:rsidRPr="006175E9">
        <w:rPr>
          <w:b/>
        </w:rPr>
        <w:t>Treatment methods for prostate cancer</w:t>
      </w:r>
    </w:p>
    <w:p w14:paraId="33CDAE55" w14:textId="77777777" w:rsidR="005C54DC" w:rsidRDefault="005C54DC" w:rsidP="00C433EE">
      <w:pPr>
        <w:pStyle w:val="VBABodyText0"/>
        <w:rPr>
          <w:b/>
        </w:rPr>
      </w:pPr>
    </w:p>
    <w:p w14:paraId="33CDAE56" w14:textId="77777777" w:rsidR="005C54DC" w:rsidRDefault="005C54DC" w:rsidP="005C54DC">
      <w:pPr>
        <w:pStyle w:val="VBABodyText0"/>
        <w:numPr>
          <w:ilvl w:val="0"/>
          <w:numId w:val="29"/>
        </w:numPr>
      </w:pPr>
      <w:r w:rsidRPr="005C54DC">
        <w:t>There are six common treatment proticals for prostate cancer:</w:t>
      </w:r>
    </w:p>
    <w:p w14:paraId="33CDAE57" w14:textId="77777777" w:rsidR="005C54DC" w:rsidRDefault="005C54DC" w:rsidP="005C54DC">
      <w:pPr>
        <w:pStyle w:val="VBABodyText0"/>
        <w:numPr>
          <w:ilvl w:val="1"/>
          <w:numId w:val="29"/>
        </w:numPr>
      </w:pPr>
      <w:r>
        <w:t>Watchful waiting</w:t>
      </w:r>
    </w:p>
    <w:p w14:paraId="33CDAE58" w14:textId="77777777" w:rsidR="005C54DC" w:rsidRDefault="005C54DC" w:rsidP="005C54DC">
      <w:pPr>
        <w:pStyle w:val="VBABodyText0"/>
        <w:numPr>
          <w:ilvl w:val="1"/>
          <w:numId w:val="29"/>
        </w:numPr>
      </w:pPr>
      <w:r>
        <w:t>Radical prostatectomy(surgery)</w:t>
      </w:r>
    </w:p>
    <w:p w14:paraId="33CDAE59" w14:textId="77777777" w:rsidR="005C54DC" w:rsidRDefault="005C54DC" w:rsidP="005C54DC">
      <w:pPr>
        <w:pStyle w:val="VBABodyText0"/>
        <w:numPr>
          <w:ilvl w:val="1"/>
          <w:numId w:val="29"/>
        </w:numPr>
      </w:pPr>
      <w:r>
        <w:t xml:space="preserve">Cryotherapy </w:t>
      </w:r>
    </w:p>
    <w:p w14:paraId="33CDAE5A" w14:textId="77777777" w:rsidR="005C54DC" w:rsidRDefault="005C54DC" w:rsidP="005C54DC">
      <w:pPr>
        <w:pStyle w:val="VBABodyText0"/>
        <w:numPr>
          <w:ilvl w:val="1"/>
          <w:numId w:val="29"/>
        </w:numPr>
      </w:pPr>
      <w:r>
        <w:t>Radiation – external or brachytherapy</w:t>
      </w:r>
    </w:p>
    <w:p w14:paraId="33CDAE5B" w14:textId="77777777" w:rsidR="005C54DC" w:rsidRDefault="005C54DC" w:rsidP="005C54DC">
      <w:pPr>
        <w:pStyle w:val="VBABodyText0"/>
        <w:numPr>
          <w:ilvl w:val="1"/>
          <w:numId w:val="29"/>
        </w:numPr>
      </w:pPr>
      <w:r>
        <w:t>Hormone suppression therapy</w:t>
      </w:r>
    </w:p>
    <w:p w14:paraId="33CDAE5C" w14:textId="77777777" w:rsidR="005C54DC" w:rsidRDefault="005C54DC" w:rsidP="005C54DC">
      <w:pPr>
        <w:pStyle w:val="VBABodyText0"/>
        <w:numPr>
          <w:ilvl w:val="1"/>
          <w:numId w:val="29"/>
        </w:numPr>
      </w:pPr>
      <w:r>
        <w:t>Chemotherapy</w:t>
      </w:r>
    </w:p>
    <w:p w14:paraId="33CDAE5D" w14:textId="77777777" w:rsidR="005C54DC" w:rsidRDefault="005C54DC" w:rsidP="005C54DC">
      <w:pPr>
        <w:pStyle w:val="VBABodyText0"/>
        <w:numPr>
          <w:ilvl w:val="0"/>
          <w:numId w:val="29"/>
        </w:numPr>
      </w:pPr>
      <w:r>
        <w:t>All treatment options have potential side effects</w:t>
      </w:r>
    </w:p>
    <w:p w14:paraId="33CDAE5E" w14:textId="77777777" w:rsidR="007A5600" w:rsidRPr="00B76F56" w:rsidRDefault="005C54DC" w:rsidP="00B76F56">
      <w:pPr>
        <w:pStyle w:val="VBABodyText0"/>
        <w:numPr>
          <w:ilvl w:val="1"/>
          <w:numId w:val="29"/>
        </w:numPr>
      </w:pPr>
      <w:r>
        <w:t xml:space="preserve">See M21-1 III.iv.4.I.3.g - </w:t>
      </w:r>
      <w:r w:rsidRPr="005C54DC">
        <w:t>Rating Considerations for Prostate Cancer</w:t>
      </w:r>
    </w:p>
    <w:p w14:paraId="33CDAE5F" w14:textId="77777777" w:rsidR="008B5F06" w:rsidRPr="00715FF9" w:rsidRDefault="000B44D3" w:rsidP="0000229A">
      <w:pPr>
        <w:pStyle w:val="VBATopicHeading1"/>
      </w:pPr>
      <w:bookmarkStart w:id="10" w:name="_Toc441668470"/>
      <w:r w:rsidRPr="00715FF9">
        <w:lastRenderedPageBreak/>
        <w:t xml:space="preserve">Topic 3: </w:t>
      </w:r>
      <w:r w:rsidR="0000229A" w:rsidRPr="00715FF9">
        <w:t>Evaluations Under Renal Dysfunctions</w:t>
      </w:r>
      <w:bookmarkEnd w:id="10"/>
      <w:r w:rsidR="0000229A" w:rsidRPr="00715FF9">
        <w:t xml:space="preserve"> </w:t>
      </w:r>
    </w:p>
    <w:p w14:paraId="33CDAE60" w14:textId="77777777" w:rsidR="008B5F06" w:rsidRDefault="008B5F06" w:rsidP="0000229A">
      <w:pPr>
        <w:pStyle w:val="VBATopicHeading1"/>
        <w:rPr>
          <w:color w:val="0070C0"/>
        </w:rPr>
      </w:pPr>
    </w:p>
    <w:p w14:paraId="33CDAE61" w14:textId="77777777" w:rsidR="008B5F06" w:rsidRPr="008B5F06" w:rsidRDefault="008B5F06" w:rsidP="008B5F06">
      <w:pPr>
        <w:tabs>
          <w:tab w:val="left" w:pos="590"/>
        </w:tabs>
        <w:spacing w:after="120"/>
        <w:textAlignment w:val="baseline"/>
        <w:rPr>
          <w:szCs w:val="24"/>
        </w:rPr>
      </w:pPr>
      <w:r w:rsidRPr="008B5F06">
        <w:rPr>
          <w:szCs w:val="24"/>
        </w:rPr>
        <w:t>Topic objectives:</w:t>
      </w:r>
    </w:p>
    <w:p w14:paraId="33CDAE62" w14:textId="77777777" w:rsidR="008B5F06" w:rsidRPr="008B5F06" w:rsidRDefault="008B5F06" w:rsidP="008B5F06">
      <w:pPr>
        <w:numPr>
          <w:ilvl w:val="0"/>
          <w:numId w:val="19"/>
        </w:numPr>
        <w:tabs>
          <w:tab w:val="left" w:pos="590"/>
        </w:tabs>
        <w:spacing w:before="60" w:after="60"/>
        <w:textAlignment w:val="baseline"/>
        <w:rPr>
          <w:szCs w:val="24"/>
        </w:rPr>
      </w:pPr>
      <w:r w:rsidRPr="008B5F06">
        <w:rPr>
          <w:szCs w:val="24"/>
        </w:rPr>
        <w:t>Assign proper evaluations under 38 CFR 4.115a, Renal Dysfunction</w:t>
      </w:r>
    </w:p>
    <w:p w14:paraId="33CDAE63" w14:textId="77777777" w:rsidR="008B5F06" w:rsidRDefault="008B5F06" w:rsidP="008B5F06">
      <w:pPr>
        <w:numPr>
          <w:ilvl w:val="0"/>
          <w:numId w:val="19"/>
        </w:numPr>
        <w:tabs>
          <w:tab w:val="left" w:pos="590"/>
        </w:tabs>
        <w:spacing w:before="60" w:after="60"/>
        <w:textAlignment w:val="baseline"/>
        <w:rPr>
          <w:szCs w:val="24"/>
        </w:rPr>
      </w:pPr>
      <w:r w:rsidRPr="008B5F06">
        <w:rPr>
          <w:szCs w:val="24"/>
        </w:rPr>
        <w:t>Rate genitourinary conditions</w:t>
      </w:r>
    </w:p>
    <w:p w14:paraId="33CDAE64" w14:textId="77777777" w:rsidR="008B5F06" w:rsidRPr="008B5F06" w:rsidRDefault="008B5F06" w:rsidP="008B5F06">
      <w:pPr>
        <w:tabs>
          <w:tab w:val="left" w:pos="590"/>
        </w:tabs>
        <w:spacing w:before="60" w:after="60"/>
        <w:textAlignment w:val="baseline"/>
        <w:rPr>
          <w:szCs w:val="24"/>
        </w:rPr>
      </w:pPr>
    </w:p>
    <w:p w14:paraId="33CDAE65" w14:textId="77777777" w:rsidR="008B5F06" w:rsidRPr="008B5F06" w:rsidRDefault="008B5F06" w:rsidP="008B5F06">
      <w:pPr>
        <w:tabs>
          <w:tab w:val="left" w:pos="590"/>
        </w:tabs>
        <w:spacing w:after="120"/>
        <w:textAlignment w:val="baseline"/>
        <w:rPr>
          <w:bCs/>
          <w:szCs w:val="24"/>
        </w:rPr>
      </w:pPr>
      <w:r w:rsidRPr="008B5F06">
        <w:rPr>
          <w:szCs w:val="24"/>
        </w:rPr>
        <w:t>The following topic teaching points support the topic objectives</w:t>
      </w:r>
      <w:r w:rsidRPr="008B5F06">
        <w:rPr>
          <w:bCs/>
          <w:szCs w:val="24"/>
        </w:rPr>
        <w:t xml:space="preserve">: </w:t>
      </w:r>
    </w:p>
    <w:p w14:paraId="33CDAE66" w14:textId="77777777" w:rsidR="008B5F06" w:rsidRDefault="008B5F06" w:rsidP="008B5F06">
      <w:pPr>
        <w:numPr>
          <w:ilvl w:val="0"/>
          <w:numId w:val="19"/>
        </w:numPr>
        <w:tabs>
          <w:tab w:val="left" w:pos="590"/>
        </w:tabs>
        <w:spacing w:before="60" w:after="60"/>
        <w:textAlignment w:val="baseline"/>
        <w:rPr>
          <w:szCs w:val="24"/>
        </w:rPr>
      </w:pPr>
      <w:r w:rsidRPr="00B67F48">
        <w:rPr>
          <w:szCs w:val="24"/>
        </w:rPr>
        <w:t>Evaluating renal dysfunction</w:t>
      </w:r>
    </w:p>
    <w:p w14:paraId="33CDAE67" w14:textId="77777777" w:rsidR="00B67F48" w:rsidRPr="00B67F48" w:rsidRDefault="00B67F48" w:rsidP="008B5F06">
      <w:pPr>
        <w:numPr>
          <w:ilvl w:val="0"/>
          <w:numId w:val="19"/>
        </w:numPr>
        <w:tabs>
          <w:tab w:val="left" w:pos="590"/>
        </w:tabs>
        <w:spacing w:before="60" w:after="60"/>
        <w:textAlignment w:val="baseline"/>
        <w:rPr>
          <w:szCs w:val="24"/>
        </w:rPr>
      </w:pPr>
      <w:r>
        <w:rPr>
          <w:szCs w:val="24"/>
        </w:rPr>
        <w:t>Definite decrease in kidney dysfunction</w:t>
      </w:r>
    </w:p>
    <w:p w14:paraId="33CDAE68" w14:textId="77777777" w:rsidR="008B5F06" w:rsidRDefault="008B5F06" w:rsidP="008B5F06">
      <w:pPr>
        <w:tabs>
          <w:tab w:val="left" w:pos="590"/>
        </w:tabs>
        <w:spacing w:before="60" w:after="60"/>
        <w:textAlignment w:val="baseline"/>
        <w:rPr>
          <w:szCs w:val="24"/>
        </w:rPr>
      </w:pPr>
    </w:p>
    <w:p w14:paraId="33CDAE69" w14:textId="77777777" w:rsidR="008B5F06" w:rsidRDefault="008B5F06" w:rsidP="008B5F06">
      <w:pPr>
        <w:tabs>
          <w:tab w:val="left" w:pos="590"/>
        </w:tabs>
        <w:spacing w:before="60" w:after="60"/>
        <w:textAlignment w:val="baseline"/>
        <w:rPr>
          <w:szCs w:val="24"/>
        </w:rPr>
      </w:pPr>
      <w:r w:rsidRPr="008B5F06">
        <w:rPr>
          <w:b/>
          <w:szCs w:val="24"/>
        </w:rPr>
        <w:t>Evaluating Renal Dysfunction</w:t>
      </w:r>
    </w:p>
    <w:p w14:paraId="33CDAE6A" w14:textId="77777777" w:rsidR="008B5F06" w:rsidRDefault="008B5F06" w:rsidP="008B5F06">
      <w:pPr>
        <w:tabs>
          <w:tab w:val="left" w:pos="590"/>
        </w:tabs>
        <w:spacing w:before="60" w:after="60"/>
        <w:textAlignment w:val="baseline"/>
        <w:rPr>
          <w:szCs w:val="24"/>
        </w:rPr>
      </w:pPr>
    </w:p>
    <w:p w14:paraId="33CDAE6B" w14:textId="77777777" w:rsidR="008B5F06" w:rsidRPr="008B5F06" w:rsidRDefault="008B5F06" w:rsidP="008B5F06">
      <w:pPr>
        <w:pStyle w:val="ListParagraph"/>
        <w:numPr>
          <w:ilvl w:val="0"/>
          <w:numId w:val="34"/>
        </w:numPr>
        <w:tabs>
          <w:tab w:val="left" w:pos="590"/>
        </w:tabs>
        <w:spacing w:before="60" w:after="60"/>
        <w:textAlignment w:val="baseline"/>
        <w:rPr>
          <w:szCs w:val="24"/>
        </w:rPr>
      </w:pPr>
      <w:r>
        <w:t>Many of the diagnoses found in 38 CFR 4.115b refer the decision maker to 38 CFR 4.115a</w:t>
      </w:r>
    </w:p>
    <w:p w14:paraId="33CDAE6C" w14:textId="77777777" w:rsidR="008B5F06" w:rsidRDefault="008B5F06" w:rsidP="008B5F06">
      <w:pPr>
        <w:pStyle w:val="ListParagraph"/>
        <w:numPr>
          <w:ilvl w:val="0"/>
          <w:numId w:val="34"/>
        </w:numPr>
        <w:tabs>
          <w:tab w:val="left" w:pos="590"/>
        </w:tabs>
        <w:spacing w:before="60" w:after="60"/>
        <w:textAlignment w:val="baseline"/>
        <w:rPr>
          <w:szCs w:val="24"/>
        </w:rPr>
      </w:pPr>
      <w:r w:rsidRPr="008B5F06">
        <w:rPr>
          <w:szCs w:val="24"/>
        </w:rPr>
        <w:t>There are 5 dysfunctions that a genitourinary condition may result in:</w:t>
      </w:r>
    </w:p>
    <w:p w14:paraId="33CDAE6D" w14:textId="77777777" w:rsidR="008B5F06" w:rsidRPr="008B5F06" w:rsidRDefault="008B5F06" w:rsidP="008B5F06">
      <w:pPr>
        <w:pStyle w:val="ListParagraph"/>
        <w:numPr>
          <w:ilvl w:val="1"/>
          <w:numId w:val="34"/>
        </w:numPr>
        <w:tabs>
          <w:tab w:val="left" w:pos="590"/>
        </w:tabs>
        <w:spacing w:before="60" w:after="60"/>
        <w:textAlignment w:val="baseline"/>
        <w:rPr>
          <w:szCs w:val="24"/>
        </w:rPr>
      </w:pPr>
      <w:r w:rsidRPr="008B5F06">
        <w:rPr>
          <w:szCs w:val="24"/>
        </w:rPr>
        <w:t>Renal</w:t>
      </w:r>
    </w:p>
    <w:p w14:paraId="33CDAE6E" w14:textId="77777777" w:rsidR="008B5F06" w:rsidRPr="008B5F06" w:rsidRDefault="008B5F06" w:rsidP="008B5F06">
      <w:pPr>
        <w:pStyle w:val="ListParagraph"/>
        <w:numPr>
          <w:ilvl w:val="1"/>
          <w:numId w:val="34"/>
        </w:numPr>
        <w:tabs>
          <w:tab w:val="left" w:pos="590"/>
        </w:tabs>
        <w:spacing w:before="60" w:after="60"/>
        <w:textAlignment w:val="baseline"/>
        <w:rPr>
          <w:szCs w:val="24"/>
        </w:rPr>
      </w:pPr>
      <w:r w:rsidRPr="008B5F06">
        <w:rPr>
          <w:szCs w:val="24"/>
        </w:rPr>
        <w:t>Voiding</w:t>
      </w:r>
    </w:p>
    <w:p w14:paraId="33CDAE6F" w14:textId="77777777" w:rsidR="008B5F06" w:rsidRPr="008B5F06" w:rsidRDefault="008B5F06" w:rsidP="008B5F06">
      <w:pPr>
        <w:pStyle w:val="ListParagraph"/>
        <w:numPr>
          <w:ilvl w:val="1"/>
          <w:numId w:val="34"/>
        </w:numPr>
        <w:tabs>
          <w:tab w:val="left" w:pos="590"/>
        </w:tabs>
        <w:spacing w:before="60" w:after="60"/>
        <w:textAlignment w:val="baseline"/>
        <w:rPr>
          <w:szCs w:val="24"/>
        </w:rPr>
      </w:pPr>
      <w:r w:rsidRPr="008B5F06">
        <w:rPr>
          <w:szCs w:val="24"/>
        </w:rPr>
        <w:t>Urinary Frequency</w:t>
      </w:r>
    </w:p>
    <w:p w14:paraId="33CDAE70" w14:textId="77777777" w:rsidR="008B5F06" w:rsidRPr="008B5F06" w:rsidRDefault="008B5F06" w:rsidP="008B5F06">
      <w:pPr>
        <w:pStyle w:val="ListParagraph"/>
        <w:numPr>
          <w:ilvl w:val="1"/>
          <w:numId w:val="34"/>
        </w:numPr>
        <w:tabs>
          <w:tab w:val="left" w:pos="590"/>
        </w:tabs>
        <w:spacing w:before="60" w:after="60"/>
        <w:textAlignment w:val="baseline"/>
        <w:rPr>
          <w:szCs w:val="24"/>
        </w:rPr>
      </w:pPr>
      <w:r w:rsidRPr="008B5F06">
        <w:rPr>
          <w:szCs w:val="24"/>
        </w:rPr>
        <w:t>Obstructed Voiding, and,</w:t>
      </w:r>
    </w:p>
    <w:p w14:paraId="33CDAE71" w14:textId="77777777" w:rsidR="008B5F06" w:rsidRPr="008B5F06" w:rsidRDefault="008B5F06" w:rsidP="008B5F06">
      <w:pPr>
        <w:pStyle w:val="ListParagraph"/>
        <w:numPr>
          <w:ilvl w:val="1"/>
          <w:numId w:val="34"/>
        </w:numPr>
        <w:tabs>
          <w:tab w:val="left" w:pos="590"/>
        </w:tabs>
        <w:spacing w:before="60" w:after="60"/>
        <w:textAlignment w:val="baseline"/>
        <w:rPr>
          <w:szCs w:val="24"/>
        </w:rPr>
      </w:pPr>
      <w:r w:rsidRPr="008B5F06">
        <w:rPr>
          <w:szCs w:val="24"/>
        </w:rPr>
        <w:t>Urinary Tract Infection</w:t>
      </w:r>
    </w:p>
    <w:p w14:paraId="33CDAE72" w14:textId="77777777" w:rsidR="008B5F06" w:rsidRDefault="008B5F06" w:rsidP="008B5F06">
      <w:pPr>
        <w:pStyle w:val="ListParagraph"/>
        <w:numPr>
          <w:ilvl w:val="0"/>
          <w:numId w:val="34"/>
        </w:numPr>
        <w:tabs>
          <w:tab w:val="left" w:pos="590"/>
        </w:tabs>
        <w:spacing w:before="60" w:after="60"/>
        <w:textAlignment w:val="baseline"/>
        <w:rPr>
          <w:szCs w:val="24"/>
        </w:rPr>
      </w:pPr>
      <w:r>
        <w:rPr>
          <w:szCs w:val="24"/>
        </w:rPr>
        <w:t>Key factors to consider when using renal dysfunction to evaluate a conditions:</w:t>
      </w:r>
    </w:p>
    <w:p w14:paraId="33CDAE73" w14:textId="77777777" w:rsidR="008B5F06" w:rsidRPr="008B5F06" w:rsidRDefault="008B5F06" w:rsidP="008B5F06">
      <w:pPr>
        <w:pStyle w:val="ListParagraph"/>
        <w:numPr>
          <w:ilvl w:val="1"/>
          <w:numId w:val="34"/>
        </w:numPr>
        <w:tabs>
          <w:tab w:val="left" w:pos="590"/>
        </w:tabs>
        <w:spacing w:before="60" w:after="60"/>
        <w:textAlignment w:val="baseline"/>
        <w:rPr>
          <w:szCs w:val="24"/>
        </w:rPr>
      </w:pPr>
      <w:r w:rsidRPr="008B5F06">
        <w:rPr>
          <w:szCs w:val="24"/>
        </w:rPr>
        <w:t>Albumin and casts (simple proteins and shed pliable or fibrous material)</w:t>
      </w:r>
    </w:p>
    <w:p w14:paraId="33CDAE74" w14:textId="77777777" w:rsidR="008B5F06" w:rsidRPr="008B5F06" w:rsidRDefault="008B5F06" w:rsidP="008B5F06">
      <w:pPr>
        <w:pStyle w:val="ListParagraph"/>
        <w:numPr>
          <w:ilvl w:val="1"/>
          <w:numId w:val="34"/>
        </w:numPr>
        <w:tabs>
          <w:tab w:val="left" w:pos="590"/>
        </w:tabs>
        <w:spacing w:before="60" w:after="60"/>
        <w:textAlignment w:val="baseline"/>
        <w:rPr>
          <w:szCs w:val="24"/>
        </w:rPr>
      </w:pPr>
      <w:r w:rsidRPr="008B5F06">
        <w:rPr>
          <w:szCs w:val="24"/>
        </w:rPr>
        <w:t>Albuminuria (the constant presence of albumin)</w:t>
      </w:r>
    </w:p>
    <w:p w14:paraId="33CDAE75" w14:textId="77777777" w:rsidR="008B5F06" w:rsidRPr="008B5F06" w:rsidRDefault="008B5F06" w:rsidP="008B5F06">
      <w:pPr>
        <w:pStyle w:val="ListParagraph"/>
        <w:numPr>
          <w:ilvl w:val="1"/>
          <w:numId w:val="34"/>
        </w:numPr>
        <w:tabs>
          <w:tab w:val="left" w:pos="590"/>
        </w:tabs>
        <w:spacing w:before="60" w:after="60"/>
        <w:textAlignment w:val="baseline"/>
        <w:rPr>
          <w:szCs w:val="24"/>
        </w:rPr>
      </w:pPr>
      <w:r w:rsidRPr="008B5F06">
        <w:rPr>
          <w:szCs w:val="24"/>
        </w:rPr>
        <w:t>Blood Urea Nitrogen (BUN)</w:t>
      </w:r>
    </w:p>
    <w:p w14:paraId="33CDAE76" w14:textId="77777777" w:rsidR="008B5F06" w:rsidRPr="008B5F06" w:rsidRDefault="008B5F06" w:rsidP="008B5F06">
      <w:pPr>
        <w:pStyle w:val="ListParagraph"/>
        <w:numPr>
          <w:ilvl w:val="1"/>
          <w:numId w:val="34"/>
        </w:numPr>
        <w:tabs>
          <w:tab w:val="left" w:pos="590"/>
        </w:tabs>
        <w:spacing w:before="60" w:after="60"/>
        <w:textAlignment w:val="baseline"/>
        <w:rPr>
          <w:szCs w:val="24"/>
        </w:rPr>
      </w:pPr>
      <w:r w:rsidRPr="008B5F06">
        <w:rPr>
          <w:szCs w:val="24"/>
        </w:rPr>
        <w:t>Creatinine</w:t>
      </w:r>
    </w:p>
    <w:p w14:paraId="33CDAE77" w14:textId="77777777" w:rsidR="008B5F06" w:rsidRDefault="00B67F48" w:rsidP="00B67F48">
      <w:pPr>
        <w:pStyle w:val="ListParagraph"/>
        <w:numPr>
          <w:ilvl w:val="0"/>
          <w:numId w:val="34"/>
        </w:numPr>
        <w:tabs>
          <w:tab w:val="left" w:pos="590"/>
        </w:tabs>
        <w:spacing w:before="60" w:after="60"/>
        <w:textAlignment w:val="baseline"/>
        <w:rPr>
          <w:szCs w:val="24"/>
        </w:rPr>
      </w:pPr>
      <w:r w:rsidRPr="00B67F48">
        <w:rPr>
          <w:szCs w:val="24"/>
        </w:rPr>
        <w:t>Be aware the criteria for renal dysfunction includes levels of hypertension under DC 7101</w:t>
      </w:r>
    </w:p>
    <w:p w14:paraId="33CDAE78" w14:textId="77777777" w:rsidR="00B67F48" w:rsidRPr="00B67F48" w:rsidRDefault="00B67F48" w:rsidP="00B67F48">
      <w:pPr>
        <w:pStyle w:val="ListParagraph"/>
        <w:numPr>
          <w:ilvl w:val="0"/>
          <w:numId w:val="34"/>
        </w:numPr>
        <w:tabs>
          <w:tab w:val="left" w:pos="590"/>
        </w:tabs>
        <w:spacing w:before="60" w:after="60"/>
        <w:textAlignment w:val="baseline"/>
        <w:rPr>
          <w:szCs w:val="24"/>
        </w:rPr>
      </w:pPr>
      <w:r>
        <w:t>Assigning of a separate evaluation would be in conflict with 38 CFR 4.14 – Avoidance of Pyramiding and 38 CFR 4.115 – Nephritis</w:t>
      </w:r>
    </w:p>
    <w:p w14:paraId="33CDAE79" w14:textId="77777777" w:rsidR="00B67F48" w:rsidRDefault="00B67F48" w:rsidP="00B67F48">
      <w:pPr>
        <w:tabs>
          <w:tab w:val="left" w:pos="590"/>
        </w:tabs>
        <w:spacing w:before="60" w:after="60"/>
        <w:textAlignment w:val="baseline"/>
        <w:rPr>
          <w:szCs w:val="24"/>
        </w:rPr>
      </w:pPr>
    </w:p>
    <w:p w14:paraId="33CDAE7A" w14:textId="77777777" w:rsidR="00B67F48" w:rsidRDefault="00B67F48" w:rsidP="00B67F48">
      <w:pPr>
        <w:tabs>
          <w:tab w:val="left" w:pos="590"/>
        </w:tabs>
        <w:spacing w:before="60" w:after="60"/>
        <w:textAlignment w:val="baseline"/>
        <w:rPr>
          <w:szCs w:val="24"/>
        </w:rPr>
      </w:pPr>
      <w:r w:rsidRPr="00B67F48">
        <w:rPr>
          <w:b/>
          <w:szCs w:val="24"/>
        </w:rPr>
        <w:t>Definite Decrease in Kidney Dysfunction</w:t>
      </w:r>
    </w:p>
    <w:p w14:paraId="33CDAE7B" w14:textId="77777777" w:rsidR="00B67F48" w:rsidRDefault="00B67F48" w:rsidP="00B67F48">
      <w:pPr>
        <w:tabs>
          <w:tab w:val="left" w:pos="590"/>
        </w:tabs>
        <w:spacing w:before="60" w:after="60"/>
        <w:textAlignment w:val="baseline"/>
        <w:rPr>
          <w:szCs w:val="24"/>
        </w:rPr>
      </w:pPr>
    </w:p>
    <w:p w14:paraId="33CDAE7C" w14:textId="77777777" w:rsidR="00B67F48" w:rsidRDefault="00B67F48" w:rsidP="00B67F48">
      <w:pPr>
        <w:pStyle w:val="ListParagraph"/>
        <w:numPr>
          <w:ilvl w:val="0"/>
          <w:numId w:val="36"/>
        </w:numPr>
        <w:tabs>
          <w:tab w:val="left" w:pos="590"/>
        </w:tabs>
        <w:spacing w:before="60" w:after="60"/>
        <w:textAlignment w:val="baseline"/>
        <w:rPr>
          <w:szCs w:val="24"/>
        </w:rPr>
      </w:pPr>
      <w:r w:rsidRPr="00B67F48">
        <w:rPr>
          <w:szCs w:val="24"/>
        </w:rPr>
        <w:t>The rating schedule allows for a 60% evaluation based on definite decrease in kidney function</w:t>
      </w:r>
    </w:p>
    <w:p w14:paraId="33CDAE7D" w14:textId="77777777" w:rsidR="00B67F48" w:rsidRDefault="00B67F48" w:rsidP="00B67F48">
      <w:pPr>
        <w:pStyle w:val="ListParagraph"/>
        <w:numPr>
          <w:ilvl w:val="0"/>
          <w:numId w:val="36"/>
        </w:numPr>
        <w:tabs>
          <w:tab w:val="left" w:pos="590"/>
        </w:tabs>
        <w:spacing w:before="60" w:after="60"/>
        <w:textAlignment w:val="baseline"/>
        <w:rPr>
          <w:szCs w:val="24"/>
        </w:rPr>
      </w:pPr>
      <w:r>
        <w:rPr>
          <w:szCs w:val="24"/>
        </w:rPr>
        <w:t>Creatinine levels above the lab upper limits, but below the 4 mg% needed for an 80% evaluation, is sufficient to show definite decrease in kidney function</w:t>
      </w:r>
    </w:p>
    <w:p w14:paraId="33CDAE7E" w14:textId="77777777" w:rsidR="00B67F48" w:rsidRDefault="00B67F48" w:rsidP="00B67F48">
      <w:pPr>
        <w:pStyle w:val="ListParagraph"/>
        <w:numPr>
          <w:ilvl w:val="0"/>
          <w:numId w:val="36"/>
        </w:numPr>
        <w:tabs>
          <w:tab w:val="left" w:pos="590"/>
        </w:tabs>
        <w:spacing w:before="60" w:after="60"/>
        <w:textAlignment w:val="baseline"/>
        <w:rPr>
          <w:szCs w:val="24"/>
        </w:rPr>
      </w:pPr>
      <w:r>
        <w:rPr>
          <w:szCs w:val="24"/>
        </w:rPr>
        <w:t>Do not use BUN levels above lab upper limits and below the 40 mg% for assigning a 60% evaluation</w:t>
      </w:r>
    </w:p>
    <w:p w14:paraId="33CDAE7F" w14:textId="77777777" w:rsidR="007A5600" w:rsidRPr="00B67F48" w:rsidRDefault="00B67F48" w:rsidP="00B67F48">
      <w:pPr>
        <w:pStyle w:val="ListParagraph"/>
        <w:numPr>
          <w:ilvl w:val="0"/>
          <w:numId w:val="36"/>
        </w:numPr>
        <w:tabs>
          <w:tab w:val="left" w:pos="590"/>
        </w:tabs>
        <w:spacing w:before="60" w:after="60"/>
        <w:textAlignment w:val="baseline"/>
        <w:rPr>
          <w:szCs w:val="24"/>
        </w:rPr>
      </w:pPr>
      <w:r w:rsidRPr="00B67F48">
        <w:rPr>
          <w:szCs w:val="24"/>
        </w:rPr>
        <w:t xml:space="preserve">Please refer to M21-1 III.iv.4.I.3.i </w:t>
      </w:r>
      <w:r w:rsidR="004005BD">
        <w:rPr>
          <w:szCs w:val="24"/>
        </w:rPr>
        <w:t xml:space="preserve">- </w:t>
      </w:r>
      <w:r w:rsidRPr="00B67F48">
        <w:rPr>
          <w:szCs w:val="24"/>
        </w:rPr>
        <w:t>Evaluating Renal Conditions Using BUN</w:t>
      </w:r>
    </w:p>
    <w:p w14:paraId="33CDAE80" w14:textId="77777777" w:rsidR="007A5600" w:rsidRDefault="007A5600">
      <w:pPr>
        <w:pStyle w:val="VBATopicHeading1"/>
      </w:pPr>
      <w:bookmarkStart w:id="11" w:name="_Toc441668471"/>
      <w:r>
        <w:lastRenderedPageBreak/>
        <w:t>Practical Exercise</w:t>
      </w:r>
      <w:bookmarkEnd w:id="11"/>
    </w:p>
    <w:p w14:paraId="33CDAE81" w14:textId="77777777" w:rsidR="007A5600" w:rsidRPr="00B76F56" w:rsidRDefault="005175F0" w:rsidP="005175F0">
      <w:pPr>
        <w:rPr>
          <w:szCs w:val="24"/>
        </w:rPr>
      </w:pPr>
      <w:r>
        <w:t xml:space="preserve">Directions: </w:t>
      </w:r>
      <w:r w:rsidR="00B76F56">
        <w:rPr>
          <w:szCs w:val="24"/>
        </w:rPr>
        <w:t>Provide diagnostic code(s), disease entity, and evaluation, if applicable, in your answer.</w:t>
      </w:r>
    </w:p>
    <w:p w14:paraId="33CDAE82" w14:textId="77777777" w:rsidR="005175F0" w:rsidRDefault="005175F0" w:rsidP="005175F0"/>
    <w:p w14:paraId="33CDAE83" w14:textId="77777777" w:rsidR="00B76F56" w:rsidRDefault="00B76F56" w:rsidP="00B76F56">
      <w:r>
        <w:t>1.</w:t>
      </w:r>
      <w:r>
        <w:tab/>
        <w:t>The Veteran served in the Navy from 1965 to 1985.  During service, he suffered trauma to the left kidney which developed into chronic nephritis and the kidney was removed.  Arteriosclerotic heart disease (ASHD) was diagnosed in 1982, just before the Veteran retired from service.  Current VA examination shows a normally functioning right kidney and ASHD with workload of 6 METs.</w:t>
      </w:r>
    </w:p>
    <w:p w14:paraId="33CDAE84" w14:textId="77777777" w:rsidR="00B76F56" w:rsidRDefault="00B76F56" w:rsidP="00B76F56"/>
    <w:p w14:paraId="33CDAE85" w14:textId="77777777" w:rsidR="00B76F56" w:rsidRDefault="00B76F56" w:rsidP="00B76F56"/>
    <w:p w14:paraId="33CDAE86" w14:textId="77777777" w:rsidR="00B76F56" w:rsidRDefault="00B76F56" w:rsidP="00B76F56"/>
    <w:p w14:paraId="33CDAE87" w14:textId="77777777" w:rsidR="00B76F56" w:rsidRDefault="00B76F56" w:rsidP="00B76F56"/>
    <w:p w14:paraId="33CDAE88" w14:textId="77777777" w:rsidR="00B76F56" w:rsidRDefault="00B76F56" w:rsidP="00B76F56"/>
    <w:p w14:paraId="33CDAE89" w14:textId="77777777" w:rsidR="00B76F56" w:rsidRDefault="00B76F56" w:rsidP="00B76F56">
      <w:r>
        <w:t xml:space="preserve"> </w:t>
      </w:r>
    </w:p>
    <w:p w14:paraId="33CDAE8A" w14:textId="77777777" w:rsidR="00B76F56" w:rsidRDefault="00B76F56" w:rsidP="00B76F56">
      <w:r>
        <w:t>2.</w:t>
      </w:r>
      <w:r>
        <w:tab/>
        <w:t>The Veteran is service-connected for pyelonephritis with hypertensive cardiovascular disease.  The current hospital report shows chronic renal failure requiring dialysis three times weekly and chronic congestive heart failure with hepatic dysfunction, cardiomegaly and dyspnea on any exertion.</w:t>
      </w:r>
    </w:p>
    <w:p w14:paraId="33CDAE8B" w14:textId="77777777" w:rsidR="00B76F56" w:rsidRDefault="00B76F56" w:rsidP="00B76F56"/>
    <w:p w14:paraId="33CDAE8C" w14:textId="77777777" w:rsidR="00B76F56" w:rsidRDefault="00B76F56" w:rsidP="00B76F56"/>
    <w:p w14:paraId="33CDAE8D" w14:textId="77777777" w:rsidR="00B76F56" w:rsidRDefault="00B76F56" w:rsidP="00B76F56"/>
    <w:p w14:paraId="33CDAE8E" w14:textId="77777777" w:rsidR="00B76F56" w:rsidRDefault="00B76F56" w:rsidP="00B76F56"/>
    <w:p w14:paraId="33CDAE8F" w14:textId="77777777" w:rsidR="00B84CA9" w:rsidRDefault="00B76F56" w:rsidP="00B84CA9">
      <w:r>
        <w:t>3.</w:t>
      </w:r>
      <w:r>
        <w:tab/>
        <w:t>The Veteran had nephrosclerosis diagnosed during service, and now has recurring albumin with casts. In addition, he has essential hypertension with blood pressure readings predominately 170/120 plus symptoms of headaches, dizziness, palpitations and undue fatigue, causing him to lose time from work.</w:t>
      </w:r>
    </w:p>
    <w:p w14:paraId="33CDAE90" w14:textId="77777777" w:rsidR="00B84CA9" w:rsidRDefault="00B84CA9" w:rsidP="00B84CA9"/>
    <w:p w14:paraId="33CDAE91" w14:textId="77777777" w:rsidR="00B84CA9" w:rsidRDefault="00B84CA9" w:rsidP="00B84CA9"/>
    <w:p w14:paraId="33CDAE92" w14:textId="77777777" w:rsidR="00B84CA9" w:rsidRDefault="00B84CA9" w:rsidP="00B84CA9"/>
    <w:p w14:paraId="33CDAE93" w14:textId="77777777" w:rsidR="00B84CA9" w:rsidRDefault="00B84CA9" w:rsidP="00B84CA9"/>
    <w:p w14:paraId="33CDAE94" w14:textId="77777777" w:rsidR="00B84CA9" w:rsidRDefault="00B84CA9" w:rsidP="00B84CA9"/>
    <w:p w14:paraId="33CDAE95" w14:textId="77777777" w:rsidR="00B84CA9" w:rsidRDefault="00B84CA9" w:rsidP="00B84CA9"/>
    <w:p w14:paraId="33CDAE96" w14:textId="77777777" w:rsidR="00B84CA9" w:rsidRDefault="00B84CA9" w:rsidP="00B84CA9"/>
    <w:p w14:paraId="33CDAE97" w14:textId="77777777" w:rsidR="00B84CA9" w:rsidRDefault="00B84CA9" w:rsidP="00B84CA9"/>
    <w:p w14:paraId="33CDAE98" w14:textId="77777777" w:rsidR="00B84CA9" w:rsidRDefault="00B84CA9" w:rsidP="00B84CA9">
      <w:pPr>
        <w:rPr>
          <w:szCs w:val="24"/>
        </w:rPr>
      </w:pPr>
      <w:r>
        <w:lastRenderedPageBreak/>
        <w:t xml:space="preserve">4.         </w:t>
      </w:r>
      <w:r w:rsidRPr="00B84CA9">
        <w:rPr>
          <w:szCs w:val="24"/>
        </w:rPr>
        <w:t xml:space="preserve">The Veteran is service connected for diabetes mellitus, type II, presumptively associated to herbicide exposure, since 2005, with diabetic nephropathy separately evaluated at 60% due to definite decrease in kidney function.  We receive a new claim for compensation for coronary artery disease on December 15, 2015.  The IHD DBQ on March 15, 2016 shows a confirmed diagnosis of CAD diagnosed in 2014, with LVEF of 40%.  </w:t>
      </w:r>
    </w:p>
    <w:p w14:paraId="33CDAE99" w14:textId="77777777" w:rsidR="00B84CA9" w:rsidRDefault="00B84CA9" w:rsidP="00B84CA9">
      <w:pPr>
        <w:rPr>
          <w:szCs w:val="24"/>
        </w:rPr>
      </w:pPr>
    </w:p>
    <w:p w14:paraId="33CDAE9A" w14:textId="77777777" w:rsidR="00B84CA9" w:rsidRDefault="00B84CA9" w:rsidP="00B84CA9">
      <w:pPr>
        <w:rPr>
          <w:szCs w:val="24"/>
        </w:rPr>
      </w:pPr>
    </w:p>
    <w:p w14:paraId="33CDAE9B" w14:textId="77777777" w:rsidR="00B84CA9" w:rsidRDefault="00B84CA9" w:rsidP="00B84CA9">
      <w:pPr>
        <w:rPr>
          <w:szCs w:val="24"/>
        </w:rPr>
      </w:pPr>
    </w:p>
    <w:p w14:paraId="33CDAE9C" w14:textId="77777777" w:rsidR="00B84CA9" w:rsidRPr="00B84CA9" w:rsidRDefault="00B84CA9" w:rsidP="00B84CA9"/>
    <w:p w14:paraId="33CDAE9D" w14:textId="77777777" w:rsidR="00B84CA9" w:rsidRDefault="00B84CA9" w:rsidP="00B84CA9"/>
    <w:p w14:paraId="33CDAE9E" w14:textId="77777777" w:rsidR="00B84CA9" w:rsidRDefault="00B84CA9" w:rsidP="00B84CA9"/>
    <w:p w14:paraId="33CDAE9F" w14:textId="77777777" w:rsidR="00B84CA9" w:rsidRDefault="00B84CA9" w:rsidP="00B84CA9"/>
    <w:p w14:paraId="33CDAEA0" w14:textId="77777777" w:rsidR="00B84CA9" w:rsidRDefault="00B84CA9" w:rsidP="00B84CA9">
      <w:r w:rsidRPr="00B84CA9">
        <w:t>5.</w:t>
      </w:r>
      <w:r w:rsidRPr="00B84CA9">
        <w:tab/>
        <w:t xml:space="preserve">The Veteran is service connected for diabetic nephropathy as well as prostate cancer.  VA exam results indicate voiding dysfunction related to prostate cancer requiring the wearing of absorbent materials which must be changed 2 to 4 times per day.  Lab results also indicate creatinine levels of 2.1mg% (upper lab limits 1.4mg%) are directly related to diabetic nephropathy.  </w:t>
      </w:r>
    </w:p>
    <w:sectPr w:rsidR="00B84CA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C1AF9" w14:textId="77777777" w:rsidR="009B54BD" w:rsidRDefault="009B54BD">
      <w:pPr>
        <w:spacing w:before="0"/>
      </w:pPr>
      <w:r>
        <w:separator/>
      </w:r>
    </w:p>
  </w:endnote>
  <w:endnote w:type="continuationSeparator" w:id="0">
    <w:p w14:paraId="1FD4C77A" w14:textId="77777777" w:rsidR="009B54BD" w:rsidRDefault="009B54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DAEA5" w14:textId="77777777" w:rsidR="002A630B" w:rsidRDefault="002A630B">
    <w:pPr>
      <w:pStyle w:val="Footer"/>
      <w:jc w:val="right"/>
    </w:pPr>
    <w:r>
      <w:t xml:space="preserve">Febuary 2016                                                                            </w:t>
    </w:r>
    <w:r w:rsidR="006E6790">
      <w:t xml:space="preserve">                             </w:t>
    </w:r>
    <w:r>
      <w:t xml:space="preserve">       </w:t>
    </w:r>
    <w:sdt>
      <w:sdtPr>
        <w:id w:val="1674066322"/>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E31625">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31625">
              <w:rPr>
                <w:b/>
                <w:bCs/>
                <w:noProof/>
              </w:rPr>
              <w:t>9</w:t>
            </w:r>
            <w:r>
              <w:rPr>
                <w:b/>
                <w:bCs/>
                <w:szCs w:val="24"/>
              </w:rPr>
              <w:fldChar w:fldCharType="end"/>
            </w:r>
          </w:sdtContent>
        </w:sdt>
      </w:sdtContent>
    </w:sdt>
  </w:p>
  <w:p w14:paraId="33CDAEA6" w14:textId="77777777" w:rsidR="00AA1A39" w:rsidRDefault="00AA1A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2579F" w14:textId="77777777" w:rsidR="009B54BD" w:rsidRDefault="009B54BD">
      <w:pPr>
        <w:spacing w:before="0"/>
      </w:pPr>
      <w:r>
        <w:separator/>
      </w:r>
    </w:p>
  </w:footnote>
  <w:footnote w:type="continuationSeparator" w:id="0">
    <w:p w14:paraId="4B75DDDB" w14:textId="77777777" w:rsidR="009B54BD" w:rsidRDefault="009B54B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E4AD3"/>
    <w:multiLevelType w:val="hybridMultilevel"/>
    <w:tmpl w:val="6E0E8B50"/>
    <w:lvl w:ilvl="0" w:tplc="DB48DFCE">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0BC35AB2"/>
    <w:multiLevelType w:val="hybridMultilevel"/>
    <w:tmpl w:val="6C70774A"/>
    <w:lvl w:ilvl="0" w:tplc="1CA8B752">
      <w:numFmt w:val="bullet"/>
      <w:lvlText w:val=""/>
      <w:lvlJc w:val="left"/>
      <w:pPr>
        <w:ind w:left="945" w:hanging="360"/>
      </w:pPr>
      <w:rPr>
        <w:rFonts w:ascii="Wingdings" w:eastAsia="Times New Roman" w:hAnsi="Wingdings" w:cs="Times New Roman"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
    <w:nsid w:val="126A2CB4"/>
    <w:multiLevelType w:val="hybridMultilevel"/>
    <w:tmpl w:val="BEA2F40E"/>
    <w:lvl w:ilvl="0" w:tplc="04090001">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71052"/>
    <w:multiLevelType w:val="hybridMultilevel"/>
    <w:tmpl w:val="99EEE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B27D7"/>
    <w:multiLevelType w:val="singleLevel"/>
    <w:tmpl w:val="C2C6DE7E"/>
    <w:lvl w:ilvl="0">
      <w:start w:val="3"/>
      <w:numFmt w:val="decimal"/>
      <w:lvlText w:val="%1."/>
      <w:legacy w:legacy="1" w:legacySpace="0" w:legacyIndent="360"/>
      <w:lvlJc w:val="left"/>
      <w:pPr>
        <w:ind w:left="360" w:hanging="360"/>
      </w:p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40460"/>
    <w:multiLevelType w:val="hybridMultilevel"/>
    <w:tmpl w:val="DE6093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61024F"/>
    <w:multiLevelType w:val="hybridMultilevel"/>
    <w:tmpl w:val="70A25B98"/>
    <w:lvl w:ilvl="0" w:tplc="04090001">
      <w:start w:val="1"/>
      <w:numFmt w:val="bullet"/>
      <w:lvlText w:val=""/>
      <w:lvlJc w:val="left"/>
      <w:pPr>
        <w:ind w:left="950" w:hanging="360"/>
      </w:pPr>
      <w:rPr>
        <w:rFonts w:ascii="Symbol" w:hAnsi="Symbol" w:hint="default"/>
      </w:rPr>
    </w:lvl>
    <w:lvl w:ilvl="1" w:tplc="04090003">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2">
    <w:nsid w:val="2C420F55"/>
    <w:multiLevelType w:val="hybridMultilevel"/>
    <w:tmpl w:val="3160ACCA"/>
    <w:lvl w:ilvl="0" w:tplc="A9B89EC4">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7736F"/>
    <w:multiLevelType w:val="hybridMultilevel"/>
    <w:tmpl w:val="A426B5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15494"/>
    <w:multiLevelType w:val="hybridMultilevel"/>
    <w:tmpl w:val="03C4D8B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6">
    <w:nsid w:val="34B42851"/>
    <w:multiLevelType w:val="hybridMultilevel"/>
    <w:tmpl w:val="F5BAA126"/>
    <w:lvl w:ilvl="0" w:tplc="B59A54BA">
      <w:numFmt w:val="bullet"/>
      <w:lvlText w:val=""/>
      <w:lvlJc w:val="left"/>
      <w:pPr>
        <w:ind w:left="945" w:hanging="360"/>
      </w:pPr>
      <w:rPr>
        <w:rFonts w:ascii="Wingdings" w:eastAsia="Times New Roman" w:hAnsi="Wingdings"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nsid w:val="38C77704"/>
    <w:multiLevelType w:val="hybridMultilevel"/>
    <w:tmpl w:val="4B0E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922EA6"/>
    <w:multiLevelType w:val="hybridMultilevel"/>
    <w:tmpl w:val="2D08DA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3D1A4BCA"/>
    <w:multiLevelType w:val="hybridMultilevel"/>
    <w:tmpl w:val="4F7C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5">
    <w:nsid w:val="409841A1"/>
    <w:multiLevelType w:val="hybridMultilevel"/>
    <w:tmpl w:val="1690E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315F51"/>
    <w:multiLevelType w:val="hybridMultilevel"/>
    <w:tmpl w:val="038686C6"/>
    <w:lvl w:ilvl="0" w:tplc="093A72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8832A5"/>
    <w:multiLevelType w:val="hybridMultilevel"/>
    <w:tmpl w:val="DDA49E00"/>
    <w:lvl w:ilvl="0" w:tplc="A5A06736">
      <w:numFmt w:val="bullet"/>
      <w:lvlText w:val=""/>
      <w:lvlJc w:val="left"/>
      <w:pPr>
        <w:ind w:left="720" w:hanging="360"/>
      </w:pPr>
      <w:rPr>
        <w:rFonts w:ascii="Wingdings" w:eastAsia="Times New Roman" w:hAnsi="Wingdings"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85752"/>
    <w:multiLevelType w:val="hybridMultilevel"/>
    <w:tmpl w:val="D30E6320"/>
    <w:lvl w:ilvl="0" w:tplc="8D70905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0">
    <w:nsid w:val="5A110E9A"/>
    <w:multiLevelType w:val="hybridMultilevel"/>
    <w:tmpl w:val="F0CC8B9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1">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4D32DDF"/>
    <w:multiLevelType w:val="hybridMultilevel"/>
    <w:tmpl w:val="FB7C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E0031D"/>
    <w:multiLevelType w:val="hybridMultilevel"/>
    <w:tmpl w:val="D332C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6A710B"/>
    <w:multiLevelType w:val="hybridMultilevel"/>
    <w:tmpl w:val="F594D6D0"/>
    <w:lvl w:ilvl="0" w:tplc="A5A06736">
      <w:numFmt w:val="bullet"/>
      <w:lvlText w:val=""/>
      <w:lvlJc w:val="left"/>
      <w:pPr>
        <w:ind w:left="1440" w:hanging="360"/>
      </w:pPr>
      <w:rPr>
        <w:rFonts w:ascii="Wingdings" w:eastAsia="Times New Roman" w:hAnsi="Wingdings" w:cs="Times New Roman"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6"/>
  </w:num>
  <w:num w:numId="3">
    <w:abstractNumId w:val="24"/>
  </w:num>
  <w:num w:numId="4">
    <w:abstractNumId w:val="20"/>
  </w:num>
  <w:num w:numId="5">
    <w:abstractNumId w:val="33"/>
  </w:num>
  <w:num w:numId="6">
    <w:abstractNumId w:val="3"/>
  </w:num>
  <w:num w:numId="7">
    <w:abstractNumId w:val="9"/>
  </w:num>
  <w:num w:numId="8">
    <w:abstractNumId w:val="35"/>
  </w:num>
  <w:num w:numId="9">
    <w:abstractNumId w:val="22"/>
  </w:num>
  <w:num w:numId="10">
    <w:abstractNumId w:val="2"/>
  </w:num>
  <w:num w:numId="11">
    <w:abstractNumId w:val="18"/>
  </w:num>
  <w:num w:numId="12">
    <w:abstractNumId w:val="38"/>
  </w:num>
  <w:num w:numId="13">
    <w:abstractNumId w:val="0"/>
  </w:num>
  <w:num w:numId="14">
    <w:abstractNumId w:val="31"/>
  </w:num>
  <w:num w:numId="15">
    <w:abstractNumId w:val="19"/>
  </w:num>
  <w:num w:numId="16">
    <w:abstractNumId w:val="7"/>
  </w:num>
  <w:num w:numId="17">
    <w:abstractNumId w:val="28"/>
  </w:num>
  <w:num w:numId="18">
    <w:abstractNumId w:val="32"/>
  </w:num>
  <w:num w:numId="19">
    <w:abstractNumId w:val="29"/>
  </w:num>
  <w:num w:numId="20">
    <w:abstractNumId w:val="4"/>
  </w:num>
  <w:num w:numId="21">
    <w:abstractNumId w:val="6"/>
  </w:num>
  <w:num w:numId="22">
    <w:abstractNumId w:val="30"/>
  </w:num>
  <w:num w:numId="23">
    <w:abstractNumId w:val="25"/>
  </w:num>
  <w:num w:numId="24">
    <w:abstractNumId w:val="34"/>
  </w:num>
  <w:num w:numId="25">
    <w:abstractNumId w:val="23"/>
  </w:num>
  <w:num w:numId="26">
    <w:abstractNumId w:val="12"/>
  </w:num>
  <w:num w:numId="27">
    <w:abstractNumId w:val="27"/>
  </w:num>
  <w:num w:numId="28">
    <w:abstractNumId w:val="37"/>
  </w:num>
  <w:num w:numId="29">
    <w:abstractNumId w:val="5"/>
  </w:num>
  <w:num w:numId="30">
    <w:abstractNumId w:val="17"/>
  </w:num>
  <w:num w:numId="31">
    <w:abstractNumId w:val="1"/>
  </w:num>
  <w:num w:numId="32">
    <w:abstractNumId w:val="10"/>
  </w:num>
  <w:num w:numId="33">
    <w:abstractNumId w:val="26"/>
  </w:num>
  <w:num w:numId="34">
    <w:abstractNumId w:val="11"/>
  </w:num>
  <w:num w:numId="35">
    <w:abstractNumId w:val="16"/>
  </w:num>
  <w:num w:numId="36">
    <w:abstractNumId w:val="15"/>
  </w:num>
  <w:num w:numId="37">
    <w:abstractNumId w:val="8"/>
  </w:num>
  <w:num w:numId="38">
    <w:abstractNumId w:val="2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0229A"/>
    <w:rsid w:val="000B44D3"/>
    <w:rsid w:val="000E3279"/>
    <w:rsid w:val="001026F8"/>
    <w:rsid w:val="00163AA7"/>
    <w:rsid w:val="001925A2"/>
    <w:rsid w:val="001948B1"/>
    <w:rsid w:val="001C38D3"/>
    <w:rsid w:val="00244857"/>
    <w:rsid w:val="002A630B"/>
    <w:rsid w:val="00335191"/>
    <w:rsid w:val="00375E4E"/>
    <w:rsid w:val="003B11BD"/>
    <w:rsid w:val="003C3F7E"/>
    <w:rsid w:val="003F7729"/>
    <w:rsid w:val="004005BD"/>
    <w:rsid w:val="005175F0"/>
    <w:rsid w:val="0052286D"/>
    <w:rsid w:val="005361DF"/>
    <w:rsid w:val="0059633D"/>
    <w:rsid w:val="005C54DC"/>
    <w:rsid w:val="005E6CC5"/>
    <w:rsid w:val="006175E9"/>
    <w:rsid w:val="006B0C0F"/>
    <w:rsid w:val="006E6790"/>
    <w:rsid w:val="00715FF9"/>
    <w:rsid w:val="00724AD5"/>
    <w:rsid w:val="007A5600"/>
    <w:rsid w:val="008B5F06"/>
    <w:rsid w:val="00975461"/>
    <w:rsid w:val="009A671D"/>
    <w:rsid w:val="009B54BD"/>
    <w:rsid w:val="00A26F18"/>
    <w:rsid w:val="00AA1A39"/>
    <w:rsid w:val="00AA2D14"/>
    <w:rsid w:val="00B11B27"/>
    <w:rsid w:val="00B67F48"/>
    <w:rsid w:val="00B71144"/>
    <w:rsid w:val="00B76F56"/>
    <w:rsid w:val="00B84CA9"/>
    <w:rsid w:val="00B95C96"/>
    <w:rsid w:val="00BD181F"/>
    <w:rsid w:val="00C433EE"/>
    <w:rsid w:val="00C7114B"/>
    <w:rsid w:val="00CB42E5"/>
    <w:rsid w:val="00D05745"/>
    <w:rsid w:val="00D90DC8"/>
    <w:rsid w:val="00DA38DE"/>
    <w:rsid w:val="00E31625"/>
    <w:rsid w:val="00E35C8B"/>
    <w:rsid w:val="00E37760"/>
    <w:rsid w:val="00E45692"/>
    <w:rsid w:val="00EC4154"/>
    <w:rsid w:val="00F04839"/>
    <w:rsid w:val="00F356B9"/>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2A63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2A6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012033859">
      <w:bodyDiv w:val="1"/>
      <w:marLeft w:val="0"/>
      <w:marRight w:val="0"/>
      <w:marTop w:val="0"/>
      <w:marBottom w:val="0"/>
      <w:divBdr>
        <w:top w:val="none" w:sz="0" w:space="0" w:color="auto"/>
        <w:left w:val="none" w:sz="0" w:space="0" w:color="auto"/>
        <w:bottom w:val="none" w:sz="0" w:space="0" w:color="auto"/>
        <w:right w:val="none" w:sz="0" w:space="0" w:color="auto"/>
      </w:divBdr>
      <w:divsChild>
        <w:div w:id="734277947">
          <w:marLeft w:val="0"/>
          <w:marRight w:val="0"/>
          <w:marTop w:val="0"/>
          <w:marBottom w:val="0"/>
          <w:divBdr>
            <w:top w:val="none" w:sz="0" w:space="0" w:color="auto"/>
            <w:left w:val="none" w:sz="0" w:space="0" w:color="auto"/>
            <w:bottom w:val="none" w:sz="0" w:space="0" w:color="auto"/>
            <w:right w:val="none" w:sz="0" w:space="0" w:color="auto"/>
          </w:divBdr>
          <w:divsChild>
            <w:div w:id="272514620">
              <w:marLeft w:val="0"/>
              <w:marRight w:val="0"/>
              <w:marTop w:val="0"/>
              <w:marBottom w:val="0"/>
              <w:divBdr>
                <w:top w:val="none" w:sz="0" w:space="0" w:color="auto"/>
                <w:left w:val="none" w:sz="0" w:space="0" w:color="auto"/>
                <w:bottom w:val="none" w:sz="0" w:space="0" w:color="auto"/>
                <w:right w:val="none" w:sz="0" w:space="0" w:color="auto"/>
              </w:divBdr>
              <w:divsChild>
                <w:div w:id="202911684">
                  <w:marLeft w:val="0"/>
                  <w:marRight w:val="0"/>
                  <w:marTop w:val="0"/>
                  <w:marBottom w:val="0"/>
                  <w:divBdr>
                    <w:top w:val="none" w:sz="0" w:space="0" w:color="auto"/>
                    <w:left w:val="none" w:sz="0" w:space="0" w:color="auto"/>
                    <w:bottom w:val="none" w:sz="0" w:space="0" w:color="auto"/>
                    <w:right w:val="none" w:sz="0" w:space="0" w:color="auto"/>
                  </w:divBdr>
                  <w:divsChild>
                    <w:div w:id="188301353">
                      <w:marLeft w:val="0"/>
                      <w:marRight w:val="0"/>
                      <w:marTop w:val="0"/>
                      <w:marBottom w:val="0"/>
                      <w:divBdr>
                        <w:top w:val="none" w:sz="0" w:space="0" w:color="auto"/>
                        <w:left w:val="none" w:sz="0" w:space="0" w:color="auto"/>
                        <w:bottom w:val="none" w:sz="0" w:space="0" w:color="auto"/>
                        <w:right w:val="none" w:sz="0" w:space="0" w:color="auto"/>
                      </w:divBdr>
                      <w:divsChild>
                        <w:div w:id="747265231">
                          <w:marLeft w:val="0"/>
                          <w:marRight w:val="0"/>
                          <w:marTop w:val="45"/>
                          <w:marBottom w:val="0"/>
                          <w:divBdr>
                            <w:top w:val="none" w:sz="0" w:space="0" w:color="auto"/>
                            <w:left w:val="none" w:sz="0" w:space="0" w:color="auto"/>
                            <w:bottom w:val="none" w:sz="0" w:space="0" w:color="auto"/>
                            <w:right w:val="none" w:sz="0" w:space="0" w:color="auto"/>
                          </w:divBdr>
                          <w:divsChild>
                            <w:div w:id="1715930961">
                              <w:marLeft w:val="0"/>
                              <w:marRight w:val="0"/>
                              <w:marTop w:val="0"/>
                              <w:marBottom w:val="0"/>
                              <w:divBdr>
                                <w:top w:val="none" w:sz="0" w:space="0" w:color="auto"/>
                                <w:left w:val="none" w:sz="0" w:space="0" w:color="auto"/>
                                <w:bottom w:val="none" w:sz="0" w:space="0" w:color="auto"/>
                                <w:right w:val="none" w:sz="0" w:space="0" w:color="auto"/>
                              </w:divBdr>
                              <w:divsChild>
                                <w:div w:id="1677919088">
                                  <w:marLeft w:val="2070"/>
                                  <w:marRight w:val="3810"/>
                                  <w:marTop w:val="0"/>
                                  <w:marBottom w:val="0"/>
                                  <w:divBdr>
                                    <w:top w:val="none" w:sz="0" w:space="0" w:color="auto"/>
                                    <w:left w:val="none" w:sz="0" w:space="0" w:color="auto"/>
                                    <w:bottom w:val="none" w:sz="0" w:space="0" w:color="auto"/>
                                    <w:right w:val="none" w:sz="0" w:space="0" w:color="auto"/>
                                  </w:divBdr>
                                  <w:divsChild>
                                    <w:div w:id="367415788">
                                      <w:marLeft w:val="0"/>
                                      <w:marRight w:val="0"/>
                                      <w:marTop w:val="0"/>
                                      <w:marBottom w:val="0"/>
                                      <w:divBdr>
                                        <w:top w:val="none" w:sz="0" w:space="0" w:color="auto"/>
                                        <w:left w:val="none" w:sz="0" w:space="0" w:color="auto"/>
                                        <w:bottom w:val="none" w:sz="0" w:space="0" w:color="auto"/>
                                        <w:right w:val="none" w:sz="0" w:space="0" w:color="auto"/>
                                      </w:divBdr>
                                      <w:divsChild>
                                        <w:div w:id="1313755172">
                                          <w:marLeft w:val="0"/>
                                          <w:marRight w:val="0"/>
                                          <w:marTop w:val="0"/>
                                          <w:marBottom w:val="0"/>
                                          <w:divBdr>
                                            <w:top w:val="none" w:sz="0" w:space="0" w:color="auto"/>
                                            <w:left w:val="none" w:sz="0" w:space="0" w:color="auto"/>
                                            <w:bottom w:val="none" w:sz="0" w:space="0" w:color="auto"/>
                                            <w:right w:val="none" w:sz="0" w:space="0" w:color="auto"/>
                                          </w:divBdr>
                                          <w:divsChild>
                                            <w:div w:id="713695733">
                                              <w:marLeft w:val="0"/>
                                              <w:marRight w:val="0"/>
                                              <w:marTop w:val="0"/>
                                              <w:marBottom w:val="0"/>
                                              <w:divBdr>
                                                <w:top w:val="none" w:sz="0" w:space="0" w:color="auto"/>
                                                <w:left w:val="none" w:sz="0" w:space="0" w:color="auto"/>
                                                <w:bottom w:val="none" w:sz="0" w:space="0" w:color="auto"/>
                                                <w:right w:val="none" w:sz="0" w:space="0" w:color="auto"/>
                                              </w:divBdr>
                                              <w:divsChild>
                                                <w:div w:id="584001990">
                                                  <w:marLeft w:val="0"/>
                                                  <w:marRight w:val="0"/>
                                                  <w:marTop w:val="0"/>
                                                  <w:marBottom w:val="0"/>
                                                  <w:divBdr>
                                                    <w:top w:val="none" w:sz="0" w:space="0" w:color="auto"/>
                                                    <w:left w:val="none" w:sz="0" w:space="0" w:color="auto"/>
                                                    <w:bottom w:val="none" w:sz="0" w:space="0" w:color="auto"/>
                                                    <w:right w:val="none" w:sz="0" w:space="0" w:color="auto"/>
                                                  </w:divBdr>
                                                  <w:divsChild>
                                                    <w:div w:id="2018654219">
                                                      <w:marLeft w:val="0"/>
                                                      <w:marRight w:val="0"/>
                                                      <w:marTop w:val="0"/>
                                                      <w:marBottom w:val="345"/>
                                                      <w:divBdr>
                                                        <w:top w:val="none" w:sz="0" w:space="0" w:color="auto"/>
                                                        <w:left w:val="none" w:sz="0" w:space="0" w:color="auto"/>
                                                        <w:bottom w:val="none" w:sz="0" w:space="0" w:color="auto"/>
                                                        <w:right w:val="none" w:sz="0" w:space="0" w:color="auto"/>
                                                      </w:divBdr>
                                                      <w:divsChild>
                                                        <w:div w:id="988629504">
                                                          <w:marLeft w:val="0"/>
                                                          <w:marRight w:val="0"/>
                                                          <w:marTop w:val="0"/>
                                                          <w:marBottom w:val="0"/>
                                                          <w:divBdr>
                                                            <w:top w:val="none" w:sz="0" w:space="0" w:color="auto"/>
                                                            <w:left w:val="none" w:sz="0" w:space="0" w:color="auto"/>
                                                            <w:bottom w:val="none" w:sz="0" w:space="0" w:color="auto"/>
                                                            <w:right w:val="none" w:sz="0" w:space="0" w:color="auto"/>
                                                          </w:divBdr>
                                                          <w:divsChild>
                                                            <w:div w:id="1733961662">
                                                              <w:marLeft w:val="0"/>
                                                              <w:marRight w:val="0"/>
                                                              <w:marTop w:val="0"/>
                                                              <w:marBottom w:val="0"/>
                                                              <w:divBdr>
                                                                <w:top w:val="none" w:sz="0" w:space="0" w:color="auto"/>
                                                                <w:left w:val="none" w:sz="0" w:space="0" w:color="auto"/>
                                                                <w:bottom w:val="none" w:sz="0" w:space="0" w:color="auto"/>
                                                                <w:right w:val="none" w:sz="0" w:space="0" w:color="auto"/>
                                                              </w:divBdr>
                                                              <w:divsChild>
                                                                <w:div w:id="518550715">
                                                                  <w:marLeft w:val="0"/>
                                                                  <w:marRight w:val="0"/>
                                                                  <w:marTop w:val="0"/>
                                                                  <w:marBottom w:val="0"/>
                                                                  <w:divBdr>
                                                                    <w:top w:val="none" w:sz="0" w:space="0" w:color="auto"/>
                                                                    <w:left w:val="none" w:sz="0" w:space="0" w:color="auto"/>
                                                                    <w:bottom w:val="none" w:sz="0" w:space="0" w:color="auto"/>
                                                                    <w:right w:val="none" w:sz="0" w:space="0" w:color="auto"/>
                                                                  </w:divBdr>
                                                                  <w:divsChild>
                                                                    <w:div w:id="1125583220">
                                                                      <w:marLeft w:val="0"/>
                                                                      <w:marRight w:val="0"/>
                                                                      <w:marTop w:val="0"/>
                                                                      <w:marBottom w:val="0"/>
                                                                      <w:divBdr>
                                                                        <w:top w:val="none" w:sz="0" w:space="0" w:color="auto"/>
                                                                        <w:left w:val="none" w:sz="0" w:space="0" w:color="auto"/>
                                                                        <w:bottom w:val="none" w:sz="0" w:space="0" w:color="auto"/>
                                                                        <w:right w:val="none" w:sz="0" w:space="0" w:color="auto"/>
                                                                      </w:divBdr>
                                                                      <w:divsChild>
                                                                        <w:div w:id="1987777602">
                                                                          <w:marLeft w:val="0"/>
                                                                          <w:marRight w:val="0"/>
                                                                          <w:marTop w:val="0"/>
                                                                          <w:marBottom w:val="0"/>
                                                                          <w:divBdr>
                                                                            <w:top w:val="none" w:sz="0" w:space="0" w:color="auto"/>
                                                                            <w:left w:val="none" w:sz="0" w:space="0" w:color="auto"/>
                                                                            <w:bottom w:val="none" w:sz="0" w:space="0" w:color="auto"/>
                                                                            <w:right w:val="none" w:sz="0" w:space="0" w:color="auto"/>
                                                                          </w:divBdr>
                                                                          <w:divsChild>
                                                                            <w:div w:id="1505323062">
                                                                              <w:marLeft w:val="0"/>
                                                                              <w:marRight w:val="0"/>
                                                                              <w:marTop w:val="0"/>
                                                                              <w:marBottom w:val="0"/>
                                                                              <w:divBdr>
                                                                                <w:top w:val="none" w:sz="0" w:space="0" w:color="auto"/>
                                                                                <w:left w:val="none" w:sz="0" w:space="0" w:color="auto"/>
                                                                                <w:bottom w:val="none" w:sz="0" w:space="0" w:color="auto"/>
                                                                                <w:right w:val="none" w:sz="0" w:space="0" w:color="auto"/>
                                                                              </w:divBdr>
                                                                              <w:divsChild>
                                                                                <w:div w:id="1245455245">
                                                                                  <w:marLeft w:val="0"/>
                                                                                  <w:marRight w:val="0"/>
                                                                                  <w:marTop w:val="0"/>
                                                                                  <w:marBottom w:val="0"/>
                                                                                  <w:divBdr>
                                                                                    <w:top w:val="none" w:sz="0" w:space="0" w:color="auto"/>
                                                                                    <w:left w:val="none" w:sz="0" w:space="0" w:color="auto"/>
                                                                                    <w:bottom w:val="none" w:sz="0" w:space="0" w:color="auto"/>
                                                                                    <w:right w:val="none" w:sz="0" w:space="0" w:color="auto"/>
                                                                                  </w:divBdr>
                                                                                  <w:divsChild>
                                                                                    <w:div w:id="475757582">
                                                                                      <w:marLeft w:val="0"/>
                                                                                      <w:marRight w:val="0"/>
                                                                                      <w:marTop w:val="0"/>
                                                                                      <w:marBottom w:val="0"/>
                                                                                      <w:divBdr>
                                                                                        <w:top w:val="none" w:sz="0" w:space="0" w:color="auto"/>
                                                                                        <w:left w:val="none" w:sz="0" w:space="0" w:color="auto"/>
                                                                                        <w:bottom w:val="none" w:sz="0" w:space="0" w:color="auto"/>
                                                                                        <w:right w:val="none" w:sz="0" w:space="0" w:color="auto"/>
                                                                                      </w:divBdr>
                                                                                      <w:divsChild>
                                                                                        <w:div w:id="1029379688">
                                                                                          <w:marLeft w:val="0"/>
                                                                                          <w:marRight w:val="0"/>
                                                                                          <w:marTop w:val="0"/>
                                                                                          <w:marBottom w:val="0"/>
                                                                                          <w:divBdr>
                                                                                            <w:top w:val="none" w:sz="0" w:space="0" w:color="auto"/>
                                                                                            <w:left w:val="none" w:sz="0" w:space="0" w:color="auto"/>
                                                                                            <w:bottom w:val="none" w:sz="0" w:space="0" w:color="auto"/>
                                                                                            <w:right w:val="none" w:sz="0" w:space="0" w:color="auto"/>
                                                                                          </w:divBdr>
                                                                                          <w:divsChild>
                                                                                            <w:div w:id="1688482287">
                                                                                              <w:marLeft w:val="0"/>
                                                                                              <w:marRight w:val="0"/>
                                                                                              <w:marTop w:val="0"/>
                                                                                              <w:marBottom w:val="0"/>
                                                                                              <w:divBdr>
                                                                                                <w:top w:val="none" w:sz="0" w:space="0" w:color="auto"/>
                                                                                                <w:left w:val="none" w:sz="0" w:space="0" w:color="auto"/>
                                                                                                <w:bottom w:val="none" w:sz="0" w:space="0" w:color="auto"/>
                                                                                                <w:right w:val="none" w:sz="0" w:space="0" w:color="auto"/>
                                                                                              </w:divBdr>
                                                                                              <w:divsChild>
                                                                                                <w:div w:id="1802455118">
                                                                                                  <w:marLeft w:val="300"/>
                                                                                                  <w:marRight w:val="0"/>
                                                                                                  <w:marTop w:val="0"/>
                                                                                                  <w:marBottom w:val="0"/>
                                                                                                  <w:divBdr>
                                                                                                    <w:top w:val="none" w:sz="0" w:space="0" w:color="auto"/>
                                                                                                    <w:left w:val="none" w:sz="0" w:space="0" w:color="auto"/>
                                                                                                    <w:bottom w:val="none" w:sz="0" w:space="0" w:color="auto"/>
                                                                                                    <w:right w:val="none" w:sz="0" w:space="0" w:color="auto"/>
                                                                                                  </w:divBdr>
                                                                                                  <w:divsChild>
                                                                                                    <w:div w:id="1315797827">
                                                                                                      <w:marLeft w:val="-300"/>
                                                                                                      <w:marRight w:val="0"/>
                                                                                                      <w:marTop w:val="0"/>
                                                                                                      <w:marBottom w:val="0"/>
                                                                                                      <w:divBdr>
                                                                                                        <w:top w:val="none" w:sz="0" w:space="0" w:color="auto"/>
                                                                                                        <w:left w:val="none" w:sz="0" w:space="0" w:color="auto"/>
                                                                                                        <w:bottom w:val="none" w:sz="0" w:space="0" w:color="auto"/>
                                                                                                        <w:right w:val="none" w:sz="0" w:space="0" w:color="auto"/>
                                                                                                      </w:divBdr>
                                                                                                      <w:divsChild>
                                                                                                        <w:div w:id="8135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4&amp;rgn=div5"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www.ecfr.gov/cgi-bin/text-idx?SID=ad275643432556b9dda942343fb89296&amp;mc=true&amp;node=pt38.1.4&amp;rgn=div5"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cfr.gov/cgi-bin/text-idx?SID=ad275643432556b9dda942343fb89296&amp;mc=true&amp;node=pt38.1.4&amp;rgn=div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222C1E94-B5D2-4FF6-A927-5CEAE431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177</TotalTime>
  <Pages>9</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GENITOURINARY SYSTEM (POST CHALLENGE)</vt:lpstr>
    </vt:vector>
  </TitlesOfParts>
  <Company>Veterans Benefits Administration</Company>
  <LinksUpToDate>false</LinksUpToDate>
  <CharactersWithSpaces>10363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GENITOURINARY SYSTEM (POST CHALLENGE)</dc:title>
  <dc:subject>RVSR</dc:subject>
  <dc:creator>Department of Veterans Affairs, Veterans Benefits Administration, Compensation Service, STAFF</dc:creator>
  <cp:keywords>genitourinary, prostate, creatinine, BUN, erectile dysfunction, SMC, watchful waiting,; nephritis, nephropathy, neprhrolithiasis, calculi, stone</cp:keywords>
  <dc:description>This lesson is intended to highlight key points related to completeing rating decisions pertaining to the Genitourinary System.</dc:description>
  <cp:lastModifiedBy>Gilbert, Sarah</cp:lastModifiedBy>
  <cp:revision>11</cp:revision>
  <dcterms:created xsi:type="dcterms:W3CDTF">2016-01-22T22:46:00Z</dcterms:created>
  <dcterms:modified xsi:type="dcterms:W3CDTF">2016-02-08T18:47:00Z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