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B1336" w14:textId="77777777" w:rsidR="007A5600" w:rsidRPr="00FA0FC7" w:rsidRDefault="000552D0" w:rsidP="00F84C78">
      <w:pPr>
        <w:pStyle w:val="VBALessonPlanName"/>
        <w:spacing w:before="0" w:after="0"/>
        <w:rPr>
          <w:color w:val="auto"/>
        </w:rPr>
      </w:pPr>
      <w:bookmarkStart w:id="0" w:name="_GoBack"/>
      <w:bookmarkEnd w:id="0"/>
      <w:r w:rsidRPr="00FA0FC7">
        <w:rPr>
          <w:color w:val="auto"/>
        </w:rPr>
        <w:t>Changing the Game: VA Examinations</w:t>
      </w:r>
    </w:p>
    <w:p w14:paraId="7A9B1337" w14:textId="77777777" w:rsidR="007A5600" w:rsidRDefault="007A5600" w:rsidP="00F84C78">
      <w:pPr>
        <w:pStyle w:val="VBALessonPlanTitle"/>
        <w:spacing w:before="0" w:after="0"/>
        <w:rPr>
          <w:color w:val="auto"/>
        </w:rPr>
      </w:pPr>
      <w:bookmarkStart w:id="1" w:name="_Toc276556863"/>
      <w:r>
        <w:rPr>
          <w:color w:val="auto"/>
        </w:rPr>
        <w:t>Trainee Handout</w:t>
      </w:r>
      <w:bookmarkEnd w:id="1"/>
    </w:p>
    <w:p w14:paraId="7A9B1338" w14:textId="77777777" w:rsidR="007A5600" w:rsidRDefault="007A5600" w:rsidP="00F84C78">
      <w:pPr>
        <w:pStyle w:val="VBATopicHeading1"/>
        <w:spacing w:before="0" w:after="0"/>
      </w:pPr>
      <w:bookmarkStart w:id="2" w:name="_Toc276556864"/>
    </w:p>
    <w:p w14:paraId="7A9B1339" w14:textId="77777777" w:rsidR="007A5600" w:rsidRDefault="007A5600" w:rsidP="00F84C78">
      <w:pPr>
        <w:spacing w:before="0"/>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7A9B133A" w14:textId="77777777" w:rsidR="007A5600" w:rsidRDefault="007A5600" w:rsidP="00F84C78">
      <w:pPr>
        <w:spacing w:before="0"/>
      </w:pPr>
    </w:p>
    <w:p w14:paraId="055212C8" w14:textId="77777777" w:rsidR="00F2378A"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6075649" w:history="1">
        <w:r w:rsidR="00F2378A" w:rsidRPr="00D96DA5">
          <w:rPr>
            <w:rStyle w:val="Hyperlink"/>
          </w:rPr>
          <w:t>Objectives</w:t>
        </w:r>
        <w:r w:rsidR="00F2378A">
          <w:rPr>
            <w:webHidden/>
          </w:rPr>
          <w:tab/>
        </w:r>
        <w:r w:rsidR="00F2378A">
          <w:rPr>
            <w:webHidden/>
          </w:rPr>
          <w:fldChar w:fldCharType="begin"/>
        </w:r>
        <w:r w:rsidR="00F2378A">
          <w:rPr>
            <w:webHidden/>
          </w:rPr>
          <w:instrText xml:space="preserve"> PAGEREF _Toc446075649 \h </w:instrText>
        </w:r>
        <w:r w:rsidR="00F2378A">
          <w:rPr>
            <w:webHidden/>
          </w:rPr>
        </w:r>
        <w:r w:rsidR="00F2378A">
          <w:rPr>
            <w:webHidden/>
          </w:rPr>
          <w:fldChar w:fldCharType="separate"/>
        </w:r>
        <w:r w:rsidR="00F2378A">
          <w:rPr>
            <w:webHidden/>
          </w:rPr>
          <w:t>2</w:t>
        </w:r>
        <w:r w:rsidR="00F2378A">
          <w:rPr>
            <w:webHidden/>
          </w:rPr>
          <w:fldChar w:fldCharType="end"/>
        </w:r>
      </w:hyperlink>
    </w:p>
    <w:p w14:paraId="38A72460" w14:textId="77777777" w:rsidR="00F2378A" w:rsidRDefault="005810F4">
      <w:pPr>
        <w:pStyle w:val="TOC1"/>
        <w:rPr>
          <w:rFonts w:asciiTheme="minorHAnsi" w:eastAsiaTheme="minorEastAsia" w:hAnsiTheme="minorHAnsi" w:cstheme="minorBidi"/>
          <w:sz w:val="22"/>
        </w:rPr>
      </w:pPr>
      <w:hyperlink w:anchor="_Toc446075650" w:history="1">
        <w:r w:rsidR="00F2378A" w:rsidRPr="00D96DA5">
          <w:rPr>
            <w:rStyle w:val="Hyperlink"/>
          </w:rPr>
          <w:t>References</w:t>
        </w:r>
        <w:r w:rsidR="00F2378A">
          <w:rPr>
            <w:webHidden/>
          </w:rPr>
          <w:tab/>
        </w:r>
        <w:r w:rsidR="00F2378A">
          <w:rPr>
            <w:webHidden/>
          </w:rPr>
          <w:fldChar w:fldCharType="begin"/>
        </w:r>
        <w:r w:rsidR="00F2378A">
          <w:rPr>
            <w:webHidden/>
          </w:rPr>
          <w:instrText xml:space="preserve"> PAGEREF _Toc446075650 \h </w:instrText>
        </w:r>
        <w:r w:rsidR="00F2378A">
          <w:rPr>
            <w:webHidden/>
          </w:rPr>
        </w:r>
        <w:r w:rsidR="00F2378A">
          <w:rPr>
            <w:webHidden/>
          </w:rPr>
          <w:fldChar w:fldCharType="separate"/>
        </w:r>
        <w:r w:rsidR="00F2378A">
          <w:rPr>
            <w:webHidden/>
          </w:rPr>
          <w:t>3</w:t>
        </w:r>
        <w:r w:rsidR="00F2378A">
          <w:rPr>
            <w:webHidden/>
          </w:rPr>
          <w:fldChar w:fldCharType="end"/>
        </w:r>
      </w:hyperlink>
    </w:p>
    <w:p w14:paraId="7F2B46AC" w14:textId="77777777" w:rsidR="00F2378A" w:rsidRDefault="005810F4">
      <w:pPr>
        <w:pStyle w:val="TOC1"/>
        <w:rPr>
          <w:rFonts w:asciiTheme="minorHAnsi" w:eastAsiaTheme="minorEastAsia" w:hAnsiTheme="minorHAnsi" w:cstheme="minorBidi"/>
          <w:sz w:val="22"/>
        </w:rPr>
      </w:pPr>
      <w:hyperlink w:anchor="_Toc446075651" w:history="1">
        <w:r w:rsidR="00F2378A" w:rsidRPr="00D96DA5">
          <w:rPr>
            <w:rStyle w:val="Hyperlink"/>
          </w:rPr>
          <w:t>Topic 1: Examination by Exception</w:t>
        </w:r>
        <w:r w:rsidR="00F2378A">
          <w:rPr>
            <w:webHidden/>
          </w:rPr>
          <w:tab/>
        </w:r>
        <w:r w:rsidR="00F2378A">
          <w:rPr>
            <w:webHidden/>
          </w:rPr>
          <w:fldChar w:fldCharType="begin"/>
        </w:r>
        <w:r w:rsidR="00F2378A">
          <w:rPr>
            <w:webHidden/>
          </w:rPr>
          <w:instrText xml:space="preserve"> PAGEREF _Toc446075651 \h </w:instrText>
        </w:r>
        <w:r w:rsidR="00F2378A">
          <w:rPr>
            <w:webHidden/>
          </w:rPr>
        </w:r>
        <w:r w:rsidR="00F2378A">
          <w:rPr>
            <w:webHidden/>
          </w:rPr>
          <w:fldChar w:fldCharType="separate"/>
        </w:r>
        <w:r w:rsidR="00F2378A">
          <w:rPr>
            <w:webHidden/>
          </w:rPr>
          <w:t>4</w:t>
        </w:r>
        <w:r w:rsidR="00F2378A">
          <w:rPr>
            <w:webHidden/>
          </w:rPr>
          <w:fldChar w:fldCharType="end"/>
        </w:r>
      </w:hyperlink>
    </w:p>
    <w:p w14:paraId="3A431F7C" w14:textId="77777777" w:rsidR="00F2378A" w:rsidRDefault="005810F4">
      <w:pPr>
        <w:pStyle w:val="TOC1"/>
        <w:rPr>
          <w:rFonts w:asciiTheme="minorHAnsi" w:eastAsiaTheme="minorEastAsia" w:hAnsiTheme="minorHAnsi" w:cstheme="minorBidi"/>
          <w:sz w:val="22"/>
        </w:rPr>
      </w:pPr>
      <w:hyperlink w:anchor="_Toc446075652" w:history="1">
        <w:r w:rsidR="00F2378A" w:rsidRPr="00D96DA5">
          <w:rPr>
            <w:rStyle w:val="Hyperlink"/>
          </w:rPr>
          <w:t>Examples</w:t>
        </w:r>
        <w:r w:rsidR="00F2378A">
          <w:rPr>
            <w:webHidden/>
          </w:rPr>
          <w:tab/>
        </w:r>
        <w:r w:rsidR="00F2378A">
          <w:rPr>
            <w:webHidden/>
          </w:rPr>
          <w:fldChar w:fldCharType="begin"/>
        </w:r>
        <w:r w:rsidR="00F2378A">
          <w:rPr>
            <w:webHidden/>
          </w:rPr>
          <w:instrText xml:space="preserve"> PAGEREF _Toc446075652 \h </w:instrText>
        </w:r>
        <w:r w:rsidR="00F2378A">
          <w:rPr>
            <w:webHidden/>
          </w:rPr>
        </w:r>
        <w:r w:rsidR="00F2378A">
          <w:rPr>
            <w:webHidden/>
          </w:rPr>
          <w:fldChar w:fldCharType="separate"/>
        </w:r>
        <w:r w:rsidR="00F2378A">
          <w:rPr>
            <w:webHidden/>
          </w:rPr>
          <w:t>8</w:t>
        </w:r>
        <w:r w:rsidR="00F2378A">
          <w:rPr>
            <w:webHidden/>
          </w:rPr>
          <w:fldChar w:fldCharType="end"/>
        </w:r>
      </w:hyperlink>
    </w:p>
    <w:p w14:paraId="3C1B9A36" w14:textId="77777777" w:rsidR="00F2378A" w:rsidRDefault="005810F4">
      <w:pPr>
        <w:pStyle w:val="TOC1"/>
        <w:rPr>
          <w:rFonts w:asciiTheme="minorHAnsi" w:eastAsiaTheme="minorEastAsia" w:hAnsiTheme="minorHAnsi" w:cstheme="minorBidi"/>
          <w:sz w:val="22"/>
        </w:rPr>
      </w:pPr>
      <w:hyperlink w:anchor="_Toc446075653" w:history="1">
        <w:r w:rsidR="00F2378A" w:rsidRPr="00D96DA5">
          <w:rPr>
            <w:rStyle w:val="Hyperlink"/>
          </w:rPr>
          <w:t>Practical Scenarios</w:t>
        </w:r>
        <w:r w:rsidR="00F2378A">
          <w:rPr>
            <w:webHidden/>
          </w:rPr>
          <w:tab/>
        </w:r>
        <w:r w:rsidR="00F2378A">
          <w:rPr>
            <w:webHidden/>
          </w:rPr>
          <w:fldChar w:fldCharType="begin"/>
        </w:r>
        <w:r w:rsidR="00F2378A">
          <w:rPr>
            <w:webHidden/>
          </w:rPr>
          <w:instrText xml:space="preserve"> PAGEREF _Toc446075653 \h </w:instrText>
        </w:r>
        <w:r w:rsidR="00F2378A">
          <w:rPr>
            <w:webHidden/>
          </w:rPr>
        </w:r>
        <w:r w:rsidR="00F2378A">
          <w:rPr>
            <w:webHidden/>
          </w:rPr>
          <w:fldChar w:fldCharType="separate"/>
        </w:r>
        <w:r w:rsidR="00F2378A">
          <w:rPr>
            <w:webHidden/>
          </w:rPr>
          <w:t>9</w:t>
        </w:r>
        <w:r w:rsidR="00F2378A">
          <w:rPr>
            <w:webHidden/>
          </w:rPr>
          <w:fldChar w:fldCharType="end"/>
        </w:r>
      </w:hyperlink>
    </w:p>
    <w:p w14:paraId="7A9B1340" w14:textId="77777777" w:rsidR="007A5600" w:rsidRDefault="007A5600" w:rsidP="00F84C78">
      <w:pPr>
        <w:pStyle w:val="VBATopicHeading1"/>
        <w:spacing w:before="0" w:after="0"/>
        <w:rPr>
          <w:sz w:val="24"/>
        </w:rPr>
      </w:pPr>
      <w:r>
        <w:rPr>
          <w:rStyle w:val="Hyperlink"/>
          <w:bCs/>
          <w:szCs w:val="24"/>
        </w:rPr>
        <w:fldChar w:fldCharType="end"/>
      </w:r>
    </w:p>
    <w:p w14:paraId="7A9B1341" w14:textId="77777777" w:rsidR="007A5600" w:rsidRDefault="007A5600" w:rsidP="00F84C78">
      <w:pPr>
        <w:spacing w:before="0"/>
      </w:pPr>
    </w:p>
    <w:p w14:paraId="7A9B1342" w14:textId="77777777" w:rsidR="007A5600" w:rsidRDefault="007A5600" w:rsidP="00F84C78">
      <w:pPr>
        <w:spacing w:before="0"/>
      </w:pPr>
    </w:p>
    <w:p w14:paraId="7A9B1343" w14:textId="77777777" w:rsidR="007A5600" w:rsidRDefault="007A5600" w:rsidP="00F84C78">
      <w:pPr>
        <w:spacing w:before="0"/>
      </w:pPr>
    </w:p>
    <w:p w14:paraId="7A9B1344" w14:textId="77777777" w:rsidR="007A5600" w:rsidRDefault="007A5600" w:rsidP="00F84C78">
      <w:pPr>
        <w:spacing w:before="0"/>
      </w:pPr>
    </w:p>
    <w:p w14:paraId="7A9B1345" w14:textId="77777777" w:rsidR="007A5600" w:rsidRDefault="007A5600" w:rsidP="00F84C78">
      <w:pPr>
        <w:spacing w:before="0"/>
      </w:pPr>
    </w:p>
    <w:p w14:paraId="7A9B1346" w14:textId="77777777" w:rsidR="007A5600" w:rsidRDefault="007A5600" w:rsidP="00F84C78">
      <w:pPr>
        <w:spacing w:before="0"/>
      </w:pPr>
    </w:p>
    <w:p w14:paraId="7A9B1347" w14:textId="77777777" w:rsidR="007A5600" w:rsidRDefault="007A5600" w:rsidP="00F84C78">
      <w:pPr>
        <w:spacing w:before="0"/>
      </w:pPr>
    </w:p>
    <w:p w14:paraId="7A9B1348" w14:textId="77777777" w:rsidR="007A5600" w:rsidRDefault="007A5600" w:rsidP="00F84C78">
      <w:pPr>
        <w:spacing w:before="0"/>
      </w:pPr>
    </w:p>
    <w:p w14:paraId="7A9B1349" w14:textId="77777777" w:rsidR="007A5600" w:rsidRDefault="007A5600" w:rsidP="00F84C78">
      <w:pPr>
        <w:overflowPunct/>
        <w:autoSpaceDE/>
        <w:autoSpaceDN/>
        <w:adjustRightInd/>
        <w:spacing w:before="0"/>
      </w:pPr>
      <w:r>
        <w:br w:type="page"/>
      </w:r>
    </w:p>
    <w:p w14:paraId="7A9B134A" w14:textId="77777777" w:rsidR="007A5600" w:rsidRDefault="007A5600" w:rsidP="00F84C78">
      <w:pPr>
        <w:pStyle w:val="VBATopicHeading1"/>
        <w:spacing w:before="0" w:after="0"/>
      </w:pPr>
      <w:bookmarkStart w:id="3" w:name="_Toc446075649"/>
      <w:bookmarkStart w:id="4" w:name="_Toc269888405"/>
      <w:bookmarkStart w:id="5" w:name="_Toc269888748"/>
      <w:bookmarkStart w:id="6" w:name="_Toc278291133"/>
      <w:r>
        <w:lastRenderedPageBreak/>
        <w:t>Objectives</w:t>
      </w:r>
      <w:bookmarkEnd w:id="3"/>
    </w:p>
    <w:p w14:paraId="7A9B134B" w14:textId="77777777" w:rsidR="000E3279" w:rsidRDefault="000E3279" w:rsidP="00BE6F04"/>
    <w:p w14:paraId="7A9B134C" w14:textId="77777777" w:rsidR="00BE6F04" w:rsidRDefault="00BE6F04" w:rsidP="00BE6F04">
      <w:pPr>
        <w:pStyle w:val="ListParagraph"/>
        <w:numPr>
          <w:ilvl w:val="0"/>
          <w:numId w:val="21"/>
        </w:numPr>
        <w:spacing w:before="0"/>
      </w:pPr>
      <w:r>
        <w:t>Identify when to request VA examinations and medical opinions</w:t>
      </w:r>
    </w:p>
    <w:p w14:paraId="7A9B134D" w14:textId="77777777" w:rsidR="00BE6F04" w:rsidRPr="00732C5C" w:rsidRDefault="00BE6F04" w:rsidP="00BE6F04">
      <w:pPr>
        <w:pStyle w:val="ListParagraph"/>
        <w:spacing w:before="0"/>
      </w:pPr>
    </w:p>
    <w:p w14:paraId="7A9B134E" w14:textId="77777777" w:rsidR="00BE6F04" w:rsidRDefault="00BE6F04" w:rsidP="00BE6F04">
      <w:pPr>
        <w:pStyle w:val="ListParagraph"/>
        <w:numPr>
          <w:ilvl w:val="0"/>
          <w:numId w:val="21"/>
        </w:numPr>
        <w:spacing w:before="0"/>
      </w:pPr>
      <w:r>
        <w:t>Understand the requirements under 38 C.F.R. 3.326</w:t>
      </w:r>
    </w:p>
    <w:p w14:paraId="7A9B134F" w14:textId="77777777" w:rsidR="00BE6F04" w:rsidRDefault="00BE6F04" w:rsidP="00BE6F04">
      <w:pPr>
        <w:pStyle w:val="ListParagraph"/>
      </w:pPr>
    </w:p>
    <w:p w14:paraId="7A9B1350" w14:textId="77777777" w:rsidR="00BE6F04" w:rsidRDefault="00BE6F04" w:rsidP="00BE6F04">
      <w:pPr>
        <w:pStyle w:val="ListParagraph"/>
        <w:numPr>
          <w:ilvl w:val="0"/>
          <w:numId w:val="21"/>
        </w:numPr>
        <w:spacing w:before="0"/>
      </w:pPr>
      <w:r>
        <w:t>Develop an “exam by exception” mentality without compromising our duty to assist, where appropriate</w:t>
      </w:r>
    </w:p>
    <w:p w14:paraId="7A9B1351" w14:textId="77777777" w:rsidR="00BE6F04" w:rsidRDefault="00BE6F04" w:rsidP="00BE6F04">
      <w:pPr>
        <w:pStyle w:val="ListParagraph"/>
      </w:pPr>
    </w:p>
    <w:p w14:paraId="7A9B1352" w14:textId="77777777" w:rsidR="007A5600" w:rsidRDefault="007A5600" w:rsidP="00BE6F04">
      <w:pPr>
        <w:pStyle w:val="Heading1"/>
      </w:pPr>
      <w:r>
        <w:br w:type="page"/>
      </w:r>
      <w:bookmarkStart w:id="7" w:name="_Toc446075650"/>
      <w:r>
        <w:lastRenderedPageBreak/>
        <w:t>References</w:t>
      </w:r>
      <w:bookmarkEnd w:id="7"/>
    </w:p>
    <w:p w14:paraId="7A9B1353" w14:textId="77777777" w:rsidR="00DE4B91" w:rsidRDefault="00DE4B91" w:rsidP="00F84C78">
      <w:pPr>
        <w:pStyle w:val="VBATopicHeading1"/>
        <w:spacing w:before="0" w:after="0"/>
      </w:pPr>
    </w:p>
    <w:p w14:paraId="7A9B1354" w14:textId="77777777" w:rsidR="008E7C5A" w:rsidRDefault="008E7C5A" w:rsidP="00F84C78">
      <w:pPr>
        <w:pStyle w:val="VBABodyText0"/>
        <w:spacing w:before="0"/>
        <w:rPr>
          <w:b/>
          <w:noProof/>
        </w:rPr>
      </w:pPr>
      <w:r w:rsidRPr="00732C5C">
        <w:rPr>
          <w:noProof/>
        </w:rPr>
        <w:t xml:space="preserve">All M21-1 references are found in the </w:t>
      </w:r>
      <w:hyperlink r:id="rId12" w:history="1">
        <w:r w:rsidRPr="00EC4B58">
          <w:rPr>
            <w:rStyle w:val="Hyperlink"/>
            <w:noProof/>
          </w:rPr>
          <w:t>Live Manual Website</w:t>
        </w:r>
      </w:hyperlink>
      <w:r>
        <w:rPr>
          <w:noProof/>
        </w:rPr>
        <w:t>.</w:t>
      </w:r>
    </w:p>
    <w:p w14:paraId="7A9B1355" w14:textId="77777777" w:rsidR="008E7C5A" w:rsidRPr="00A80FF7" w:rsidRDefault="005810F4" w:rsidP="00F84C78">
      <w:pPr>
        <w:pStyle w:val="VBAFirstLevelBullet"/>
        <w:rPr>
          <w:b/>
          <w:i/>
          <w:color w:val="0070C0"/>
        </w:rPr>
      </w:pPr>
      <w:hyperlink r:id="rId13" w:history="1">
        <w:r w:rsidR="008E7C5A" w:rsidRPr="002C6962">
          <w:rPr>
            <w:rStyle w:val="Hyperlink"/>
            <w:i/>
          </w:rPr>
          <w:t xml:space="preserve">Public Law 106-475, </w:t>
        </w:r>
        <w:r w:rsidR="008E7C5A" w:rsidRPr="002C6962">
          <w:rPr>
            <w:rStyle w:val="Hyperlink"/>
          </w:rPr>
          <w:t>Veterans Claims Assistance Act of 2000</w:t>
        </w:r>
      </w:hyperlink>
    </w:p>
    <w:p w14:paraId="7A9B1356" w14:textId="77777777" w:rsidR="008E7C5A" w:rsidRPr="002C6962" w:rsidRDefault="005810F4" w:rsidP="00F84C78">
      <w:pPr>
        <w:pStyle w:val="VBAFirstLevelBullet"/>
        <w:rPr>
          <w:b/>
          <w:i/>
          <w:color w:val="0070C0"/>
        </w:rPr>
      </w:pPr>
      <w:hyperlink r:id="rId14" w:history="1">
        <w:r w:rsidR="008E7C5A" w:rsidRPr="00A80FF7">
          <w:rPr>
            <w:rStyle w:val="Hyperlink"/>
            <w:i/>
          </w:rPr>
          <w:t xml:space="preserve">Public Law 112-154, </w:t>
        </w:r>
        <w:r w:rsidR="008E7C5A" w:rsidRPr="00A80FF7">
          <w:rPr>
            <w:rStyle w:val="Hyperlink"/>
          </w:rPr>
          <w:t>Section 505,</w:t>
        </w:r>
        <w:r w:rsidR="008E7C5A" w:rsidRPr="00A80FF7">
          <w:rPr>
            <w:rStyle w:val="Hyperlink"/>
            <w:i/>
          </w:rPr>
          <w:t xml:space="preserve"> </w:t>
        </w:r>
        <w:r w:rsidR="008E7C5A" w:rsidRPr="00A80FF7">
          <w:rPr>
            <w:rStyle w:val="Hyperlink"/>
          </w:rPr>
          <w:t>Duty to assist claimants in obtaining private records</w:t>
        </w:r>
      </w:hyperlink>
    </w:p>
    <w:p w14:paraId="7A9B1357" w14:textId="77777777" w:rsidR="008E7C5A" w:rsidRPr="002C6962" w:rsidRDefault="005810F4" w:rsidP="00F84C78">
      <w:pPr>
        <w:pStyle w:val="VBAFirstLevelBullet"/>
        <w:rPr>
          <w:color w:val="0070C0"/>
        </w:rPr>
      </w:pPr>
      <w:hyperlink r:id="rId15" w:history="1">
        <w:r w:rsidR="008E7C5A" w:rsidRPr="002C6962">
          <w:rPr>
            <w:rStyle w:val="Hyperlink"/>
          </w:rPr>
          <w:t>38 U.S.C. 5103, Notice to claimants of required information and evidence</w:t>
        </w:r>
      </w:hyperlink>
    </w:p>
    <w:p w14:paraId="7A9B1358" w14:textId="77777777" w:rsidR="008E7C5A" w:rsidRDefault="005810F4" w:rsidP="00F84C78">
      <w:pPr>
        <w:pStyle w:val="VBAFirstLevelBullet"/>
        <w:rPr>
          <w:color w:val="0070C0"/>
        </w:rPr>
      </w:pPr>
      <w:hyperlink r:id="rId16" w:anchor="se38.1.3_1159" w:history="1">
        <w:r w:rsidR="008E7C5A" w:rsidRPr="00A80FF7">
          <w:rPr>
            <w:rStyle w:val="Hyperlink"/>
          </w:rPr>
          <w:t>38 C.F.R. 3.159, Department of Veterans Affairs assistance in developing claims</w:t>
        </w:r>
      </w:hyperlink>
    </w:p>
    <w:p w14:paraId="7A9B1359" w14:textId="77777777" w:rsidR="008E7C5A" w:rsidRDefault="005810F4" w:rsidP="00F84C78">
      <w:pPr>
        <w:pStyle w:val="VBAFirstLevelBullet"/>
        <w:rPr>
          <w:color w:val="0070C0"/>
        </w:rPr>
      </w:pPr>
      <w:hyperlink r:id="rId17" w:anchor="se38.1.3_1304" w:history="1">
        <w:r w:rsidR="008E7C5A" w:rsidRPr="00E426CC">
          <w:rPr>
            <w:rStyle w:val="Hyperlink"/>
          </w:rPr>
          <w:t>38 C.F.R. 3.303(b), Chronicity and continuity</w:t>
        </w:r>
      </w:hyperlink>
    </w:p>
    <w:p w14:paraId="7A9B135A" w14:textId="77777777" w:rsidR="008E7C5A" w:rsidRPr="00E426CC" w:rsidRDefault="008E7C5A" w:rsidP="00F84C78">
      <w:pPr>
        <w:pStyle w:val="VBAFirstLevelBullet"/>
        <w:rPr>
          <w:rStyle w:val="Hyperlink"/>
        </w:rPr>
      </w:pPr>
      <w:r w:rsidRPr="00E426CC">
        <w:rPr>
          <w:color w:val="0070C0"/>
        </w:rPr>
        <w:fldChar w:fldCharType="begin"/>
      </w:r>
      <w:r>
        <w:rPr>
          <w:color w:val="0070C0"/>
        </w:rPr>
        <w:instrText xml:space="preserve"> HYPERLINK "http://www.ecfr.gov/cgi-bin/text-idx?c=ecfr&amp;sid=39c7e367a71c8efc570650851b266303&amp;rgn=div5&amp;view=text&amp;node=38:1.0.1.1.4&amp;idno=38" \l "se38.1.3_1304" </w:instrText>
      </w:r>
      <w:r w:rsidRPr="00E426CC">
        <w:rPr>
          <w:color w:val="0070C0"/>
        </w:rPr>
        <w:fldChar w:fldCharType="separate"/>
      </w:r>
      <w:r w:rsidRPr="00E426CC">
        <w:rPr>
          <w:rStyle w:val="Hyperlink"/>
        </w:rPr>
        <w:t>38 C.F.R. 3.304, Direct service connection: wartime and peacetime</w:t>
      </w:r>
    </w:p>
    <w:p w14:paraId="7A9B135B" w14:textId="77777777" w:rsidR="008E7C5A" w:rsidRPr="00E426CC" w:rsidRDefault="008E7C5A" w:rsidP="00F84C78">
      <w:pPr>
        <w:pStyle w:val="VBAFirstLevelBullet"/>
        <w:rPr>
          <w:color w:val="0070C0"/>
        </w:rPr>
      </w:pPr>
      <w:r w:rsidRPr="00E426CC">
        <w:rPr>
          <w:color w:val="0070C0"/>
        </w:rPr>
        <w:fldChar w:fldCharType="end"/>
      </w:r>
      <w:hyperlink r:id="rId18" w:anchor="se38.1.3_1304" w:history="1">
        <w:r w:rsidRPr="00875B64">
          <w:rPr>
            <w:rStyle w:val="Hyperlink"/>
          </w:rPr>
          <w:t>38 C.F.R. 3.326, Examinations</w:t>
        </w:r>
      </w:hyperlink>
    </w:p>
    <w:p w14:paraId="7A9B135C" w14:textId="77777777" w:rsidR="008E7C5A" w:rsidRPr="00AB02AA" w:rsidRDefault="005810F4" w:rsidP="00F84C78">
      <w:pPr>
        <w:pStyle w:val="VBAFirstLevelBullet"/>
        <w:rPr>
          <w:rStyle w:val="Hyperlink"/>
          <w:color w:val="0070C0"/>
          <w:u w:val="none"/>
        </w:rPr>
      </w:pPr>
      <w:hyperlink r:id="rId19" w:history="1">
        <w:r w:rsidR="008E7C5A" w:rsidRPr="00B61D01">
          <w:rPr>
            <w:rStyle w:val="Hyperlink"/>
          </w:rPr>
          <w:t>M21-1, Part I, Subpart 1, Duty to Assist</w:t>
        </w:r>
      </w:hyperlink>
    </w:p>
    <w:p w14:paraId="7A9B135D" w14:textId="77777777" w:rsidR="00AB02AA" w:rsidRDefault="00AB02AA" w:rsidP="00F84C78">
      <w:pPr>
        <w:pStyle w:val="VBAFirstLevelBullet"/>
        <w:rPr>
          <w:color w:val="0070C0"/>
        </w:rPr>
      </w:pPr>
      <w:r w:rsidRPr="00AB02AA">
        <w:rPr>
          <w:rStyle w:val="Hyperlink"/>
        </w:rPr>
        <w:t>M21-1, Part III</w:t>
      </w:r>
      <w:r>
        <w:rPr>
          <w:rStyle w:val="Hyperlink"/>
        </w:rPr>
        <w:t>, Subpart iv, 5,  Evaluating Evidence and Making a Decision</w:t>
      </w:r>
    </w:p>
    <w:p w14:paraId="7A9B135E" w14:textId="77777777" w:rsidR="008E7C5A" w:rsidRDefault="005810F4" w:rsidP="00F84C78">
      <w:pPr>
        <w:pStyle w:val="VBAFirstLevelBullet"/>
        <w:rPr>
          <w:color w:val="0070C0"/>
        </w:rPr>
      </w:pPr>
      <w:hyperlink r:id="rId20" w:anchor="bmk" w:history="1">
        <w:proofErr w:type="spellStart"/>
        <w:r w:rsidR="008E7C5A" w:rsidRPr="00B66740">
          <w:rPr>
            <w:rStyle w:val="Hyperlink"/>
          </w:rPr>
          <w:t>Proscelle</w:t>
        </w:r>
        <w:proofErr w:type="spellEnd"/>
        <w:r w:rsidR="008E7C5A" w:rsidRPr="00B66740">
          <w:rPr>
            <w:rStyle w:val="Hyperlink"/>
          </w:rPr>
          <w:t xml:space="preserve"> v. </w:t>
        </w:r>
        <w:proofErr w:type="spellStart"/>
        <w:r w:rsidR="008E7C5A" w:rsidRPr="00B66740">
          <w:rPr>
            <w:rStyle w:val="Hyperlink"/>
          </w:rPr>
          <w:t>Derwinski</w:t>
        </w:r>
        <w:proofErr w:type="spellEnd"/>
        <w:r w:rsidR="008E7C5A" w:rsidRPr="00B66740">
          <w:rPr>
            <w:rStyle w:val="Hyperlink"/>
          </w:rPr>
          <w:t>, No. 90-570, July 24, 1992</w:t>
        </w:r>
      </w:hyperlink>
    </w:p>
    <w:p w14:paraId="7A9B135F" w14:textId="77777777" w:rsidR="008E7C5A" w:rsidRDefault="005810F4" w:rsidP="00F84C78">
      <w:pPr>
        <w:pStyle w:val="VBAFirstLevelBullet"/>
        <w:rPr>
          <w:color w:val="0070C0"/>
        </w:rPr>
      </w:pPr>
      <w:hyperlink r:id="rId21" w:anchor="bmk" w:history="1">
        <w:proofErr w:type="spellStart"/>
        <w:r w:rsidR="008E7C5A" w:rsidRPr="00B66740">
          <w:rPr>
            <w:rStyle w:val="Hyperlink"/>
          </w:rPr>
          <w:t>Shoffner</w:t>
        </w:r>
        <w:proofErr w:type="spellEnd"/>
        <w:r w:rsidR="008E7C5A" w:rsidRPr="00B66740">
          <w:rPr>
            <w:rStyle w:val="Hyperlink"/>
          </w:rPr>
          <w:t xml:space="preserve"> v. </w:t>
        </w:r>
        <w:proofErr w:type="spellStart"/>
        <w:r w:rsidR="008E7C5A" w:rsidRPr="00B66740">
          <w:rPr>
            <w:rStyle w:val="Hyperlink"/>
          </w:rPr>
          <w:t>Principi</w:t>
        </w:r>
        <w:proofErr w:type="spellEnd"/>
        <w:r w:rsidR="008E7C5A" w:rsidRPr="00B66740">
          <w:rPr>
            <w:rStyle w:val="Hyperlink"/>
          </w:rPr>
          <w:t>, No. 99-967, July 30, 2002</w:t>
        </w:r>
      </w:hyperlink>
    </w:p>
    <w:p w14:paraId="7A9B1360" w14:textId="77777777" w:rsidR="008E7C5A" w:rsidRDefault="005810F4" w:rsidP="00F84C78">
      <w:pPr>
        <w:pStyle w:val="VBAFirstLevelBullet"/>
        <w:rPr>
          <w:color w:val="0070C0"/>
        </w:rPr>
      </w:pPr>
      <w:hyperlink r:id="rId22" w:anchor="bmk" w:history="1">
        <w:r w:rsidR="008E7C5A" w:rsidRPr="00B66740">
          <w:rPr>
            <w:rStyle w:val="Hyperlink"/>
          </w:rPr>
          <w:t>Kowalski v. Nicholson, No. 02-1284, June 8, 2005</w:t>
        </w:r>
      </w:hyperlink>
    </w:p>
    <w:p w14:paraId="7A9B1361" w14:textId="77777777" w:rsidR="008E7C5A" w:rsidRDefault="005810F4" w:rsidP="00F84C78">
      <w:pPr>
        <w:pStyle w:val="VBAFirstLevelBullet"/>
        <w:rPr>
          <w:color w:val="0070C0"/>
        </w:rPr>
      </w:pPr>
      <w:hyperlink r:id="rId23" w:anchor="bmk" w:history="1">
        <w:proofErr w:type="spellStart"/>
        <w:r w:rsidR="008E7C5A" w:rsidRPr="00650D60">
          <w:rPr>
            <w:rStyle w:val="Hyperlink"/>
          </w:rPr>
          <w:t>McLendon</w:t>
        </w:r>
        <w:proofErr w:type="spellEnd"/>
        <w:r w:rsidR="008E7C5A" w:rsidRPr="00650D60">
          <w:rPr>
            <w:rStyle w:val="Hyperlink"/>
          </w:rPr>
          <w:t xml:space="preserve"> v. Nicholson, No. 04-0185, June 5, 2006</w:t>
        </w:r>
      </w:hyperlink>
    </w:p>
    <w:p w14:paraId="7A9B1362" w14:textId="77777777" w:rsidR="008E7C5A" w:rsidRDefault="005810F4" w:rsidP="00F84C78">
      <w:pPr>
        <w:pStyle w:val="VBAFirstLevelBullet"/>
        <w:rPr>
          <w:color w:val="0070C0"/>
        </w:rPr>
      </w:pPr>
      <w:hyperlink r:id="rId24" w:anchor="bmp" w:history="1">
        <w:proofErr w:type="spellStart"/>
        <w:r w:rsidR="008E7C5A" w:rsidRPr="00BE25C4">
          <w:rPr>
            <w:rStyle w:val="Hyperlink"/>
          </w:rPr>
          <w:t>Palczewski</w:t>
        </w:r>
        <w:proofErr w:type="spellEnd"/>
        <w:r w:rsidR="008E7C5A" w:rsidRPr="00BE25C4">
          <w:rPr>
            <w:rStyle w:val="Hyperlink"/>
          </w:rPr>
          <w:t xml:space="preserve"> v. Nicholson, No. 04-1001, April 24, 2007</w:t>
        </w:r>
      </w:hyperlink>
    </w:p>
    <w:p w14:paraId="7A9B1363" w14:textId="77777777" w:rsidR="008E7C5A" w:rsidRDefault="005810F4" w:rsidP="00F84C78">
      <w:pPr>
        <w:pStyle w:val="VBAFirstLevelBullet"/>
        <w:rPr>
          <w:color w:val="0070C0"/>
        </w:rPr>
      </w:pPr>
      <w:hyperlink r:id="rId25" w:anchor="bmk" w:history="1">
        <w:r w:rsidR="008E7C5A" w:rsidRPr="00650D60">
          <w:rPr>
            <w:rStyle w:val="Hyperlink"/>
          </w:rPr>
          <w:t>Waters v. Shinseki, No. 2009-7071, April 6, 2010</w:t>
        </w:r>
      </w:hyperlink>
    </w:p>
    <w:p w14:paraId="7A9B1364" w14:textId="77777777" w:rsidR="008E7C5A" w:rsidRDefault="005810F4" w:rsidP="00F84C78">
      <w:pPr>
        <w:pStyle w:val="VBAFirstLevelBullet"/>
        <w:rPr>
          <w:color w:val="0070C0"/>
        </w:rPr>
      </w:pPr>
      <w:hyperlink r:id="rId26" w:anchor="bmk" w:history="1">
        <w:r w:rsidR="008E7C5A" w:rsidRPr="00B66740">
          <w:rPr>
            <w:rStyle w:val="Hyperlink"/>
          </w:rPr>
          <w:t xml:space="preserve">Walker v. Shinseki, No </w:t>
        </w:r>
        <w:r w:rsidR="008E7C5A">
          <w:rPr>
            <w:rStyle w:val="Hyperlink"/>
          </w:rPr>
          <w:t>20</w:t>
        </w:r>
        <w:r w:rsidR="008E7C5A" w:rsidRPr="00B66740">
          <w:rPr>
            <w:rStyle w:val="Hyperlink"/>
          </w:rPr>
          <w:t>11-7184, February 21, 2013</w:t>
        </w:r>
      </w:hyperlink>
    </w:p>
    <w:p w14:paraId="7A9B1365" w14:textId="77777777" w:rsidR="00F86C93" w:rsidRDefault="00F86C93" w:rsidP="00F84C78">
      <w:pPr>
        <w:pStyle w:val="VBATopicHeading1"/>
        <w:spacing w:before="0" w:after="0"/>
        <w:ind w:left="720"/>
        <w:jc w:val="left"/>
      </w:pPr>
    </w:p>
    <w:p w14:paraId="7A9B1366" w14:textId="77777777" w:rsidR="00F86C93" w:rsidRDefault="00F86C93" w:rsidP="00F84C78">
      <w:pPr>
        <w:spacing w:before="0"/>
        <w:ind w:left="360"/>
      </w:pPr>
    </w:p>
    <w:p w14:paraId="7A9B1367" w14:textId="77777777" w:rsidR="007A5600" w:rsidRDefault="007A5600" w:rsidP="00F84C78">
      <w:pPr>
        <w:overflowPunct/>
        <w:autoSpaceDE/>
        <w:autoSpaceDN/>
        <w:adjustRightInd/>
        <w:spacing w:before="0"/>
        <w:rPr>
          <w:rFonts w:ascii="Times New Roman Bold" w:hAnsi="Times New Roman Bold"/>
          <w:b/>
          <w:smallCaps/>
          <w:sz w:val="32"/>
          <w:szCs w:val="32"/>
        </w:rPr>
      </w:pPr>
    </w:p>
    <w:bookmarkEnd w:id="4"/>
    <w:bookmarkEnd w:id="5"/>
    <w:bookmarkEnd w:id="6"/>
    <w:p w14:paraId="7A9B1368" w14:textId="77777777" w:rsidR="007A5600" w:rsidRDefault="007A5600" w:rsidP="00F84C78">
      <w:pPr>
        <w:spacing w:before="0"/>
      </w:pPr>
    </w:p>
    <w:p w14:paraId="7A9B1369" w14:textId="77777777" w:rsidR="007A5600" w:rsidRDefault="007A5600" w:rsidP="00F84C78">
      <w:pPr>
        <w:spacing w:before="0"/>
      </w:pPr>
    </w:p>
    <w:p w14:paraId="7A9B136A" w14:textId="77777777" w:rsidR="007A5600" w:rsidRDefault="007A5600" w:rsidP="00F84C78">
      <w:pPr>
        <w:spacing w:before="0"/>
      </w:pPr>
    </w:p>
    <w:p w14:paraId="7A9B136B" w14:textId="77777777" w:rsidR="007A5600" w:rsidRDefault="007A5600" w:rsidP="00F84C78">
      <w:pPr>
        <w:spacing w:before="0"/>
      </w:pPr>
    </w:p>
    <w:p w14:paraId="7A9B136C" w14:textId="77777777" w:rsidR="007A5600" w:rsidRDefault="007A5600" w:rsidP="00F84C78">
      <w:pPr>
        <w:spacing w:before="0"/>
      </w:pPr>
    </w:p>
    <w:p w14:paraId="7A9B136D" w14:textId="77777777" w:rsidR="007A5600" w:rsidRDefault="007A5600" w:rsidP="00F84C78">
      <w:pPr>
        <w:spacing w:before="0"/>
      </w:pPr>
    </w:p>
    <w:p w14:paraId="7A9B136E" w14:textId="77777777" w:rsidR="007A5600" w:rsidRDefault="007A5600" w:rsidP="00F84C78">
      <w:pPr>
        <w:spacing w:before="0"/>
      </w:pPr>
    </w:p>
    <w:p w14:paraId="7A9B136F" w14:textId="77777777" w:rsidR="007A5600" w:rsidRDefault="007A5600" w:rsidP="00F84C78">
      <w:pPr>
        <w:spacing w:before="0"/>
      </w:pPr>
    </w:p>
    <w:p w14:paraId="7A9B1370" w14:textId="77777777" w:rsidR="007A5600" w:rsidRDefault="007A5600" w:rsidP="00F84C78">
      <w:pPr>
        <w:spacing w:before="0"/>
      </w:pPr>
    </w:p>
    <w:p w14:paraId="7A9B1371" w14:textId="77777777" w:rsidR="007A5600" w:rsidRDefault="007A5600" w:rsidP="00F84C78">
      <w:pPr>
        <w:spacing w:before="0"/>
      </w:pPr>
    </w:p>
    <w:p w14:paraId="7A9B1372" w14:textId="77777777" w:rsidR="007A5600" w:rsidRDefault="007A5600" w:rsidP="00F84C78">
      <w:pPr>
        <w:spacing w:before="0"/>
      </w:pPr>
    </w:p>
    <w:p w14:paraId="7A9B1373" w14:textId="77777777" w:rsidR="007A5600" w:rsidRDefault="007A5600" w:rsidP="00F84C78">
      <w:pPr>
        <w:spacing w:before="0"/>
      </w:pPr>
    </w:p>
    <w:p w14:paraId="7A9B1374" w14:textId="77777777" w:rsidR="007A5600" w:rsidRDefault="007A5600" w:rsidP="00F84C78">
      <w:pPr>
        <w:spacing w:before="0"/>
      </w:pPr>
    </w:p>
    <w:p w14:paraId="7A9B1375" w14:textId="77777777" w:rsidR="007A5600" w:rsidRDefault="007A5600" w:rsidP="00F84C78">
      <w:pPr>
        <w:spacing w:before="0"/>
      </w:pPr>
    </w:p>
    <w:p w14:paraId="7A9B1376" w14:textId="77777777" w:rsidR="007A5600" w:rsidRDefault="007A5600" w:rsidP="00F84C78">
      <w:pPr>
        <w:spacing w:before="0"/>
      </w:pPr>
    </w:p>
    <w:p w14:paraId="7A9B1377" w14:textId="77777777" w:rsidR="00DD1D06" w:rsidRDefault="00DD1D06" w:rsidP="00F84C78">
      <w:pPr>
        <w:pStyle w:val="VBATopicHeading1"/>
        <w:spacing w:before="0" w:after="0"/>
        <w:rPr>
          <w:color w:val="0070C0"/>
        </w:rPr>
      </w:pPr>
    </w:p>
    <w:p w14:paraId="7A9B1378" w14:textId="77777777" w:rsidR="00DD1D06" w:rsidRDefault="00DD1D06" w:rsidP="00F84C78">
      <w:pPr>
        <w:pStyle w:val="VBATopicHeading1"/>
        <w:spacing w:before="0" w:after="0"/>
        <w:rPr>
          <w:color w:val="0070C0"/>
        </w:rPr>
      </w:pPr>
    </w:p>
    <w:p w14:paraId="7A9B1379" w14:textId="77777777" w:rsidR="00DD1D06" w:rsidRDefault="00DD1D06" w:rsidP="00F84C78">
      <w:pPr>
        <w:pStyle w:val="VBATopicHeading1"/>
        <w:spacing w:before="0" w:after="0"/>
        <w:rPr>
          <w:color w:val="0070C0"/>
        </w:rPr>
      </w:pPr>
    </w:p>
    <w:p w14:paraId="7A9B137A" w14:textId="77777777" w:rsidR="00DD1D06" w:rsidRDefault="00DD1D06" w:rsidP="00F84C78">
      <w:pPr>
        <w:pStyle w:val="VBATopicHeading1"/>
        <w:spacing w:before="0" w:after="0"/>
        <w:rPr>
          <w:color w:val="0070C0"/>
        </w:rPr>
      </w:pPr>
    </w:p>
    <w:p w14:paraId="7A9B137B" w14:textId="77777777" w:rsidR="00DD1D06" w:rsidRDefault="00DD1D06" w:rsidP="00F84C78">
      <w:pPr>
        <w:pStyle w:val="VBATopicHeading1"/>
        <w:spacing w:before="0" w:after="0"/>
        <w:rPr>
          <w:color w:val="0070C0"/>
        </w:rPr>
      </w:pPr>
    </w:p>
    <w:p w14:paraId="7A9B137C" w14:textId="77777777" w:rsidR="00AA1A39" w:rsidRPr="00FA0FC7" w:rsidRDefault="007A5600" w:rsidP="00F84C78">
      <w:pPr>
        <w:pStyle w:val="VBATopicHeading1"/>
        <w:spacing w:before="0" w:after="0"/>
      </w:pPr>
      <w:bookmarkStart w:id="8" w:name="_Toc446075651"/>
      <w:r w:rsidRPr="00FA0FC7">
        <w:t xml:space="preserve">Topic 1: </w:t>
      </w:r>
      <w:r w:rsidR="008E7C5A" w:rsidRPr="00FA0FC7">
        <w:t>Examination by Exception</w:t>
      </w:r>
      <w:bookmarkEnd w:id="8"/>
    </w:p>
    <w:p w14:paraId="7A9B137D" w14:textId="77777777" w:rsidR="00DD1D06" w:rsidRDefault="00DD1D06" w:rsidP="00F84C78">
      <w:pPr>
        <w:pStyle w:val="VBATopicHeading1"/>
        <w:spacing w:before="0" w:after="0"/>
        <w:rPr>
          <w:color w:val="0070C0"/>
        </w:rPr>
      </w:pPr>
    </w:p>
    <w:p w14:paraId="7A9B137E" w14:textId="77777777" w:rsidR="00AD1E18" w:rsidRPr="00AD1E18" w:rsidRDefault="00AD1E18" w:rsidP="00F84C78">
      <w:pPr>
        <w:pStyle w:val="VBAFooter"/>
        <w:spacing w:before="0"/>
        <w:rPr>
          <w:i/>
        </w:rPr>
      </w:pPr>
      <w:r w:rsidRPr="00AD1E18">
        <w:rPr>
          <w:b/>
          <w:u w:val="single"/>
        </w:rPr>
        <w:t>Why Do We Need This Training?</w:t>
      </w:r>
      <w:r>
        <w:t xml:space="preserve">   </w:t>
      </w:r>
      <w:r>
        <w:rPr>
          <w:i/>
        </w:rPr>
        <w:t>Slide 4</w:t>
      </w:r>
    </w:p>
    <w:p w14:paraId="7A9B137F" w14:textId="77777777" w:rsidR="008E7C5A" w:rsidRDefault="008E7C5A" w:rsidP="00F84C78">
      <w:pPr>
        <w:pStyle w:val="VBAFooter"/>
        <w:spacing w:before="0"/>
      </w:pPr>
      <w:r>
        <w:t>Veterans Benefits Administration (VBA) employees need this training in order to:</w:t>
      </w:r>
    </w:p>
    <w:p w14:paraId="7A9B1380" w14:textId="77777777" w:rsidR="008E7C5A" w:rsidRDefault="008E7C5A" w:rsidP="00F84C78">
      <w:pPr>
        <w:pStyle w:val="VBAFooter"/>
        <w:numPr>
          <w:ilvl w:val="0"/>
          <w:numId w:val="17"/>
        </w:numPr>
        <w:spacing w:before="0"/>
      </w:pPr>
      <w:r>
        <w:t>Develop an “examination by exception” mentality</w:t>
      </w:r>
    </w:p>
    <w:p w14:paraId="7A9B1381" w14:textId="77777777" w:rsidR="008E7C5A" w:rsidRDefault="008E7C5A" w:rsidP="00F84C78">
      <w:pPr>
        <w:pStyle w:val="VBAFooter"/>
        <w:numPr>
          <w:ilvl w:val="0"/>
          <w:numId w:val="17"/>
        </w:numPr>
        <w:spacing w:before="0"/>
      </w:pPr>
      <w:r>
        <w:t>Clarify when medical evidence is “too old” for rating purposes</w:t>
      </w:r>
    </w:p>
    <w:p w14:paraId="7A9B1382" w14:textId="77777777" w:rsidR="008E7C5A" w:rsidRDefault="008E7C5A" w:rsidP="00F84C78">
      <w:pPr>
        <w:pStyle w:val="VBAFooter"/>
        <w:numPr>
          <w:ilvl w:val="0"/>
          <w:numId w:val="17"/>
        </w:numPr>
        <w:spacing w:before="0"/>
      </w:pPr>
      <w:r>
        <w:t>Discuss means to rate claims without ordering examinations</w:t>
      </w:r>
    </w:p>
    <w:p w14:paraId="7A9B1383" w14:textId="77777777" w:rsidR="008E7C5A" w:rsidRDefault="008E7C5A" w:rsidP="00F84C78">
      <w:pPr>
        <w:pStyle w:val="VBAFooter"/>
        <w:numPr>
          <w:ilvl w:val="0"/>
          <w:numId w:val="17"/>
        </w:numPr>
        <w:spacing w:before="0"/>
      </w:pPr>
      <w:r>
        <w:t>Ensure we are ordering examination only when they are required</w:t>
      </w:r>
    </w:p>
    <w:p w14:paraId="7A9B1384" w14:textId="77777777" w:rsidR="008E7C5A" w:rsidRDefault="008E7C5A" w:rsidP="00F84C78">
      <w:pPr>
        <w:pStyle w:val="VBAFooter"/>
        <w:spacing w:before="0"/>
      </w:pPr>
    </w:p>
    <w:p w14:paraId="7A9B1385" w14:textId="77777777" w:rsidR="008E7C5A" w:rsidRDefault="008E7C5A" w:rsidP="00F84C78">
      <w:pPr>
        <w:pStyle w:val="VBAFooter"/>
        <w:spacing w:before="0"/>
      </w:pPr>
      <w:r>
        <w:t xml:space="preserve">This lesson does not cover in detail the following topics: </w:t>
      </w:r>
    </w:p>
    <w:p w14:paraId="7A9B1386" w14:textId="77777777" w:rsidR="008E7C5A" w:rsidRDefault="008E7C5A" w:rsidP="00F84C78">
      <w:pPr>
        <w:pStyle w:val="VBAFooter"/>
        <w:numPr>
          <w:ilvl w:val="0"/>
          <w:numId w:val="18"/>
        </w:numPr>
        <w:spacing w:before="0"/>
      </w:pPr>
      <w:r>
        <w:t>Walker v. Shinseki</w:t>
      </w:r>
    </w:p>
    <w:p w14:paraId="7A9B1387" w14:textId="77777777" w:rsidR="008E7C5A" w:rsidRDefault="008E7C5A" w:rsidP="00F84C78">
      <w:pPr>
        <w:pStyle w:val="VBAFooter"/>
        <w:numPr>
          <w:ilvl w:val="0"/>
          <w:numId w:val="18"/>
        </w:numPr>
        <w:spacing w:before="0"/>
      </w:pPr>
      <w:r>
        <w:t>Waters v. Shinseki</w:t>
      </w:r>
    </w:p>
    <w:p w14:paraId="7A9B1388" w14:textId="77777777" w:rsidR="008E7C5A" w:rsidRDefault="00AD1E18" w:rsidP="00F84C78">
      <w:pPr>
        <w:pStyle w:val="VBAFooter"/>
        <w:numPr>
          <w:ilvl w:val="0"/>
          <w:numId w:val="18"/>
        </w:numPr>
        <w:spacing w:before="0"/>
      </w:pPr>
      <w:r>
        <w:t>Evaluating lay evidence</w:t>
      </w:r>
    </w:p>
    <w:p w14:paraId="7A9B1389" w14:textId="77777777" w:rsidR="00F84C78" w:rsidRDefault="00F84C78" w:rsidP="00F84C78">
      <w:pPr>
        <w:pStyle w:val="VBAFooter"/>
        <w:spacing w:before="0"/>
        <w:ind w:left="720"/>
      </w:pPr>
    </w:p>
    <w:p w14:paraId="7A9B138A" w14:textId="77777777" w:rsidR="00AD1E18" w:rsidRDefault="00AD1E18" w:rsidP="00F84C78">
      <w:pPr>
        <w:pStyle w:val="VBAFooter"/>
        <w:spacing w:before="0"/>
      </w:pPr>
      <w:r>
        <w:t xml:space="preserve">Employees are encouraged to complete the separate training that covers these lessons in more detail, as they coincide with this lesson.  </w:t>
      </w:r>
    </w:p>
    <w:p w14:paraId="7A9B138B" w14:textId="77777777" w:rsidR="00AD1E18" w:rsidRDefault="00AD1E18" w:rsidP="00F84C78">
      <w:pPr>
        <w:pStyle w:val="VBAFooter"/>
        <w:spacing w:before="0"/>
      </w:pPr>
    </w:p>
    <w:p w14:paraId="7A9B138C" w14:textId="77777777" w:rsidR="00F84C78" w:rsidRDefault="00F84C78" w:rsidP="00F84C78">
      <w:pPr>
        <w:pStyle w:val="VBAFooter"/>
        <w:spacing w:before="0"/>
      </w:pPr>
    </w:p>
    <w:p w14:paraId="7A9B138D" w14:textId="77777777" w:rsidR="00AD1E18" w:rsidRPr="00AD1E18" w:rsidRDefault="00AD1E18" w:rsidP="00F84C78">
      <w:pPr>
        <w:pStyle w:val="VBAFooter"/>
        <w:spacing w:before="0"/>
        <w:rPr>
          <w:i/>
        </w:rPr>
      </w:pPr>
      <w:r w:rsidRPr="00AD1E18">
        <w:rPr>
          <w:b/>
          <w:u w:val="single"/>
        </w:rPr>
        <w:t>Veterans Claims Assistance Act</w:t>
      </w:r>
      <w:r>
        <w:t xml:space="preserve">    </w:t>
      </w:r>
      <w:r>
        <w:rPr>
          <w:i/>
        </w:rPr>
        <w:t>Slide 5</w:t>
      </w:r>
    </w:p>
    <w:p w14:paraId="7A9B138E" w14:textId="77777777" w:rsidR="00AD1E18" w:rsidRDefault="00AD1E18" w:rsidP="00F84C78">
      <w:pPr>
        <w:pStyle w:val="VBABodyText0"/>
        <w:spacing w:before="0"/>
      </w:pPr>
      <w:r w:rsidRPr="00732C5C">
        <w:t xml:space="preserve">Before the Veterans Claims Assistance Act of 2000 (VCAA), Veterans were required to obtain a diagnosis of a current disability on their own. Without submission of a diagnosis by the Veteran, VBA had no duty to further assist a Veteran with their claim for disability compensation.  </w:t>
      </w:r>
    </w:p>
    <w:p w14:paraId="7A9B138F" w14:textId="77777777" w:rsidR="00F84C78" w:rsidRPr="00732C5C" w:rsidRDefault="00F84C78" w:rsidP="00F84C78">
      <w:pPr>
        <w:pStyle w:val="VBABodyText0"/>
        <w:spacing w:before="0"/>
      </w:pPr>
    </w:p>
    <w:p w14:paraId="7A9B1390" w14:textId="3DCC8BE1" w:rsidR="00AD1E18" w:rsidRDefault="00AD1E18" w:rsidP="00F84C78">
      <w:pPr>
        <w:pStyle w:val="VBABodyText0"/>
        <w:spacing w:before="0"/>
      </w:pPr>
      <w:r w:rsidRPr="00732C5C">
        <w:t xml:space="preserve">This created a catch-22 for Veterans, as many could not obtain a diagnosis from a private physician because they could not afford the </w:t>
      </w:r>
      <w:r w:rsidR="00173163" w:rsidRPr="00732C5C">
        <w:t>cost</w:t>
      </w:r>
      <w:r w:rsidRPr="00732C5C">
        <w:t xml:space="preserve"> and they were unable to obtain a free examination from the VA because we would not request an examination without evidence of a current diagnosis.  </w:t>
      </w:r>
    </w:p>
    <w:p w14:paraId="7A9B1391" w14:textId="77777777" w:rsidR="00F84C78" w:rsidRPr="00732C5C" w:rsidRDefault="00F84C78" w:rsidP="00F84C78">
      <w:pPr>
        <w:pStyle w:val="VBABodyText0"/>
        <w:spacing w:before="0"/>
      </w:pPr>
    </w:p>
    <w:p w14:paraId="7A9B1392" w14:textId="77777777" w:rsidR="00AD1E18" w:rsidRDefault="00AD1E18" w:rsidP="00F84C78">
      <w:pPr>
        <w:pStyle w:val="VBABodyText0"/>
        <w:spacing w:before="0"/>
      </w:pPr>
      <w:r w:rsidRPr="00732C5C">
        <w:t xml:space="preserve">In 2000, the VCAA changed this approach, and 38 U.S.C. 5103 was changed to state that VBA will assist a Veteran in substantiating a disability compensation claim, to “include providing a medical examination or obtaining a medical opinion </w:t>
      </w:r>
      <w:r w:rsidRPr="00732C5C">
        <w:rPr>
          <w:i/>
        </w:rPr>
        <w:t>when such an examination or opinion is necessary to make a decision on a claim.</w:t>
      </w:r>
      <w:r w:rsidRPr="00732C5C">
        <w:t>” (</w:t>
      </w:r>
      <w:proofErr w:type="gramStart"/>
      <w:r w:rsidRPr="00732C5C">
        <w:t>emphasis</w:t>
      </w:r>
      <w:proofErr w:type="gramEnd"/>
      <w:r w:rsidRPr="00732C5C">
        <w:t xml:space="preserve"> added)</w:t>
      </w:r>
    </w:p>
    <w:p w14:paraId="7A9B1393" w14:textId="77777777" w:rsidR="00F84C78" w:rsidRPr="00732C5C" w:rsidRDefault="00F84C78" w:rsidP="00F84C78">
      <w:pPr>
        <w:pStyle w:val="VBABodyText0"/>
        <w:spacing w:before="0"/>
      </w:pPr>
    </w:p>
    <w:p w14:paraId="7A9B1394" w14:textId="77777777" w:rsidR="00AD1E18" w:rsidRPr="00732C5C" w:rsidRDefault="00AD1E18" w:rsidP="00F84C78">
      <w:pPr>
        <w:pStyle w:val="VBABodyText0"/>
        <w:spacing w:before="0"/>
      </w:pPr>
      <w:r w:rsidRPr="00732C5C">
        <w:t xml:space="preserve">It further states that a medical examination or opinion is necessary to make a decision on a claim if the evidence of record (to include lay statements from the Veteran):  </w:t>
      </w:r>
    </w:p>
    <w:p w14:paraId="7A9B1395" w14:textId="77777777" w:rsidR="00AD1E18" w:rsidRPr="00732C5C" w:rsidRDefault="00AD1E18" w:rsidP="00F84C78">
      <w:pPr>
        <w:pStyle w:val="VBABodyText0"/>
        <w:numPr>
          <w:ilvl w:val="0"/>
          <w:numId w:val="19"/>
        </w:numPr>
        <w:spacing w:before="0"/>
        <w:textAlignment w:val="baseline"/>
      </w:pPr>
      <w:r w:rsidRPr="00732C5C">
        <w:t>contains competent evidence of a current disability or persistent or recurrent symptoms of a disability: and</w:t>
      </w:r>
    </w:p>
    <w:p w14:paraId="7A9B1396" w14:textId="77777777" w:rsidR="00AD1E18" w:rsidRPr="00AD1E18" w:rsidRDefault="00AD1E18" w:rsidP="00F84C78">
      <w:pPr>
        <w:pStyle w:val="VBABodyText0"/>
        <w:numPr>
          <w:ilvl w:val="0"/>
          <w:numId w:val="19"/>
        </w:numPr>
        <w:spacing w:before="0"/>
        <w:textAlignment w:val="baseline"/>
        <w:rPr>
          <w:bCs/>
        </w:rPr>
      </w:pPr>
      <w:r w:rsidRPr="00732C5C">
        <w:t>indicates the disability or symptoms may be associated with active military service; and</w:t>
      </w:r>
    </w:p>
    <w:p w14:paraId="7A9B1397" w14:textId="77777777" w:rsidR="00975461" w:rsidRPr="00632675" w:rsidRDefault="00AD1E18" w:rsidP="00F84C78">
      <w:pPr>
        <w:pStyle w:val="VBABodyText0"/>
        <w:numPr>
          <w:ilvl w:val="0"/>
          <w:numId w:val="19"/>
        </w:numPr>
        <w:spacing w:before="0"/>
        <w:textAlignment w:val="baseline"/>
        <w:rPr>
          <w:bCs/>
        </w:rPr>
      </w:pPr>
      <w:proofErr w:type="gramStart"/>
      <w:r w:rsidRPr="00732C5C">
        <w:t>does</w:t>
      </w:r>
      <w:proofErr w:type="gramEnd"/>
      <w:r w:rsidRPr="00732C5C">
        <w:t xml:space="preserve"> not contain sufficient evidence to make a decision on a claim.</w:t>
      </w:r>
    </w:p>
    <w:p w14:paraId="7A9B1398" w14:textId="77777777" w:rsidR="00632675" w:rsidRDefault="00632675" w:rsidP="00632675">
      <w:pPr>
        <w:pStyle w:val="VBABodyText0"/>
        <w:spacing w:before="0"/>
        <w:textAlignment w:val="baseline"/>
      </w:pPr>
    </w:p>
    <w:p w14:paraId="7A9B1399" w14:textId="77777777" w:rsidR="00632675" w:rsidRDefault="00632675" w:rsidP="00632675">
      <w:pPr>
        <w:pStyle w:val="VBABodyText0"/>
      </w:pPr>
      <w:r>
        <w:t>Remember, to grant service connection, three principles needed for service connection:</w:t>
      </w:r>
    </w:p>
    <w:p w14:paraId="7A9B139A" w14:textId="77777777" w:rsidR="00632675" w:rsidRDefault="00632675" w:rsidP="00632675">
      <w:pPr>
        <w:pStyle w:val="VBABodyText0"/>
        <w:numPr>
          <w:ilvl w:val="0"/>
          <w:numId w:val="22"/>
        </w:numPr>
        <w:spacing w:after="240"/>
        <w:textAlignment w:val="baseline"/>
      </w:pPr>
      <w:r>
        <w:t>An in-service event or injury</w:t>
      </w:r>
    </w:p>
    <w:p w14:paraId="7A9B139B" w14:textId="65934F30" w:rsidR="00632675" w:rsidRPr="00632675" w:rsidRDefault="00632675" w:rsidP="00632675">
      <w:pPr>
        <w:pStyle w:val="VBABodyText0"/>
        <w:numPr>
          <w:ilvl w:val="0"/>
          <w:numId w:val="22"/>
        </w:numPr>
        <w:spacing w:before="0" w:after="240"/>
        <w:textAlignment w:val="baseline"/>
        <w:rPr>
          <w:bCs/>
        </w:rPr>
      </w:pPr>
      <w:r>
        <w:lastRenderedPageBreak/>
        <w:t>Continuity of symptoms</w:t>
      </w:r>
      <w:r w:rsidR="00B03223">
        <w:t>, or nexus</w:t>
      </w:r>
    </w:p>
    <w:p w14:paraId="7A9B139C" w14:textId="77777777" w:rsidR="00632675" w:rsidRPr="00632675" w:rsidRDefault="00632675" w:rsidP="00632675">
      <w:pPr>
        <w:pStyle w:val="VBABodyText0"/>
        <w:numPr>
          <w:ilvl w:val="0"/>
          <w:numId w:val="22"/>
        </w:numPr>
        <w:spacing w:before="0" w:after="240"/>
        <w:textAlignment w:val="baseline"/>
        <w:rPr>
          <w:bCs/>
        </w:rPr>
      </w:pPr>
      <w:r>
        <w:t>Current diagnosis</w:t>
      </w:r>
    </w:p>
    <w:p w14:paraId="7A9B139D" w14:textId="77777777" w:rsidR="00AD1E18" w:rsidRDefault="00AD1E18" w:rsidP="00F84C78">
      <w:pPr>
        <w:pStyle w:val="VBASubHeading1"/>
        <w:spacing w:before="0"/>
        <w:rPr>
          <w:b/>
          <w:bCs/>
          <w:i w:val="0"/>
          <w:u w:val="single"/>
        </w:rPr>
      </w:pPr>
    </w:p>
    <w:p w14:paraId="7A9B139E" w14:textId="77777777" w:rsidR="00AA1A39" w:rsidRDefault="00AD1E18" w:rsidP="00F84C78">
      <w:pPr>
        <w:pStyle w:val="VBASubHeading1"/>
        <w:spacing w:before="0"/>
        <w:rPr>
          <w:bCs/>
        </w:rPr>
      </w:pPr>
      <w:r w:rsidRPr="00AD1E18">
        <w:rPr>
          <w:b/>
          <w:bCs/>
          <w:i w:val="0"/>
          <w:u w:val="single"/>
        </w:rPr>
        <w:t>Congressional Intent</w:t>
      </w:r>
      <w:r>
        <w:rPr>
          <w:bCs/>
          <w:i w:val="0"/>
        </w:rPr>
        <w:t xml:space="preserve">   </w:t>
      </w:r>
      <w:r>
        <w:rPr>
          <w:bCs/>
        </w:rPr>
        <w:t>Slide 5</w:t>
      </w:r>
    </w:p>
    <w:p w14:paraId="7A9B139F" w14:textId="77777777" w:rsidR="00AD1E18" w:rsidRDefault="00AD1E18" w:rsidP="00F84C78">
      <w:pPr>
        <w:pStyle w:val="VBABodyText0"/>
        <w:spacing w:before="0"/>
      </w:pPr>
      <w:r w:rsidRPr="00732C5C">
        <w:t xml:space="preserve">Congress passed the Veterans Claims Assistant Act of 2000 with the intent that duty to assist applied only when necessary to help substantiate a Veteran’s claim. When there is no additional information needed, duty to assist no longer applies.  </w:t>
      </w:r>
    </w:p>
    <w:p w14:paraId="7A9B13A0" w14:textId="77777777" w:rsidR="00F84C78" w:rsidRPr="00732C5C" w:rsidRDefault="00F84C78" w:rsidP="00F84C78">
      <w:pPr>
        <w:pStyle w:val="VBABodyText0"/>
        <w:spacing w:before="0"/>
      </w:pPr>
    </w:p>
    <w:p w14:paraId="7A9B13A1" w14:textId="77777777" w:rsidR="00AD1E18" w:rsidRDefault="00AD1E18" w:rsidP="00F84C78">
      <w:pPr>
        <w:pStyle w:val="VBASubHeading1"/>
        <w:spacing w:before="0"/>
        <w:rPr>
          <w:i w:val="0"/>
        </w:rPr>
      </w:pPr>
      <w:r w:rsidRPr="00F84C78">
        <w:rPr>
          <w:i w:val="0"/>
        </w:rPr>
        <w:t>“Changing the game” means that when the benefit sought can be granted, there is no duty to notify or assist.</w:t>
      </w:r>
    </w:p>
    <w:p w14:paraId="7A9B13A2" w14:textId="77777777" w:rsidR="00F84C78" w:rsidRDefault="00F84C78" w:rsidP="00F84C78">
      <w:pPr>
        <w:pStyle w:val="VBASubHeading1"/>
        <w:spacing w:before="0"/>
        <w:rPr>
          <w:i w:val="0"/>
        </w:rPr>
      </w:pPr>
    </w:p>
    <w:p w14:paraId="7A9B13A3" w14:textId="77777777" w:rsidR="00F84C78" w:rsidRDefault="00F84C78" w:rsidP="00F84C78">
      <w:pPr>
        <w:pStyle w:val="VBASubHeading1"/>
        <w:spacing w:before="0"/>
        <w:rPr>
          <w:i w:val="0"/>
        </w:rPr>
      </w:pPr>
    </w:p>
    <w:p w14:paraId="7A9B13A4" w14:textId="77777777" w:rsidR="00F84C78" w:rsidRDefault="00F84C78" w:rsidP="00F84C78">
      <w:pPr>
        <w:pStyle w:val="VBASubHeading1"/>
        <w:spacing w:before="0"/>
      </w:pPr>
      <w:r w:rsidRPr="00F84C78">
        <w:rPr>
          <w:b/>
          <w:i w:val="0"/>
          <w:u w:val="single"/>
        </w:rPr>
        <w:t>Development for Evidence</w:t>
      </w:r>
      <w:r>
        <w:rPr>
          <w:i w:val="0"/>
        </w:rPr>
        <w:t xml:space="preserve">   </w:t>
      </w:r>
      <w:r>
        <w:t>Slide 6</w:t>
      </w:r>
    </w:p>
    <w:p w14:paraId="7A9B13A5" w14:textId="77777777" w:rsidR="00F84C78" w:rsidRDefault="00F84C78" w:rsidP="00F84C78">
      <w:pPr>
        <w:pStyle w:val="VBABodyText0"/>
        <w:spacing w:before="0"/>
      </w:pPr>
      <w:r w:rsidRPr="00732C5C">
        <w:t xml:space="preserve">Under the regulations, VBA can refuse to provide a medical examination or opinion </w:t>
      </w:r>
      <w:r w:rsidRPr="00732C5C">
        <w:rPr>
          <w:i/>
        </w:rPr>
        <w:t xml:space="preserve">if there is already enough sufficient competent medical evidence of record to make a decision on a claim.  </w:t>
      </w:r>
      <w:r w:rsidRPr="00732C5C">
        <w:t xml:space="preserve">Simply put, this is the basis for the “exam by exception” mentality. </w:t>
      </w:r>
    </w:p>
    <w:p w14:paraId="7A9B13A6" w14:textId="77777777" w:rsidR="00F84C78" w:rsidRPr="00732C5C" w:rsidRDefault="00F84C78" w:rsidP="00F84C78">
      <w:pPr>
        <w:pStyle w:val="VBABodyText0"/>
        <w:spacing w:before="0"/>
      </w:pPr>
    </w:p>
    <w:p w14:paraId="7A9B13A7" w14:textId="77777777" w:rsidR="00F84C78" w:rsidRDefault="00F84C78" w:rsidP="00F84C78">
      <w:pPr>
        <w:pStyle w:val="VBABodyText0"/>
        <w:spacing w:before="0"/>
      </w:pPr>
      <w:r w:rsidRPr="00732C5C">
        <w:t xml:space="preserve">The regulations clearly state that an examination is only required when necessary to make a decision on a claim.  If the medical evidence of record is competent and contains the information necessary to decide a claim for service connection, no examination is necessary.  </w:t>
      </w:r>
    </w:p>
    <w:p w14:paraId="7A9B13A8" w14:textId="77777777" w:rsidR="00F84C78" w:rsidRPr="00732C5C" w:rsidRDefault="00F84C78" w:rsidP="00F84C78">
      <w:pPr>
        <w:pStyle w:val="VBABodyText0"/>
        <w:spacing w:before="0"/>
      </w:pPr>
    </w:p>
    <w:p w14:paraId="7A9B13A9" w14:textId="77777777" w:rsidR="00F84C78" w:rsidRDefault="00F84C78" w:rsidP="00F84C78">
      <w:pPr>
        <w:pStyle w:val="VBABodyText0"/>
        <w:spacing w:before="0"/>
      </w:pPr>
      <w:r w:rsidRPr="00732C5C">
        <w:t xml:space="preserve">For example, a Veteran files a claim for sleep apnea three years after his honorable discharge.  His service treatment records show he was diagnosed with sleep apnea by a sleep study in service.  He submits current medical evidence showing use of a CPAP machine.  An examination is not required because the service connection can be granted without examination.  </w:t>
      </w:r>
    </w:p>
    <w:p w14:paraId="7A9B13AA" w14:textId="77777777" w:rsidR="00F84C78" w:rsidRPr="00732C5C" w:rsidRDefault="00F84C78" w:rsidP="00F84C78">
      <w:pPr>
        <w:pStyle w:val="VBABodyText0"/>
        <w:spacing w:before="0"/>
      </w:pPr>
    </w:p>
    <w:p w14:paraId="7A9B13AB" w14:textId="77777777" w:rsidR="00F84C78" w:rsidRPr="00732C5C" w:rsidRDefault="00F84C78" w:rsidP="00F84C78">
      <w:pPr>
        <w:pStyle w:val="VBABodyText0"/>
        <w:spacing w:before="0"/>
      </w:pPr>
      <w:r w:rsidRPr="00732C5C">
        <w:t xml:space="preserve">38 C.F.R. 3.304(c) further states that “the development of evidence in connection with claims for service connection will be accomplished when deemed necessary but it </w:t>
      </w:r>
      <w:r w:rsidRPr="00732C5C">
        <w:rPr>
          <w:i/>
        </w:rPr>
        <w:t xml:space="preserve">should not be undertaken when evidence present is sufficient for this determination.”  </w:t>
      </w:r>
      <w:r w:rsidRPr="00732C5C">
        <w:t xml:space="preserve">Overdevelopment of a claim could not only result in a STAR error, but could also cause unnecessary delay for the Veteran’s claim.  </w:t>
      </w:r>
    </w:p>
    <w:p w14:paraId="7A9B13AC" w14:textId="77777777" w:rsidR="00F84C78" w:rsidRPr="00F84C78" w:rsidRDefault="00F84C78" w:rsidP="00F84C78">
      <w:pPr>
        <w:pStyle w:val="VBASubHeading1"/>
        <w:spacing w:before="0"/>
        <w:rPr>
          <w:i w:val="0"/>
        </w:rPr>
      </w:pPr>
    </w:p>
    <w:p w14:paraId="7A9B13AD" w14:textId="77777777" w:rsidR="00F84C78" w:rsidRDefault="00F84C78" w:rsidP="00F84C78">
      <w:pPr>
        <w:pStyle w:val="VBASubHeading1"/>
        <w:spacing w:before="0"/>
        <w:rPr>
          <w:i w:val="0"/>
        </w:rPr>
      </w:pPr>
      <w:r w:rsidRPr="00F84C78">
        <w:rPr>
          <w:i w:val="0"/>
        </w:rPr>
        <w:t>“In initially rating disability at the time of honorable discharge, the records at the time of discharge, the records of the service department, including reports of examination at enlistment and the clinical records during service, will ordinarily suffice” for development purposes. An examination may still be necessary in order to assign the correct evaluation.</w:t>
      </w:r>
    </w:p>
    <w:p w14:paraId="7A9B13AE" w14:textId="77777777" w:rsidR="00F84C78" w:rsidRDefault="00F84C78" w:rsidP="00F84C78">
      <w:pPr>
        <w:pStyle w:val="VBASubHeading1"/>
        <w:spacing w:before="0"/>
        <w:rPr>
          <w:i w:val="0"/>
        </w:rPr>
      </w:pPr>
    </w:p>
    <w:p w14:paraId="7A9B13AF" w14:textId="77777777" w:rsidR="00F84C78" w:rsidRDefault="00F84C78" w:rsidP="00F84C78">
      <w:pPr>
        <w:pStyle w:val="VBASubHeading1"/>
        <w:spacing w:before="0"/>
        <w:rPr>
          <w:i w:val="0"/>
        </w:rPr>
      </w:pPr>
    </w:p>
    <w:p w14:paraId="7A9B13B0" w14:textId="77777777" w:rsidR="00F84C78" w:rsidRDefault="00F84C78" w:rsidP="00F84C78">
      <w:pPr>
        <w:pStyle w:val="VBASubHeading1"/>
        <w:spacing w:before="0"/>
      </w:pPr>
      <w:r>
        <w:rPr>
          <w:b/>
          <w:i w:val="0"/>
          <w:u w:val="single"/>
        </w:rPr>
        <w:t>Medical Examinations</w:t>
      </w:r>
      <w:r>
        <w:rPr>
          <w:i w:val="0"/>
        </w:rPr>
        <w:t xml:space="preserve">   </w:t>
      </w:r>
      <w:r>
        <w:t>Slide 6</w:t>
      </w:r>
    </w:p>
    <w:p w14:paraId="7A9B13B1" w14:textId="02A4AD4F" w:rsidR="00F84C78" w:rsidRDefault="00173163" w:rsidP="00F84C78">
      <w:pPr>
        <w:pStyle w:val="VBABodyText0"/>
        <w:spacing w:before="0"/>
      </w:pPr>
      <w:r w:rsidRPr="00732C5C">
        <w:t>The purpose of duty to assist in ordering a medical examination and/or medical opinion is to obtain medical evid</w:t>
      </w:r>
      <w:r>
        <w:t>ence that is relevant to</w:t>
      </w:r>
      <w:r w:rsidRPr="00732C5C">
        <w:t xml:space="preserve"> establishing entitlement to benefits.  </w:t>
      </w:r>
      <w:r w:rsidR="00F84C78" w:rsidRPr="00732C5C">
        <w:t xml:space="preserve">Such </w:t>
      </w:r>
      <w:r w:rsidRPr="00732C5C">
        <w:t>information</w:t>
      </w:r>
      <w:r w:rsidR="00F84C78" w:rsidRPr="00732C5C">
        <w:t xml:space="preserve"> requested from the examination or medical opinion includes diagnosis, onset, or etiology. </w:t>
      </w:r>
    </w:p>
    <w:p w14:paraId="7A9B13B2" w14:textId="77777777" w:rsidR="00F84C78" w:rsidRPr="00732C5C" w:rsidRDefault="00F84C78" w:rsidP="00F84C78">
      <w:pPr>
        <w:pStyle w:val="VBABodyText0"/>
        <w:spacing w:before="0"/>
      </w:pPr>
    </w:p>
    <w:p w14:paraId="7A9B13B3" w14:textId="77777777" w:rsidR="00F84C78" w:rsidRDefault="00F84C78" w:rsidP="00F84C78">
      <w:pPr>
        <w:pStyle w:val="VBASubHeading1"/>
        <w:spacing w:before="0"/>
        <w:rPr>
          <w:i w:val="0"/>
        </w:rPr>
      </w:pPr>
      <w:r w:rsidRPr="00F84C78">
        <w:rPr>
          <w:i w:val="0"/>
        </w:rPr>
        <w:t xml:space="preserve">38 C.F.R. 3.326 explains that an examination should be requested by VBA when the medical evidence accompanying the claim is not adequate for rating purposes.  The evidence, including </w:t>
      </w:r>
      <w:r w:rsidRPr="00F84C78">
        <w:rPr>
          <w:i w:val="0"/>
        </w:rPr>
        <w:lastRenderedPageBreak/>
        <w:t>but not limited to hospital reports or examinations from any government or private institution or statements from private physicians, should be reviewed to determine what information it contains for rating purposes. Provided the evidence is adequate for rating purposes, an examination may not be necessary.</w:t>
      </w:r>
    </w:p>
    <w:p w14:paraId="7A9B13B4" w14:textId="77777777" w:rsidR="00F84C78" w:rsidRDefault="00F84C78" w:rsidP="00F84C78">
      <w:pPr>
        <w:pStyle w:val="VBASubHeading1"/>
        <w:spacing w:before="0"/>
        <w:rPr>
          <w:i w:val="0"/>
        </w:rPr>
      </w:pPr>
    </w:p>
    <w:p w14:paraId="7A9B13B5" w14:textId="77777777" w:rsidR="00F84C78" w:rsidRDefault="00F84C78" w:rsidP="00F84C78">
      <w:pPr>
        <w:pStyle w:val="VBASubHeading1"/>
        <w:spacing w:before="0"/>
        <w:rPr>
          <w:i w:val="0"/>
        </w:rPr>
      </w:pPr>
    </w:p>
    <w:p w14:paraId="7A9B13B6" w14:textId="77777777" w:rsidR="00F84C78" w:rsidRDefault="00F84C78" w:rsidP="00F84C78">
      <w:pPr>
        <w:pStyle w:val="VBASubHeading1"/>
        <w:spacing w:before="0"/>
      </w:pPr>
      <w:r>
        <w:rPr>
          <w:b/>
          <w:i w:val="0"/>
          <w:u w:val="single"/>
        </w:rPr>
        <w:t>Medical Evidence</w:t>
      </w:r>
      <w:r>
        <w:rPr>
          <w:i w:val="0"/>
        </w:rPr>
        <w:t xml:space="preserve">   </w:t>
      </w:r>
      <w:r>
        <w:t>Slide 7</w:t>
      </w:r>
    </w:p>
    <w:p w14:paraId="7A9B13B7" w14:textId="77777777" w:rsidR="00F84C78" w:rsidRDefault="00F84C78" w:rsidP="00F84C78">
      <w:pPr>
        <w:pStyle w:val="VBABodyText0"/>
        <w:spacing w:before="0"/>
      </w:pPr>
      <w:r w:rsidRPr="00732C5C">
        <w:t xml:space="preserve">Medical evidence does not need to be in the Disability Benefits Questionnaire format; this includes legacy/non-DBQ examinations that are otherwise sufficient for rating purposes.  </w:t>
      </w:r>
    </w:p>
    <w:p w14:paraId="7A9B13B8" w14:textId="77777777" w:rsidR="00F84C78" w:rsidRPr="00732C5C" w:rsidRDefault="00F84C78" w:rsidP="00F84C78">
      <w:pPr>
        <w:pStyle w:val="VBABodyText0"/>
        <w:spacing w:before="0"/>
      </w:pPr>
    </w:p>
    <w:p w14:paraId="7A9B13B9" w14:textId="77777777" w:rsidR="00F84C78" w:rsidRDefault="00F84C78" w:rsidP="00F84C78">
      <w:pPr>
        <w:pStyle w:val="VBASubHeading1"/>
        <w:spacing w:before="0"/>
        <w:rPr>
          <w:i w:val="0"/>
        </w:rPr>
      </w:pPr>
      <w:r w:rsidRPr="00F84C78">
        <w:rPr>
          <w:i w:val="0"/>
        </w:rPr>
        <w:t xml:space="preserve">A new examination should be requested ONLY when the prior examination is insufficient or there is clear evidence that a new examination is needed to evaluate for a worsening of the disability.  The focus is on the information contained in the examinations and medical evidence, not the format.  </w:t>
      </w:r>
    </w:p>
    <w:p w14:paraId="7A9B13BA" w14:textId="77777777" w:rsidR="00F84C78" w:rsidRDefault="00F84C78" w:rsidP="00F84C78">
      <w:pPr>
        <w:pStyle w:val="VBASubHeading1"/>
        <w:spacing w:before="0"/>
        <w:rPr>
          <w:i w:val="0"/>
        </w:rPr>
      </w:pPr>
    </w:p>
    <w:p w14:paraId="7A9B13BB" w14:textId="77777777" w:rsidR="00F84C78" w:rsidRDefault="00F84C78" w:rsidP="00F84C78">
      <w:pPr>
        <w:pStyle w:val="VBASubHeading1"/>
        <w:spacing w:before="0"/>
        <w:rPr>
          <w:b/>
          <w:bCs/>
          <w:i w:val="0"/>
          <w:u w:val="single"/>
        </w:rPr>
      </w:pPr>
    </w:p>
    <w:p w14:paraId="7A9B13BC" w14:textId="77777777" w:rsidR="00F84C78" w:rsidRPr="00F84C78" w:rsidRDefault="00F84C78" w:rsidP="00F84C78">
      <w:pPr>
        <w:pStyle w:val="VBASubHeading1"/>
        <w:spacing w:before="0"/>
        <w:rPr>
          <w:bCs/>
        </w:rPr>
      </w:pPr>
      <w:r>
        <w:rPr>
          <w:b/>
          <w:bCs/>
          <w:i w:val="0"/>
          <w:u w:val="single"/>
        </w:rPr>
        <w:t>Age of Evidence</w:t>
      </w:r>
      <w:r>
        <w:rPr>
          <w:bCs/>
          <w:i w:val="0"/>
        </w:rPr>
        <w:t xml:space="preserve">   </w:t>
      </w:r>
      <w:r>
        <w:rPr>
          <w:bCs/>
        </w:rPr>
        <w:t>Slide 8</w:t>
      </w:r>
    </w:p>
    <w:p w14:paraId="7A9B13BD" w14:textId="77777777" w:rsidR="00F84C78" w:rsidRDefault="00F84C78" w:rsidP="00F84C78">
      <w:pPr>
        <w:pStyle w:val="VBABodyText0"/>
        <w:spacing w:before="0"/>
      </w:pPr>
      <w:r w:rsidRPr="00732C5C">
        <w:t xml:space="preserve">Whether the evidence is “current” should not be confused with the age of the evidence.  The age of medical evidence does not, in and of itself, render it too old for rating purposes, as demonstrated in </w:t>
      </w:r>
      <w:proofErr w:type="spellStart"/>
      <w:r w:rsidRPr="00732C5C">
        <w:t>Palczewski</w:t>
      </w:r>
      <w:proofErr w:type="spellEnd"/>
      <w:r w:rsidRPr="00732C5C">
        <w:t xml:space="preserve"> v. Nicholson. VBA can use reports that are old as long as the reports show that the benefit can be granted.  </w:t>
      </w:r>
    </w:p>
    <w:p w14:paraId="7A9B13BE" w14:textId="77777777" w:rsidR="00F84C78" w:rsidRPr="00732C5C" w:rsidRDefault="00F84C78" w:rsidP="00F84C78">
      <w:pPr>
        <w:pStyle w:val="VBABodyText0"/>
        <w:spacing w:before="0"/>
      </w:pPr>
    </w:p>
    <w:p w14:paraId="7A9B13BF" w14:textId="77777777" w:rsidR="00F84C78" w:rsidRDefault="00F84C78" w:rsidP="00F84C78">
      <w:pPr>
        <w:pStyle w:val="VBABodyText0"/>
        <w:spacing w:before="0"/>
      </w:pPr>
      <w:r w:rsidRPr="00732C5C">
        <w:t xml:space="preserve">If service connection is the issue at hand, the focus is whether the medical evidence of record is adequate for rating purposes.  </w:t>
      </w:r>
    </w:p>
    <w:p w14:paraId="7A9B13C0" w14:textId="77777777" w:rsidR="00F84C78" w:rsidRPr="00732C5C" w:rsidRDefault="00F84C78" w:rsidP="00F84C78">
      <w:pPr>
        <w:pStyle w:val="VBABodyText0"/>
        <w:spacing w:before="0"/>
      </w:pPr>
    </w:p>
    <w:p w14:paraId="7A9B13C1" w14:textId="77777777" w:rsidR="00F84C78" w:rsidRDefault="00F84C78" w:rsidP="00F84C78">
      <w:pPr>
        <w:pStyle w:val="VBABodyText0"/>
        <w:spacing w:before="0"/>
      </w:pPr>
      <w:r w:rsidRPr="00732C5C">
        <w:t xml:space="preserve">If an already service connected disability (claim for increase), the focus is whether the medical evidence of record is “current” for rating purposes. </w:t>
      </w:r>
    </w:p>
    <w:p w14:paraId="7A9B13C2" w14:textId="77777777" w:rsidR="00F84C78" w:rsidRPr="00732C5C" w:rsidRDefault="00F84C78" w:rsidP="00F84C78">
      <w:pPr>
        <w:pStyle w:val="VBABodyText0"/>
        <w:spacing w:before="0"/>
      </w:pPr>
    </w:p>
    <w:p w14:paraId="7A9B13C3" w14:textId="7020BDCC" w:rsidR="00F84C78" w:rsidRDefault="00173163" w:rsidP="00F84C78">
      <w:pPr>
        <w:pStyle w:val="VBABodyText0"/>
        <w:spacing w:before="0"/>
      </w:pPr>
      <w:r w:rsidRPr="00732C5C">
        <w:t>Bottom-line</w:t>
      </w:r>
      <w:r w:rsidR="00F84C78" w:rsidRPr="00732C5C">
        <w:t xml:space="preserve"> is that </w:t>
      </w:r>
      <w:r w:rsidRPr="00732C5C">
        <w:t>the focus</w:t>
      </w:r>
      <w:r w:rsidR="00F84C78" w:rsidRPr="00732C5C">
        <w:t xml:space="preserve"> should be on whether or not the evidence shows a material change in the disability. If there is no evidence showing a worsening of the condition, an examination may not be necessary.  Keep in mind however that the Veteran is competent to report a material change or worsening of their condition. </w:t>
      </w:r>
    </w:p>
    <w:p w14:paraId="7A9B13C4" w14:textId="77777777" w:rsidR="00F84C78" w:rsidRPr="00732C5C" w:rsidRDefault="00F84C78" w:rsidP="00F84C78">
      <w:pPr>
        <w:pStyle w:val="VBABodyText0"/>
        <w:spacing w:before="0"/>
      </w:pPr>
    </w:p>
    <w:p w14:paraId="7A9B13C5" w14:textId="77777777" w:rsidR="00F84C78" w:rsidRDefault="00F84C78" w:rsidP="00F84C78">
      <w:pPr>
        <w:pStyle w:val="VBASubHeading1"/>
        <w:spacing w:before="0"/>
        <w:rPr>
          <w:i w:val="0"/>
        </w:rPr>
      </w:pPr>
      <w:r w:rsidRPr="00F84C78">
        <w:rPr>
          <w:i w:val="0"/>
        </w:rPr>
        <w:t xml:space="preserve">It is best to review all evidence of record, as in some cases evidence showing material change, may be submitted after the examination was completed, as demonstrated in </w:t>
      </w:r>
      <w:proofErr w:type="spellStart"/>
      <w:r w:rsidRPr="00F84C78">
        <w:rPr>
          <w:i w:val="0"/>
        </w:rPr>
        <w:t>Proscelle</w:t>
      </w:r>
      <w:proofErr w:type="spellEnd"/>
      <w:r w:rsidRPr="00F84C78">
        <w:rPr>
          <w:i w:val="0"/>
        </w:rPr>
        <w:t xml:space="preserve"> v. </w:t>
      </w:r>
      <w:proofErr w:type="spellStart"/>
      <w:r w:rsidRPr="00F84C78">
        <w:rPr>
          <w:i w:val="0"/>
        </w:rPr>
        <w:t>Derwinski</w:t>
      </w:r>
      <w:proofErr w:type="spellEnd"/>
      <w:r w:rsidRPr="00F84C78">
        <w:rPr>
          <w:i w:val="0"/>
        </w:rPr>
        <w:t xml:space="preserve">.  </w:t>
      </w:r>
    </w:p>
    <w:p w14:paraId="7A9B13C6" w14:textId="77777777" w:rsidR="00F84C78" w:rsidRDefault="00F84C78" w:rsidP="00F84C78">
      <w:pPr>
        <w:pStyle w:val="VBASubHeading1"/>
        <w:spacing w:before="0"/>
        <w:rPr>
          <w:i w:val="0"/>
        </w:rPr>
      </w:pPr>
    </w:p>
    <w:p w14:paraId="7A9B13C7" w14:textId="77777777" w:rsidR="00F84C78" w:rsidRDefault="00F84C78" w:rsidP="00F84C78">
      <w:pPr>
        <w:pStyle w:val="VBASubHeading1"/>
        <w:spacing w:before="0"/>
        <w:rPr>
          <w:i w:val="0"/>
        </w:rPr>
      </w:pPr>
    </w:p>
    <w:p w14:paraId="7A9B13C8" w14:textId="77777777" w:rsidR="00F84C78" w:rsidRPr="00F84C78" w:rsidRDefault="00F84C78" w:rsidP="00F84C78">
      <w:pPr>
        <w:pStyle w:val="VBASubHeading1"/>
        <w:spacing w:before="0"/>
        <w:rPr>
          <w:bCs/>
        </w:rPr>
      </w:pPr>
      <w:r>
        <w:rPr>
          <w:b/>
          <w:i w:val="0"/>
          <w:u w:val="single"/>
        </w:rPr>
        <w:t>When is an Examination NOT necessary?</w:t>
      </w:r>
      <w:r>
        <w:rPr>
          <w:i w:val="0"/>
        </w:rPr>
        <w:t xml:space="preserve">   </w:t>
      </w:r>
      <w:r>
        <w:t>Slide 9</w:t>
      </w:r>
    </w:p>
    <w:p w14:paraId="7A9B13C9" w14:textId="77777777" w:rsidR="00F84C78" w:rsidRDefault="00F84C78" w:rsidP="00F84C78">
      <w:pPr>
        <w:pStyle w:val="VBABodyText0"/>
        <w:spacing w:before="0"/>
      </w:pPr>
      <w:r w:rsidRPr="00732C5C">
        <w:t xml:space="preserve">Not all claims for disability compensation require current, or in some cases, ANY, VA examination. Specifically, a VA examination is not necessary whenever private, military, or VA medical evidence in the file is sufficient to grant the benefit sought.  </w:t>
      </w:r>
    </w:p>
    <w:p w14:paraId="7A9B13CA" w14:textId="77777777" w:rsidR="00F84C78" w:rsidRPr="00732C5C" w:rsidRDefault="00F84C78" w:rsidP="00F84C78">
      <w:pPr>
        <w:pStyle w:val="VBABodyText0"/>
        <w:spacing w:before="0"/>
      </w:pPr>
    </w:p>
    <w:p w14:paraId="7A9B13CB" w14:textId="77777777" w:rsidR="00F84C78" w:rsidRDefault="00F84C78" w:rsidP="00F84C78">
      <w:pPr>
        <w:pStyle w:val="VBABodyText0"/>
        <w:spacing w:before="0"/>
      </w:pPr>
      <w:r w:rsidRPr="00732C5C">
        <w:t xml:space="preserve">While the duty to assist is more evident for increase, there will be circumstances where a Veteran submits a claim for increase and a VA examination will not be necessary: </w:t>
      </w:r>
    </w:p>
    <w:p w14:paraId="7A9B13CC" w14:textId="77777777" w:rsidR="00F84C78" w:rsidRPr="00732C5C" w:rsidRDefault="00F84C78" w:rsidP="00F84C78">
      <w:pPr>
        <w:pStyle w:val="VBABodyText0"/>
        <w:spacing w:before="0"/>
      </w:pPr>
    </w:p>
    <w:p w14:paraId="7A9B13CD" w14:textId="2521D3ED" w:rsidR="00F84C78" w:rsidRDefault="00F84C78" w:rsidP="00F84C78">
      <w:pPr>
        <w:pStyle w:val="VBABodyText0"/>
        <w:numPr>
          <w:ilvl w:val="0"/>
          <w:numId w:val="20"/>
        </w:numPr>
        <w:spacing w:before="0"/>
        <w:textAlignment w:val="baseline"/>
      </w:pPr>
      <w:r w:rsidRPr="00732C5C">
        <w:lastRenderedPageBreak/>
        <w:t xml:space="preserve">Veteran </w:t>
      </w:r>
      <w:r w:rsidR="00173163" w:rsidRPr="00732C5C">
        <w:t>submitted</w:t>
      </w:r>
      <w:r w:rsidRPr="00732C5C">
        <w:t xml:space="preserve"> adequate evidence to grant an increased evaluation without examination</w:t>
      </w:r>
    </w:p>
    <w:p w14:paraId="7A9B13CE" w14:textId="77777777" w:rsidR="007A5600" w:rsidRDefault="00F84C78" w:rsidP="00F84C78">
      <w:pPr>
        <w:pStyle w:val="VBABodyText0"/>
        <w:numPr>
          <w:ilvl w:val="0"/>
          <w:numId w:val="20"/>
        </w:numPr>
        <w:spacing w:before="0"/>
        <w:textAlignment w:val="baseline"/>
      </w:pPr>
      <w:r w:rsidRPr="00732C5C">
        <w:t>VA outpatient treatment records may provide sufficient evidence to grant an increased evaluation without examination.</w:t>
      </w:r>
    </w:p>
    <w:p w14:paraId="7A9B13CF" w14:textId="77777777" w:rsidR="002613D1" w:rsidRDefault="002613D1" w:rsidP="002613D1">
      <w:pPr>
        <w:pStyle w:val="VBABodyText0"/>
        <w:spacing w:before="0"/>
        <w:textAlignment w:val="baseline"/>
      </w:pPr>
    </w:p>
    <w:p w14:paraId="7A9B13D0" w14:textId="77777777" w:rsidR="002613D1" w:rsidRDefault="002613D1" w:rsidP="002613D1">
      <w:pPr>
        <w:pStyle w:val="VBABodyText0"/>
        <w:spacing w:before="0"/>
        <w:textAlignment w:val="baseline"/>
      </w:pPr>
    </w:p>
    <w:p w14:paraId="7A9B13D1" w14:textId="77777777" w:rsidR="002613D1" w:rsidRDefault="002613D1" w:rsidP="002613D1">
      <w:pPr>
        <w:pStyle w:val="VBABodyText0"/>
        <w:spacing w:before="0"/>
        <w:textAlignment w:val="baseline"/>
        <w:rPr>
          <w:b/>
          <w:u w:val="single"/>
        </w:rPr>
      </w:pPr>
      <w:r>
        <w:rPr>
          <w:b/>
          <w:u w:val="single"/>
        </w:rPr>
        <w:t>Conclusion</w:t>
      </w:r>
    </w:p>
    <w:p w14:paraId="7A9B13D2" w14:textId="77777777" w:rsidR="002613D1" w:rsidRDefault="002613D1" w:rsidP="002613D1">
      <w:pPr>
        <w:pStyle w:val="VBABodyText0"/>
        <w:spacing w:before="0"/>
      </w:pPr>
      <w:r>
        <w:t>If Veteran says the condition at issue has worsened and there is no contemporaneous medical evidence which is adequate for rating purposes allowing for a grant of the benefit sought, then a VA examination is warranted.</w:t>
      </w:r>
    </w:p>
    <w:p w14:paraId="7A9B13D3" w14:textId="77777777" w:rsidR="002613D1" w:rsidRDefault="002613D1" w:rsidP="002613D1">
      <w:pPr>
        <w:pStyle w:val="VBABodyText0"/>
        <w:spacing w:before="0"/>
      </w:pPr>
    </w:p>
    <w:p w14:paraId="7A9B13D4" w14:textId="77777777" w:rsidR="002613D1" w:rsidRDefault="002613D1" w:rsidP="002613D1">
      <w:pPr>
        <w:pStyle w:val="VBABodyText0"/>
        <w:spacing w:before="0"/>
      </w:pPr>
      <w:r>
        <w:t>If a nexus or medical opinion is REQUIRED; then a VA examination is warranted.</w:t>
      </w:r>
    </w:p>
    <w:p w14:paraId="7A9B13D5" w14:textId="77777777" w:rsidR="002613D1" w:rsidRDefault="002613D1" w:rsidP="002613D1">
      <w:pPr>
        <w:pStyle w:val="VBABodyText0"/>
        <w:spacing w:before="0"/>
      </w:pPr>
    </w:p>
    <w:p w14:paraId="7A9B13D6" w14:textId="77777777" w:rsidR="002613D1" w:rsidRDefault="002613D1" w:rsidP="002613D1">
      <w:pPr>
        <w:pStyle w:val="VBABodyText0"/>
        <w:spacing w:before="0"/>
      </w:pPr>
      <w:r>
        <w:t>If there is no medical evidence to evaluate the disability under the rating schedule; then a VA examination is required.</w:t>
      </w:r>
    </w:p>
    <w:p w14:paraId="7A9B13D7" w14:textId="77777777" w:rsidR="002613D1" w:rsidRDefault="002613D1" w:rsidP="002613D1">
      <w:pPr>
        <w:pStyle w:val="VBABodyText0"/>
        <w:spacing w:before="0"/>
      </w:pPr>
    </w:p>
    <w:p w14:paraId="7A9B13D8" w14:textId="77777777" w:rsidR="002613D1" w:rsidRDefault="002613D1" w:rsidP="002613D1">
      <w:pPr>
        <w:pStyle w:val="VBABodyText0"/>
        <w:spacing w:before="0"/>
      </w:pPr>
      <w:r>
        <w:t>This training does not change when an examination is required under 38 CFR 3.159</w:t>
      </w:r>
    </w:p>
    <w:p w14:paraId="7A9B13D9" w14:textId="77777777" w:rsidR="002613D1" w:rsidRDefault="002613D1" w:rsidP="002613D1">
      <w:pPr>
        <w:pStyle w:val="VBABodyText0"/>
        <w:spacing w:before="0"/>
      </w:pPr>
    </w:p>
    <w:p w14:paraId="7A9B13DA" w14:textId="77777777" w:rsidR="002613D1" w:rsidRDefault="002613D1" w:rsidP="002613D1">
      <w:pPr>
        <w:pStyle w:val="VBABodyText0"/>
        <w:spacing w:before="0"/>
      </w:pPr>
      <w:r w:rsidRPr="00923A3D">
        <w:t>Don’t forget to use the ACE process for exams</w:t>
      </w:r>
      <w:r>
        <w:t xml:space="preserve"> and r</w:t>
      </w:r>
      <w:r w:rsidRPr="00923A3D">
        <w:t xml:space="preserve">emember that if you can </w:t>
      </w:r>
      <w:r w:rsidRPr="00923A3D">
        <w:rPr>
          <w:b/>
          <w:bCs/>
          <w:i/>
          <w:iCs/>
        </w:rPr>
        <w:t xml:space="preserve">grant the benefit </w:t>
      </w:r>
      <w:proofErr w:type="gramStart"/>
      <w:r w:rsidRPr="00923A3D">
        <w:rPr>
          <w:b/>
          <w:bCs/>
          <w:i/>
          <w:iCs/>
        </w:rPr>
        <w:t>sought</w:t>
      </w:r>
      <w:r w:rsidRPr="00923A3D">
        <w:t>,</w:t>
      </w:r>
      <w:proofErr w:type="gramEnd"/>
      <w:r w:rsidRPr="00923A3D">
        <w:t xml:space="preserve"> no duty to assist or duty to notify is needed.</w:t>
      </w:r>
    </w:p>
    <w:p w14:paraId="7A9B13DB" w14:textId="77777777" w:rsidR="002613D1" w:rsidRPr="00923A3D" w:rsidRDefault="002613D1" w:rsidP="002613D1">
      <w:pPr>
        <w:pStyle w:val="VBABodyText0"/>
        <w:spacing w:before="0"/>
      </w:pPr>
    </w:p>
    <w:p w14:paraId="7A9B13DC" w14:textId="77777777" w:rsidR="002613D1" w:rsidRDefault="002613D1" w:rsidP="002613D1">
      <w:pPr>
        <w:pStyle w:val="VBABodyText0"/>
        <w:spacing w:before="0"/>
      </w:pPr>
      <w:r w:rsidRPr="00923A3D">
        <w:t>If it is determined that a VA examination is necessary, that VA examination must be full and complete.</w:t>
      </w:r>
    </w:p>
    <w:p w14:paraId="7A9B13DD" w14:textId="77777777" w:rsidR="002613D1" w:rsidRPr="00923A3D" w:rsidRDefault="002613D1" w:rsidP="002613D1">
      <w:pPr>
        <w:pStyle w:val="VBABodyText0"/>
        <w:spacing w:before="0"/>
      </w:pPr>
    </w:p>
    <w:p w14:paraId="7A9B13DE" w14:textId="77777777" w:rsidR="002613D1" w:rsidRPr="002613D1" w:rsidRDefault="002613D1" w:rsidP="002613D1">
      <w:pPr>
        <w:pStyle w:val="VBABodyText0"/>
        <w:spacing w:before="0"/>
        <w:textAlignment w:val="baseline"/>
        <w:rPr>
          <w:b/>
          <w:u w:val="single"/>
        </w:rPr>
      </w:pPr>
      <w:r w:rsidRPr="00923A3D">
        <w:t>Remember that certain portions of 38 CFR Part 4, in particular, the respiratory, visual, audio, and cardiovascular regulations, require certain specific finding or results in order to evaluate the disability.</w:t>
      </w:r>
    </w:p>
    <w:p w14:paraId="7A9B13DF" w14:textId="77777777" w:rsidR="007A5600" w:rsidRDefault="007A5600" w:rsidP="00F84C78">
      <w:pPr>
        <w:pStyle w:val="VBABodyText0"/>
        <w:spacing w:before="0"/>
      </w:pPr>
    </w:p>
    <w:p w14:paraId="7A9B13E0" w14:textId="77777777" w:rsidR="001F60E7" w:rsidRDefault="001F60E7">
      <w:pPr>
        <w:overflowPunct/>
        <w:autoSpaceDE/>
        <w:autoSpaceDN/>
        <w:adjustRightInd/>
        <w:spacing w:before="0"/>
        <w:rPr>
          <w:b/>
          <w:u w:val="single"/>
        </w:rPr>
      </w:pPr>
      <w:r>
        <w:rPr>
          <w:b/>
          <w:u w:val="single"/>
        </w:rPr>
        <w:br w:type="page"/>
      </w:r>
    </w:p>
    <w:p w14:paraId="7A9B13E1" w14:textId="77777777" w:rsidR="001F60E7" w:rsidRDefault="00BD40EE" w:rsidP="00DE4B91">
      <w:pPr>
        <w:pStyle w:val="Heading1"/>
        <w:spacing w:before="0" w:after="0"/>
      </w:pPr>
      <w:bookmarkStart w:id="9" w:name="_Toc446075652"/>
      <w:r w:rsidRPr="00BD40EE">
        <w:lastRenderedPageBreak/>
        <w:t>Examples</w:t>
      </w:r>
      <w:bookmarkEnd w:id="9"/>
      <w:r>
        <w:t xml:space="preserve">   </w:t>
      </w:r>
    </w:p>
    <w:p w14:paraId="7A9B13E2" w14:textId="77777777" w:rsidR="007A5600" w:rsidRDefault="00BD40EE" w:rsidP="00DE4B91">
      <w:pPr>
        <w:spacing w:before="0"/>
        <w:jc w:val="center"/>
        <w:rPr>
          <w:i/>
        </w:rPr>
      </w:pPr>
      <w:r w:rsidRPr="00BD40EE">
        <w:rPr>
          <w:i/>
        </w:rPr>
        <w:t>Slides 10-18</w:t>
      </w:r>
    </w:p>
    <w:p w14:paraId="7A9B13E3" w14:textId="77777777" w:rsidR="007A5600" w:rsidRDefault="007A5600" w:rsidP="001F60E7">
      <w:pPr>
        <w:spacing w:before="0"/>
        <w:jc w:val="center"/>
      </w:pPr>
    </w:p>
    <w:p w14:paraId="7A9B13E4" w14:textId="77777777" w:rsidR="002613D1" w:rsidRDefault="002613D1" w:rsidP="002613D1">
      <w:r>
        <w:t xml:space="preserve">Instructor for course will have the copy of the questions with the correct answer to hand out for your reference. </w:t>
      </w:r>
    </w:p>
    <w:p w14:paraId="7A9B13E5" w14:textId="77777777" w:rsidR="002613D1" w:rsidRDefault="002613D1" w:rsidP="002613D1">
      <w:pPr>
        <w:spacing w:before="0"/>
      </w:pPr>
    </w:p>
    <w:p w14:paraId="7A9B13E6" w14:textId="77777777" w:rsidR="00BD40EE" w:rsidRPr="00BD40EE" w:rsidRDefault="00BD40EE" w:rsidP="00BD40EE">
      <w:pPr>
        <w:spacing w:before="0"/>
        <w:rPr>
          <w:b/>
          <w:u w:val="single"/>
        </w:rPr>
      </w:pPr>
      <w:r w:rsidRPr="00BD40EE">
        <w:rPr>
          <w:b/>
          <w:u w:val="single"/>
        </w:rPr>
        <w:t>Example 1</w:t>
      </w:r>
    </w:p>
    <w:p w14:paraId="7A9B13E7" w14:textId="31239F34" w:rsidR="00BD40EE" w:rsidRDefault="00BD40EE" w:rsidP="00BD40EE">
      <w:pPr>
        <w:spacing w:before="0"/>
      </w:pPr>
      <w:r>
        <w:t xml:space="preserve">Veteran was honorably discharged on July 31, 2006.  On July 10, 2010, the Veteran </w:t>
      </w:r>
      <w:r w:rsidR="00173163">
        <w:t>requested</w:t>
      </w:r>
      <w:r>
        <w:t xml:space="preserve"> service connection for a right knee condition.  STRs and VA examination show right knee degenerative joint disease.  The VA examination from October 2010 shows a 10 percent evaluation is warranted based on painful range of motion and crepitus.  No lay statements or other evidence has been received since the examination.  You are rating this case on September 1, 2014 – what action should you take? </w:t>
      </w:r>
    </w:p>
    <w:p w14:paraId="7A9B13E8" w14:textId="77777777" w:rsidR="001F60E7" w:rsidRDefault="001F60E7" w:rsidP="00BD40EE">
      <w:pPr>
        <w:spacing w:before="0"/>
      </w:pPr>
    </w:p>
    <w:p w14:paraId="7A9B13E9" w14:textId="77777777" w:rsidR="001F60E7" w:rsidRDefault="001F60E7" w:rsidP="00BD40EE">
      <w:pPr>
        <w:spacing w:before="0"/>
      </w:pPr>
    </w:p>
    <w:p w14:paraId="7A9B13EA" w14:textId="77777777" w:rsidR="00BD40EE" w:rsidRDefault="00BD40EE" w:rsidP="00BD40EE">
      <w:pPr>
        <w:spacing w:before="0"/>
      </w:pPr>
    </w:p>
    <w:p w14:paraId="7A9B13EB" w14:textId="77777777" w:rsidR="00BD40EE" w:rsidRDefault="00BD40EE" w:rsidP="00BD40EE">
      <w:pPr>
        <w:spacing w:before="0"/>
      </w:pPr>
    </w:p>
    <w:p w14:paraId="7A9B13EC" w14:textId="77777777" w:rsidR="001F60E7" w:rsidRDefault="001F60E7" w:rsidP="00BD40EE">
      <w:pPr>
        <w:spacing w:before="0"/>
      </w:pPr>
    </w:p>
    <w:p w14:paraId="7A9B13ED" w14:textId="77777777" w:rsidR="00BD40EE" w:rsidRPr="00BD40EE" w:rsidRDefault="00BD40EE" w:rsidP="00BD40EE">
      <w:pPr>
        <w:spacing w:before="0"/>
        <w:rPr>
          <w:b/>
          <w:u w:val="single"/>
        </w:rPr>
      </w:pPr>
      <w:r w:rsidRPr="00BD40EE">
        <w:rPr>
          <w:b/>
          <w:u w:val="single"/>
        </w:rPr>
        <w:t>Example 2</w:t>
      </w:r>
    </w:p>
    <w:p w14:paraId="7A9B13EE" w14:textId="77777777" w:rsidR="00BD40EE" w:rsidRDefault="00BD40EE" w:rsidP="00BD40EE">
      <w:pPr>
        <w:spacing w:before="0"/>
      </w:pPr>
      <w:r>
        <w:t>A peacetime Veteran who was honorably discharged in 1988 following 4 years of service files a claim for ALS.  The Veteran submits medical reports from his private neurologist with his claim, confirming the diagnosis of ALS.  The date of claim is April 30, 2012.  STRs show no diagnosis of ALS or neurological disorder.  You are rating this case today – what action should you take?</w:t>
      </w:r>
    </w:p>
    <w:p w14:paraId="7A9B13EF" w14:textId="77777777" w:rsidR="00BD40EE" w:rsidRDefault="00BD40EE" w:rsidP="00BD40EE">
      <w:pPr>
        <w:spacing w:before="0"/>
      </w:pPr>
    </w:p>
    <w:p w14:paraId="7A9B13F0" w14:textId="77777777" w:rsidR="00BD40EE" w:rsidRDefault="00BD40EE" w:rsidP="00BD40EE">
      <w:pPr>
        <w:spacing w:before="0"/>
      </w:pPr>
    </w:p>
    <w:p w14:paraId="7A9B13F1" w14:textId="77777777" w:rsidR="001F60E7" w:rsidRDefault="001F60E7" w:rsidP="00BD40EE">
      <w:pPr>
        <w:spacing w:before="0"/>
      </w:pPr>
    </w:p>
    <w:p w14:paraId="7A9B13F2" w14:textId="77777777" w:rsidR="001F60E7" w:rsidRDefault="001F60E7" w:rsidP="00BD40EE">
      <w:pPr>
        <w:spacing w:before="0"/>
      </w:pPr>
    </w:p>
    <w:p w14:paraId="7A9B13F3" w14:textId="77777777" w:rsidR="001F60E7" w:rsidRDefault="001F60E7" w:rsidP="00BD40EE">
      <w:pPr>
        <w:spacing w:before="0"/>
      </w:pPr>
    </w:p>
    <w:p w14:paraId="7A9B13F4" w14:textId="77777777" w:rsidR="00BD40EE" w:rsidRPr="00BD40EE" w:rsidRDefault="00BD40EE" w:rsidP="00BD40EE">
      <w:pPr>
        <w:spacing w:before="0"/>
        <w:rPr>
          <w:b/>
          <w:u w:val="single"/>
        </w:rPr>
      </w:pPr>
      <w:r w:rsidRPr="00BD40EE">
        <w:rPr>
          <w:b/>
          <w:u w:val="single"/>
        </w:rPr>
        <w:t>Example 3</w:t>
      </w:r>
    </w:p>
    <w:p w14:paraId="7A9B13F5" w14:textId="77777777" w:rsidR="00BD40EE" w:rsidRDefault="00BD40EE" w:rsidP="00BD40EE">
      <w:pPr>
        <w:spacing w:before="0"/>
      </w:pPr>
      <w:r>
        <w:t>Veteran is SC for DM II with nephropathy at 20 percent.  On July 10, 2012, the Veteran submits medical reports from his private physician that is treating the nephropathy, revealing a chronically elevated creatinine level of 2.5 since November 11, 2011.  You are rating this case today – what action should you take?</w:t>
      </w:r>
    </w:p>
    <w:p w14:paraId="7A9B13F6" w14:textId="77777777" w:rsidR="00BD40EE" w:rsidRDefault="00BD40EE" w:rsidP="00BD40EE">
      <w:pPr>
        <w:spacing w:before="0"/>
      </w:pPr>
    </w:p>
    <w:p w14:paraId="7A9B13F7" w14:textId="77777777" w:rsidR="00BD40EE" w:rsidRDefault="00BD40EE" w:rsidP="00BD40EE">
      <w:pPr>
        <w:spacing w:before="0"/>
      </w:pPr>
    </w:p>
    <w:p w14:paraId="7A9B13F8" w14:textId="77777777" w:rsidR="001F60E7" w:rsidRDefault="001F60E7" w:rsidP="00BD40EE">
      <w:pPr>
        <w:spacing w:before="0"/>
      </w:pPr>
    </w:p>
    <w:p w14:paraId="7A9B13F9" w14:textId="77777777" w:rsidR="001F60E7" w:rsidRDefault="001F60E7" w:rsidP="00BD40EE">
      <w:pPr>
        <w:spacing w:before="0"/>
      </w:pPr>
    </w:p>
    <w:p w14:paraId="7A9B13FA" w14:textId="77777777" w:rsidR="001F60E7" w:rsidRDefault="001F60E7" w:rsidP="00BD40EE">
      <w:pPr>
        <w:spacing w:before="0"/>
      </w:pPr>
    </w:p>
    <w:p w14:paraId="7A9B13FB" w14:textId="77777777" w:rsidR="00BD40EE" w:rsidRPr="00BD40EE" w:rsidRDefault="00BD40EE" w:rsidP="00BD40EE">
      <w:pPr>
        <w:spacing w:before="0"/>
        <w:rPr>
          <w:b/>
          <w:u w:val="single"/>
        </w:rPr>
      </w:pPr>
      <w:r w:rsidRPr="00BD40EE">
        <w:rPr>
          <w:b/>
          <w:u w:val="single"/>
        </w:rPr>
        <w:t>Example 4</w:t>
      </w:r>
    </w:p>
    <w:p w14:paraId="7A9B13FC" w14:textId="77777777" w:rsidR="007A5600" w:rsidRDefault="00BD40EE" w:rsidP="00F84C78">
      <w:pPr>
        <w:spacing w:before="0"/>
      </w:pPr>
      <w:r>
        <w:t>Veteran claims a right knee disability due to parachute jumping in service and submits a statement that he suffers with right knee pain.  STRs do not show right knee treatment, but the DD214 shows the Veteran earned a Master Parachutist Badge.  The date of claim is May 1, 2012; the Veteran was released from active duty on September 4, 2005.  You are rating this case today – what action should you take?</w:t>
      </w:r>
    </w:p>
    <w:p w14:paraId="7A9B13FD" w14:textId="77777777" w:rsidR="007A5600" w:rsidRDefault="007A5600" w:rsidP="00F84C78">
      <w:pPr>
        <w:overflowPunct/>
        <w:autoSpaceDE/>
        <w:autoSpaceDN/>
        <w:adjustRightInd/>
        <w:spacing w:before="0"/>
        <w:rPr>
          <w:rFonts w:ascii="Times New Roman Bold" w:hAnsi="Times New Roman Bold"/>
          <w:b/>
          <w:smallCaps/>
          <w:color w:val="0070C0"/>
          <w:sz w:val="32"/>
          <w:szCs w:val="32"/>
        </w:rPr>
      </w:pPr>
      <w:r>
        <w:rPr>
          <w:color w:val="0070C0"/>
        </w:rPr>
        <w:br w:type="page"/>
      </w:r>
    </w:p>
    <w:p w14:paraId="7A9B13FE" w14:textId="3C431530" w:rsidR="007A5600" w:rsidRPr="00FA0FC7" w:rsidRDefault="00F2378A" w:rsidP="005D701E">
      <w:pPr>
        <w:pStyle w:val="VBATopicHeading1"/>
        <w:tabs>
          <w:tab w:val="left" w:pos="3765"/>
          <w:tab w:val="center" w:pos="4680"/>
        </w:tabs>
        <w:spacing w:before="0" w:after="0"/>
      </w:pPr>
      <w:bookmarkStart w:id="10" w:name="_Toc446075653"/>
      <w:r>
        <w:lastRenderedPageBreak/>
        <w:t>Practical Scenarios</w:t>
      </w:r>
      <w:bookmarkEnd w:id="10"/>
    </w:p>
    <w:p w14:paraId="7A9B13FF" w14:textId="77777777" w:rsidR="00FA4FF6" w:rsidRDefault="00FA4FF6" w:rsidP="005D701E">
      <w:pPr>
        <w:pStyle w:val="VBATopicHeading1"/>
        <w:tabs>
          <w:tab w:val="left" w:pos="3765"/>
          <w:tab w:val="center" w:pos="4680"/>
        </w:tabs>
        <w:spacing w:before="0" w:after="0"/>
        <w:rPr>
          <w:color w:val="0070C0"/>
        </w:rPr>
      </w:pPr>
    </w:p>
    <w:p w14:paraId="7A9B1400" w14:textId="77777777" w:rsidR="00FA4FF6" w:rsidRDefault="00FA4FF6" w:rsidP="00FA4FF6">
      <w:r>
        <w:t>Below are questions that were reviewed by Quality Review Teams.  Instructor for course will have the copy of the questions with the correct answer</w:t>
      </w:r>
      <w:r w:rsidR="00F23FB4">
        <w:t xml:space="preserve"> to hand out for your reference</w:t>
      </w:r>
      <w:r>
        <w:t xml:space="preserve">. </w:t>
      </w:r>
    </w:p>
    <w:p w14:paraId="7A9B1401" w14:textId="77777777" w:rsidR="00DD1D06" w:rsidRDefault="00DD1D06" w:rsidP="005D701E">
      <w:pPr>
        <w:pStyle w:val="VBATopicHeading1"/>
        <w:tabs>
          <w:tab w:val="left" w:pos="3765"/>
          <w:tab w:val="center" w:pos="4680"/>
        </w:tabs>
        <w:spacing w:before="0" w:after="0"/>
        <w:rPr>
          <w:color w:val="0070C0"/>
        </w:rPr>
      </w:pPr>
    </w:p>
    <w:p w14:paraId="7A9B1402" w14:textId="77777777" w:rsidR="00DD1D06" w:rsidRPr="007F4FCE" w:rsidRDefault="00DD1D06" w:rsidP="00DD1D06">
      <w:pPr>
        <w:pStyle w:val="VBABodyText0"/>
        <w:spacing w:before="0"/>
        <w:rPr>
          <w:b/>
          <w:u w:val="single"/>
        </w:rPr>
      </w:pPr>
      <w:r w:rsidRPr="007F4FCE">
        <w:rPr>
          <w:b/>
          <w:u w:val="single"/>
        </w:rPr>
        <w:t>Diabetic Complications</w:t>
      </w:r>
    </w:p>
    <w:p w14:paraId="7A9B1403" w14:textId="77777777" w:rsidR="00DD1D06" w:rsidRDefault="00DD1D06" w:rsidP="00DD1D06">
      <w:pPr>
        <w:pStyle w:val="VBABodyText0"/>
        <w:spacing w:before="0"/>
      </w:pPr>
      <w:r w:rsidRPr="00732C5C">
        <w:t xml:space="preserve">If we have a claim for diabetes mellitus and can grant a 20 percent evaluation based on evidence of a diagnosis and required insulin, can we grant the 20 percent evaluation and clear the EP without requesting an examination to </w:t>
      </w:r>
      <w:r w:rsidRPr="007F4FCE">
        <w:t>determine</w:t>
      </w:r>
      <w:r w:rsidRPr="00732C5C">
        <w:t xml:space="preserve"> if there are diabetic complications?</w:t>
      </w:r>
    </w:p>
    <w:p w14:paraId="7A9B1404" w14:textId="77777777" w:rsidR="00DD1D06" w:rsidRDefault="00DD1D06" w:rsidP="00DD1D06">
      <w:pPr>
        <w:pStyle w:val="VBABodyText0"/>
        <w:spacing w:before="0"/>
      </w:pPr>
    </w:p>
    <w:p w14:paraId="7A9B1405" w14:textId="77777777" w:rsidR="00DD1D06" w:rsidRDefault="00DD1D06" w:rsidP="00DD1D06">
      <w:pPr>
        <w:pStyle w:val="VBABodyText0"/>
        <w:spacing w:before="0"/>
      </w:pPr>
    </w:p>
    <w:p w14:paraId="7A9B1406" w14:textId="77777777" w:rsidR="00DD1D06" w:rsidRPr="00732C5C" w:rsidRDefault="00DD1D06" w:rsidP="00DD1D06">
      <w:pPr>
        <w:pStyle w:val="VBABodyText0"/>
        <w:spacing w:before="0"/>
      </w:pPr>
    </w:p>
    <w:p w14:paraId="7A9B1407" w14:textId="77777777" w:rsidR="00DD1D06" w:rsidRDefault="00DD1D06" w:rsidP="00DD1D06">
      <w:pPr>
        <w:pStyle w:val="VBATopicHeading1"/>
        <w:tabs>
          <w:tab w:val="left" w:pos="3765"/>
          <w:tab w:val="center" w:pos="4680"/>
        </w:tabs>
        <w:spacing w:before="0" w:after="0"/>
        <w:jc w:val="left"/>
        <w:rPr>
          <w:color w:val="0070C0"/>
        </w:rPr>
      </w:pPr>
    </w:p>
    <w:p w14:paraId="7A9B1408" w14:textId="77777777" w:rsidR="00DD1D06" w:rsidRDefault="00DD1D06" w:rsidP="00DD1D06">
      <w:pPr>
        <w:pStyle w:val="VBATopicHeading1"/>
        <w:tabs>
          <w:tab w:val="left" w:pos="3765"/>
          <w:tab w:val="center" w:pos="4680"/>
        </w:tabs>
        <w:spacing w:before="0" w:after="0"/>
        <w:jc w:val="left"/>
        <w:rPr>
          <w:color w:val="0070C0"/>
        </w:rPr>
      </w:pPr>
    </w:p>
    <w:p w14:paraId="7A9B1409" w14:textId="77777777" w:rsidR="00DD1D06" w:rsidRDefault="00DD1D06" w:rsidP="00DD1D06">
      <w:pPr>
        <w:pStyle w:val="VBATopicHeading1"/>
        <w:tabs>
          <w:tab w:val="left" w:pos="3765"/>
          <w:tab w:val="center" w:pos="4680"/>
        </w:tabs>
        <w:spacing w:before="0" w:after="0"/>
        <w:jc w:val="left"/>
        <w:rPr>
          <w:color w:val="0070C0"/>
        </w:rPr>
      </w:pPr>
    </w:p>
    <w:p w14:paraId="7A9B140A" w14:textId="77777777" w:rsidR="00DD1D06" w:rsidRPr="007F4FCE" w:rsidRDefault="00DD1D06" w:rsidP="00DD1D06">
      <w:pPr>
        <w:pStyle w:val="VBABodyText0"/>
        <w:spacing w:before="0"/>
        <w:rPr>
          <w:b/>
          <w:u w:val="single"/>
        </w:rPr>
      </w:pPr>
      <w:r w:rsidRPr="007F4FCE">
        <w:rPr>
          <w:b/>
          <w:u w:val="single"/>
        </w:rPr>
        <w:t>Total Disability based on Individual Unemployability</w:t>
      </w:r>
    </w:p>
    <w:p w14:paraId="7A9B140B" w14:textId="77777777" w:rsidR="00DD1D06" w:rsidRDefault="00DD1D06" w:rsidP="00DD1D06">
      <w:pPr>
        <w:pStyle w:val="VBABodyText0"/>
        <w:spacing w:before="0"/>
      </w:pPr>
      <w:r w:rsidRPr="00732C5C">
        <w:t xml:space="preserve">The Veteran files a claim for total disability based on individual </w:t>
      </w:r>
      <w:proofErr w:type="spellStart"/>
      <w:r w:rsidRPr="00732C5C">
        <w:t>unemployability</w:t>
      </w:r>
      <w:proofErr w:type="spellEnd"/>
      <w:r w:rsidRPr="00732C5C">
        <w:t xml:space="preserve"> (TDIU) in December 2012 stating he last worked in June 2012.  The evidence of record is sufficient to grant a 100 percent scheduler evaluation from the date of claim.  Do we have a duty to assist since we are granting the total evaluation?  </w:t>
      </w:r>
    </w:p>
    <w:p w14:paraId="7A9B140C" w14:textId="77777777" w:rsidR="00DD1D06" w:rsidRDefault="00DD1D06" w:rsidP="00DD1D06">
      <w:pPr>
        <w:pStyle w:val="VBABodyText0"/>
        <w:spacing w:before="0"/>
      </w:pPr>
    </w:p>
    <w:p w14:paraId="7A9B140D" w14:textId="77777777" w:rsidR="00DD1D06" w:rsidRDefault="00DD1D06" w:rsidP="00DD1D06">
      <w:pPr>
        <w:pStyle w:val="VBABodyText0"/>
        <w:spacing w:before="0"/>
      </w:pPr>
    </w:p>
    <w:p w14:paraId="7A9B140E" w14:textId="77777777" w:rsidR="00DD1D06" w:rsidRDefault="00DD1D06" w:rsidP="00DD1D06">
      <w:pPr>
        <w:pStyle w:val="VBABodyText0"/>
        <w:spacing w:before="0"/>
      </w:pPr>
    </w:p>
    <w:p w14:paraId="7A9B140F" w14:textId="77777777" w:rsidR="00DD1D06" w:rsidRDefault="00DD1D06" w:rsidP="00DD1D06">
      <w:pPr>
        <w:pStyle w:val="VBABodyText0"/>
        <w:spacing w:before="0"/>
      </w:pPr>
    </w:p>
    <w:p w14:paraId="7A9B1410" w14:textId="77777777" w:rsidR="00DD1D06" w:rsidRDefault="00DD1D06" w:rsidP="00DD1D06">
      <w:pPr>
        <w:pStyle w:val="VBABodyText0"/>
        <w:spacing w:before="0"/>
      </w:pPr>
    </w:p>
    <w:p w14:paraId="7A9B1411" w14:textId="77777777" w:rsidR="00DD1D06" w:rsidRDefault="00DD1D06" w:rsidP="00DD1D06">
      <w:pPr>
        <w:pStyle w:val="VBABodyText0"/>
        <w:spacing w:before="0"/>
      </w:pPr>
    </w:p>
    <w:p w14:paraId="7A9B1412" w14:textId="77777777" w:rsidR="00DD1D06" w:rsidRDefault="00DD1D06" w:rsidP="00DD1D06">
      <w:pPr>
        <w:pStyle w:val="VBABodyText0"/>
        <w:spacing w:before="0"/>
        <w:rPr>
          <w:b/>
          <w:u w:val="single"/>
        </w:rPr>
      </w:pPr>
      <w:r>
        <w:rPr>
          <w:b/>
          <w:u w:val="single"/>
        </w:rPr>
        <w:t>Asthma</w:t>
      </w:r>
    </w:p>
    <w:p w14:paraId="7A9B1413" w14:textId="77777777" w:rsidR="00DD1D06" w:rsidRDefault="00DD1D06" w:rsidP="00DD1D06">
      <w:pPr>
        <w:spacing w:before="0"/>
      </w:pPr>
      <w:r w:rsidRPr="00732C5C">
        <w:t xml:space="preserve">The Veteran is service connected for asthma at 10 percent disabling and the medical records show use of an inhaler daily. Do we have to obtain pulmonary function testing?  </w:t>
      </w:r>
    </w:p>
    <w:p w14:paraId="7A9B1414" w14:textId="77777777" w:rsidR="00DD1D06" w:rsidRDefault="00DD1D06" w:rsidP="00DD1D06">
      <w:pPr>
        <w:spacing w:before="0"/>
      </w:pPr>
    </w:p>
    <w:p w14:paraId="7A9B1415" w14:textId="77777777" w:rsidR="00DD1D06" w:rsidRDefault="00DD1D06" w:rsidP="00DD1D06">
      <w:pPr>
        <w:spacing w:before="0"/>
      </w:pPr>
    </w:p>
    <w:p w14:paraId="7A9B1416" w14:textId="77777777" w:rsidR="00DD1D06" w:rsidRDefault="00DD1D06" w:rsidP="00DD1D06">
      <w:pPr>
        <w:spacing w:before="0"/>
      </w:pPr>
    </w:p>
    <w:p w14:paraId="7A9B1417" w14:textId="77777777" w:rsidR="00DD1D06" w:rsidRDefault="00DD1D06" w:rsidP="00DD1D06">
      <w:pPr>
        <w:spacing w:before="0"/>
      </w:pPr>
    </w:p>
    <w:p w14:paraId="7A9B1418" w14:textId="77777777" w:rsidR="00DD1D06" w:rsidRDefault="00DD1D06" w:rsidP="00DD1D06">
      <w:pPr>
        <w:spacing w:before="0"/>
      </w:pPr>
    </w:p>
    <w:p w14:paraId="7A9B1419" w14:textId="77777777" w:rsidR="00DD1D06" w:rsidRPr="00732C5C" w:rsidRDefault="00DD1D06" w:rsidP="00DD1D06">
      <w:pPr>
        <w:spacing w:before="0"/>
      </w:pPr>
    </w:p>
    <w:p w14:paraId="7A9B141A" w14:textId="77777777" w:rsidR="00DD1D06" w:rsidRPr="00093FC3" w:rsidRDefault="00DD1D06" w:rsidP="00DD1D06">
      <w:pPr>
        <w:pStyle w:val="VBABodyText0"/>
        <w:spacing w:before="0"/>
        <w:rPr>
          <w:b/>
          <w:u w:val="single"/>
        </w:rPr>
      </w:pPr>
      <w:r w:rsidRPr="00093FC3">
        <w:rPr>
          <w:b/>
          <w:u w:val="single"/>
        </w:rPr>
        <w:t>General Medical Examination</w:t>
      </w:r>
    </w:p>
    <w:p w14:paraId="7A9B141B" w14:textId="04E81C46" w:rsidR="00DD1D06" w:rsidRDefault="00DD1D06" w:rsidP="00DD1D06">
      <w:pPr>
        <w:spacing w:before="0"/>
      </w:pPr>
      <w:r w:rsidRPr="00732C5C">
        <w:t xml:space="preserve">For Veterans who have been out of service less than one year and who require a general medical examination, would we still have to get an exam if the STRs or other evidence provide sufficient evidence for granting?  For example, a Veteran diagnosed with sleep apnea and prescribed a CPAP </w:t>
      </w:r>
      <w:r w:rsidR="00173163">
        <w:t>machine</w:t>
      </w:r>
      <w:r w:rsidRPr="00732C5C">
        <w:t xml:space="preserve"> in service with no other claims associated with the original claim. </w:t>
      </w:r>
    </w:p>
    <w:p w14:paraId="7A9B141C" w14:textId="77777777" w:rsidR="00DD1D06" w:rsidRDefault="00DD1D06" w:rsidP="00DD1D06">
      <w:pPr>
        <w:spacing w:before="0"/>
      </w:pPr>
    </w:p>
    <w:p w14:paraId="7A9B141D" w14:textId="77777777" w:rsidR="00DD1D06" w:rsidRDefault="00DD1D06" w:rsidP="00DD1D06">
      <w:pPr>
        <w:spacing w:before="0"/>
      </w:pPr>
    </w:p>
    <w:p w14:paraId="7A9B141E" w14:textId="77777777" w:rsidR="00DD1D06" w:rsidRDefault="00DD1D06" w:rsidP="00DD1D06">
      <w:pPr>
        <w:spacing w:before="0"/>
      </w:pPr>
    </w:p>
    <w:p w14:paraId="7A9B141F" w14:textId="77777777" w:rsidR="00DD1D06" w:rsidRDefault="00DD1D06" w:rsidP="00DD1D06">
      <w:pPr>
        <w:spacing w:before="0"/>
      </w:pPr>
    </w:p>
    <w:p w14:paraId="7A9B1420" w14:textId="77777777" w:rsidR="00DD1D06" w:rsidRDefault="00DD1D06" w:rsidP="00DD1D06">
      <w:pPr>
        <w:spacing w:before="0"/>
        <w:rPr>
          <w:b/>
          <w:u w:val="single"/>
        </w:rPr>
      </w:pPr>
      <w:r>
        <w:rPr>
          <w:b/>
          <w:u w:val="single"/>
        </w:rPr>
        <w:lastRenderedPageBreak/>
        <w:t>ACE Examinations and Tender Scars</w:t>
      </w:r>
    </w:p>
    <w:p w14:paraId="7A9B1421" w14:textId="77777777" w:rsidR="00DD1D06" w:rsidRDefault="00DD1D06" w:rsidP="00DD1D06">
      <w:pPr>
        <w:spacing w:before="0"/>
      </w:pPr>
      <w:r w:rsidRPr="00732C5C">
        <w:t xml:space="preserve">If a physician conducts an exam via telephone in accordance with ACE procedures, can we use that to grant a tender scar if it is noted as tender on the ACE examination? </w:t>
      </w:r>
    </w:p>
    <w:p w14:paraId="7A9B1422" w14:textId="77777777" w:rsidR="00DD1D06" w:rsidRDefault="00DD1D06" w:rsidP="00DD1D06">
      <w:pPr>
        <w:spacing w:before="0"/>
      </w:pPr>
    </w:p>
    <w:p w14:paraId="7A9B1423" w14:textId="77777777" w:rsidR="00DD1D06" w:rsidRDefault="00DD1D06" w:rsidP="00DD1D06">
      <w:pPr>
        <w:spacing w:before="0"/>
      </w:pPr>
    </w:p>
    <w:p w14:paraId="7A9B1424" w14:textId="77777777" w:rsidR="00DD1D06" w:rsidRDefault="00DD1D06" w:rsidP="00DD1D06">
      <w:pPr>
        <w:spacing w:before="0"/>
      </w:pPr>
    </w:p>
    <w:p w14:paraId="7A9B1425" w14:textId="77777777" w:rsidR="00DD1D06" w:rsidRDefault="00DD1D06" w:rsidP="00DD1D06">
      <w:pPr>
        <w:spacing w:before="0"/>
      </w:pPr>
    </w:p>
    <w:p w14:paraId="7A9B1426" w14:textId="77777777" w:rsidR="00DD1D06" w:rsidRDefault="00DD1D06" w:rsidP="00DD1D06">
      <w:pPr>
        <w:spacing w:before="0"/>
      </w:pPr>
    </w:p>
    <w:p w14:paraId="7A9B1427" w14:textId="77777777" w:rsidR="00DD1D06" w:rsidRDefault="00DD1D06" w:rsidP="00DD1D06">
      <w:pPr>
        <w:spacing w:before="0"/>
      </w:pPr>
    </w:p>
    <w:p w14:paraId="7A9B1428" w14:textId="77777777" w:rsidR="00DD1D06" w:rsidRPr="00093FC3" w:rsidRDefault="00DD1D06" w:rsidP="00DD1D06">
      <w:pPr>
        <w:spacing w:before="0"/>
        <w:rPr>
          <w:b/>
          <w:u w:val="single"/>
        </w:rPr>
      </w:pPr>
      <w:r>
        <w:rPr>
          <w:b/>
          <w:u w:val="single"/>
        </w:rPr>
        <w:t>METs, hypertrophy, and dilatation</w:t>
      </w:r>
    </w:p>
    <w:p w14:paraId="7A9B1429" w14:textId="77777777" w:rsidR="00DD1D06" w:rsidRDefault="00DD1D06" w:rsidP="00DD1D06">
      <w:pPr>
        <w:spacing w:before="0"/>
      </w:pPr>
      <w:r w:rsidRPr="00732C5C">
        <w:t>For cardio cases involving ischemic heart disease (IHD), can an evaluation of 10 percent be assigned based on continuous medication noted in the medical evidence or do we need an examination?</w:t>
      </w:r>
    </w:p>
    <w:p w14:paraId="7A9B142A" w14:textId="77777777" w:rsidR="00DD1D06" w:rsidRDefault="00DD1D06" w:rsidP="00DD1D06">
      <w:pPr>
        <w:spacing w:before="0"/>
      </w:pPr>
    </w:p>
    <w:p w14:paraId="7A9B142B" w14:textId="77777777" w:rsidR="00DD1D06" w:rsidRDefault="00DD1D06" w:rsidP="00DD1D06">
      <w:pPr>
        <w:spacing w:before="0"/>
      </w:pPr>
    </w:p>
    <w:p w14:paraId="7A9B142C" w14:textId="77777777" w:rsidR="00DD1D06" w:rsidRDefault="00DD1D06" w:rsidP="00DD1D06">
      <w:pPr>
        <w:spacing w:before="0"/>
      </w:pPr>
    </w:p>
    <w:p w14:paraId="7A9B142D" w14:textId="77777777" w:rsidR="00DD1D06" w:rsidRDefault="00DD1D06" w:rsidP="00DD1D06">
      <w:pPr>
        <w:spacing w:before="0"/>
      </w:pPr>
    </w:p>
    <w:p w14:paraId="7A9B142E" w14:textId="77777777" w:rsidR="00DD1D06" w:rsidRDefault="00DD1D06" w:rsidP="00DD1D06">
      <w:pPr>
        <w:spacing w:before="0"/>
      </w:pPr>
    </w:p>
    <w:p w14:paraId="7A9B142F" w14:textId="77777777" w:rsidR="00DD1D06" w:rsidRDefault="00DD1D06" w:rsidP="00DD1D06">
      <w:pPr>
        <w:spacing w:before="0"/>
      </w:pPr>
    </w:p>
    <w:p w14:paraId="7A9B1430" w14:textId="77777777" w:rsidR="00DD1D06" w:rsidRDefault="00DD1D06" w:rsidP="00DD1D06">
      <w:pPr>
        <w:spacing w:before="0"/>
        <w:rPr>
          <w:b/>
          <w:u w:val="single"/>
        </w:rPr>
      </w:pPr>
      <w:r>
        <w:rPr>
          <w:b/>
          <w:u w:val="single"/>
        </w:rPr>
        <w:t>Goldman Chart</w:t>
      </w:r>
    </w:p>
    <w:p w14:paraId="7A9B1431" w14:textId="77777777" w:rsidR="00DD1D06" w:rsidRDefault="00DD1D06" w:rsidP="00DD1D06">
      <w:pPr>
        <w:spacing w:before="0"/>
      </w:pPr>
      <w:r w:rsidRPr="00732C5C">
        <w:t>Is the Goldman chart for vision cases still needed?</w:t>
      </w:r>
    </w:p>
    <w:p w14:paraId="7A9B1432" w14:textId="77777777" w:rsidR="00DD1D06" w:rsidRDefault="00DD1D06" w:rsidP="00DD1D06">
      <w:pPr>
        <w:spacing w:before="0"/>
      </w:pPr>
    </w:p>
    <w:p w14:paraId="7A9B1433" w14:textId="77777777" w:rsidR="00DD1D06" w:rsidRDefault="00DD1D06" w:rsidP="00DD1D06">
      <w:pPr>
        <w:spacing w:before="0"/>
      </w:pPr>
    </w:p>
    <w:p w14:paraId="7A9B1434" w14:textId="77777777" w:rsidR="00DD1D06" w:rsidRDefault="00DD1D06" w:rsidP="00DD1D06">
      <w:pPr>
        <w:spacing w:before="0"/>
      </w:pPr>
    </w:p>
    <w:p w14:paraId="7A9B1435" w14:textId="77777777" w:rsidR="00DD1D06" w:rsidRDefault="00DD1D06" w:rsidP="00DD1D06">
      <w:pPr>
        <w:spacing w:before="0"/>
      </w:pPr>
    </w:p>
    <w:p w14:paraId="7A9B1436" w14:textId="77777777" w:rsidR="00DD1D06" w:rsidRPr="00732C5C" w:rsidRDefault="00DD1D06" w:rsidP="00DD1D06">
      <w:pPr>
        <w:spacing w:before="0"/>
      </w:pPr>
    </w:p>
    <w:p w14:paraId="7A9B1437" w14:textId="77777777" w:rsidR="00DD1D06" w:rsidRPr="00093FC3" w:rsidRDefault="00DD1D06" w:rsidP="00DD1D06">
      <w:pPr>
        <w:spacing w:before="0"/>
        <w:rPr>
          <w:b/>
          <w:u w:val="single"/>
        </w:rPr>
      </w:pPr>
    </w:p>
    <w:p w14:paraId="7A9B1438" w14:textId="77777777" w:rsidR="00DD1D06" w:rsidRDefault="00DD1D06" w:rsidP="00DD1D06">
      <w:pPr>
        <w:spacing w:before="0"/>
        <w:rPr>
          <w:b/>
          <w:u w:val="single"/>
        </w:rPr>
      </w:pPr>
      <w:r>
        <w:rPr>
          <w:b/>
          <w:u w:val="single"/>
        </w:rPr>
        <w:t>Tinnitus</w:t>
      </w:r>
    </w:p>
    <w:p w14:paraId="7A9B1439" w14:textId="77777777" w:rsidR="00DD1D06" w:rsidRDefault="00DD1D06" w:rsidP="00DD1D06">
      <w:pPr>
        <w:spacing w:before="0"/>
      </w:pPr>
      <w:r w:rsidRPr="00732C5C">
        <w:t xml:space="preserve">Can we grant tinnitus based on evidence in the STRs? When STRs show complaints versus a diagnosis of tinnitus, should we get an examination? In which case? </w:t>
      </w:r>
    </w:p>
    <w:p w14:paraId="7A9B143A" w14:textId="77777777" w:rsidR="00DD1D06" w:rsidRDefault="00DD1D06" w:rsidP="00DD1D06">
      <w:pPr>
        <w:spacing w:before="0"/>
      </w:pPr>
    </w:p>
    <w:p w14:paraId="7A9B143B" w14:textId="77777777" w:rsidR="00DD1D06" w:rsidRDefault="00DD1D06" w:rsidP="00DD1D06">
      <w:pPr>
        <w:spacing w:before="0"/>
      </w:pPr>
    </w:p>
    <w:p w14:paraId="7A9B143C" w14:textId="77777777" w:rsidR="00DD1D06" w:rsidRDefault="00DD1D06" w:rsidP="00DD1D06">
      <w:pPr>
        <w:spacing w:before="0"/>
      </w:pPr>
    </w:p>
    <w:p w14:paraId="7A9B143D" w14:textId="77777777" w:rsidR="00DD1D06" w:rsidRDefault="00DD1D06" w:rsidP="00DD1D06">
      <w:pPr>
        <w:spacing w:before="0"/>
      </w:pPr>
    </w:p>
    <w:p w14:paraId="7A9B143E" w14:textId="77777777" w:rsidR="00DD1D06" w:rsidRPr="00732C5C" w:rsidRDefault="00DD1D06" w:rsidP="00DD1D06">
      <w:pPr>
        <w:spacing w:before="0"/>
      </w:pPr>
    </w:p>
    <w:p w14:paraId="7A9B143F" w14:textId="77777777" w:rsidR="00DD1D06" w:rsidRDefault="00DD1D06" w:rsidP="00DD1D06">
      <w:pPr>
        <w:spacing w:before="0"/>
        <w:rPr>
          <w:b/>
          <w:u w:val="single"/>
        </w:rPr>
      </w:pPr>
    </w:p>
    <w:p w14:paraId="7A9B1440" w14:textId="77777777" w:rsidR="00DD1D06" w:rsidRDefault="00DD1D06" w:rsidP="00DD1D06">
      <w:pPr>
        <w:spacing w:before="0"/>
        <w:rPr>
          <w:b/>
          <w:u w:val="single"/>
        </w:rPr>
      </w:pPr>
      <w:r>
        <w:rPr>
          <w:b/>
          <w:u w:val="single"/>
        </w:rPr>
        <w:t>Chiropractor</w:t>
      </w:r>
    </w:p>
    <w:p w14:paraId="7A9B1441" w14:textId="77777777" w:rsidR="00DD1D06" w:rsidRDefault="00DD1D06" w:rsidP="00DD1D06">
      <w:pPr>
        <w:spacing w:before="0"/>
      </w:pPr>
      <w:r w:rsidRPr="00732C5C">
        <w:t>Can we use chiropractor reports for range of motion testing for rating purposes?</w:t>
      </w:r>
    </w:p>
    <w:p w14:paraId="7A9B1442" w14:textId="77777777" w:rsidR="00DD1D06" w:rsidRDefault="00DD1D06" w:rsidP="00DD1D06">
      <w:pPr>
        <w:spacing w:before="0"/>
      </w:pPr>
    </w:p>
    <w:p w14:paraId="7A9B1443" w14:textId="77777777" w:rsidR="00DD1D06" w:rsidRDefault="00DD1D06" w:rsidP="00DD1D06">
      <w:pPr>
        <w:spacing w:before="0"/>
      </w:pPr>
    </w:p>
    <w:p w14:paraId="7A9B1444" w14:textId="77777777" w:rsidR="00DD1D06" w:rsidRDefault="00DD1D06" w:rsidP="00DD1D06">
      <w:pPr>
        <w:spacing w:before="0"/>
      </w:pPr>
    </w:p>
    <w:p w14:paraId="7A9B1445" w14:textId="77777777" w:rsidR="00DD1D06" w:rsidRPr="00732C5C" w:rsidRDefault="00DD1D06" w:rsidP="00DD1D06">
      <w:pPr>
        <w:spacing w:before="0"/>
      </w:pPr>
    </w:p>
    <w:p w14:paraId="7A9B1446" w14:textId="77777777" w:rsidR="00DD1D06" w:rsidRDefault="00DD1D06" w:rsidP="00DD1D06">
      <w:pPr>
        <w:overflowPunct/>
        <w:autoSpaceDE/>
        <w:autoSpaceDN/>
        <w:adjustRightInd/>
        <w:spacing w:before="0"/>
        <w:rPr>
          <w:b/>
          <w:u w:val="single"/>
        </w:rPr>
      </w:pPr>
      <w:r>
        <w:rPr>
          <w:b/>
          <w:u w:val="single"/>
        </w:rPr>
        <w:br w:type="page"/>
      </w:r>
    </w:p>
    <w:p w14:paraId="7A9B1447" w14:textId="77777777" w:rsidR="00DD1D06" w:rsidRDefault="00DD1D06" w:rsidP="00DD1D06">
      <w:pPr>
        <w:spacing w:before="0"/>
        <w:rPr>
          <w:b/>
          <w:u w:val="single"/>
        </w:rPr>
      </w:pPr>
      <w:r>
        <w:rPr>
          <w:b/>
          <w:u w:val="single"/>
        </w:rPr>
        <w:lastRenderedPageBreak/>
        <w:t>VA Form 21-4142</w:t>
      </w:r>
    </w:p>
    <w:p w14:paraId="7A9B1448" w14:textId="77777777" w:rsidR="00DD1D06" w:rsidRDefault="00DD1D06" w:rsidP="00DD1D06">
      <w:pPr>
        <w:spacing w:before="0"/>
      </w:pPr>
      <w:r w:rsidRPr="00732C5C">
        <w:t xml:space="preserve">We can grant the benefit sought, but the Veteran submitted VA Form 21-4142s.  Do we have to obtain those records?  </w:t>
      </w:r>
    </w:p>
    <w:p w14:paraId="7A9B1449" w14:textId="77777777" w:rsidR="00DD1D06" w:rsidRDefault="00DD1D06" w:rsidP="00DD1D06">
      <w:pPr>
        <w:spacing w:before="0"/>
      </w:pPr>
    </w:p>
    <w:p w14:paraId="7A9B144A" w14:textId="77777777" w:rsidR="00DD1D06" w:rsidRPr="00732C5C" w:rsidRDefault="00DD1D06" w:rsidP="00DD1D06">
      <w:pPr>
        <w:spacing w:before="0"/>
      </w:pPr>
    </w:p>
    <w:p w14:paraId="7A9B144B" w14:textId="77777777" w:rsidR="00DD1D06" w:rsidRDefault="00DD1D06" w:rsidP="00DD1D06">
      <w:pPr>
        <w:spacing w:before="0"/>
        <w:rPr>
          <w:b/>
          <w:u w:val="single"/>
        </w:rPr>
      </w:pPr>
    </w:p>
    <w:p w14:paraId="7A9B144C" w14:textId="77777777" w:rsidR="00DD1D06" w:rsidRDefault="00DD1D06" w:rsidP="00DD1D06">
      <w:pPr>
        <w:spacing w:before="0"/>
        <w:rPr>
          <w:b/>
          <w:u w:val="single"/>
        </w:rPr>
      </w:pPr>
    </w:p>
    <w:p w14:paraId="7A9B144D" w14:textId="77777777" w:rsidR="00DD1D06" w:rsidRDefault="00DD1D06" w:rsidP="00DD1D06">
      <w:pPr>
        <w:spacing w:before="0"/>
        <w:rPr>
          <w:b/>
          <w:u w:val="single"/>
        </w:rPr>
      </w:pPr>
    </w:p>
    <w:p w14:paraId="7A9B144E" w14:textId="77777777" w:rsidR="00DD1D06" w:rsidRDefault="00DD1D06" w:rsidP="00DD1D06">
      <w:pPr>
        <w:spacing w:before="0"/>
        <w:rPr>
          <w:b/>
          <w:u w:val="single"/>
        </w:rPr>
      </w:pPr>
    </w:p>
    <w:p w14:paraId="7A9B144F" w14:textId="77777777" w:rsidR="00DD1D06" w:rsidRDefault="00DD1D06" w:rsidP="00DD1D06">
      <w:pPr>
        <w:spacing w:before="0"/>
        <w:rPr>
          <w:b/>
          <w:u w:val="single"/>
        </w:rPr>
      </w:pPr>
      <w:r>
        <w:rPr>
          <w:b/>
          <w:u w:val="single"/>
        </w:rPr>
        <w:t>Non-compensable Evaluations</w:t>
      </w:r>
    </w:p>
    <w:p w14:paraId="7A9B1450" w14:textId="77777777" w:rsidR="00DD1D06" w:rsidRDefault="00DD1D06" w:rsidP="00DD1D06">
      <w:pPr>
        <w:spacing w:before="0"/>
      </w:pPr>
      <w:r w:rsidRPr="00732C5C">
        <w:t>How do we balance doing an interim rating as opposed to getting an exam altogether? What if the “grant” is only 0 percent?</w:t>
      </w:r>
    </w:p>
    <w:p w14:paraId="7A9B1451" w14:textId="77777777" w:rsidR="00DD1D06" w:rsidRDefault="00DD1D06" w:rsidP="00DD1D06">
      <w:pPr>
        <w:spacing w:before="0"/>
      </w:pPr>
    </w:p>
    <w:p w14:paraId="7A9B1452" w14:textId="77777777" w:rsidR="00DD1D06" w:rsidRDefault="00DD1D06" w:rsidP="00DD1D06">
      <w:pPr>
        <w:spacing w:before="0"/>
      </w:pPr>
    </w:p>
    <w:p w14:paraId="7A9B1453" w14:textId="77777777" w:rsidR="00DD1D06" w:rsidRDefault="00DD1D06" w:rsidP="00DD1D06">
      <w:pPr>
        <w:spacing w:before="0"/>
      </w:pPr>
    </w:p>
    <w:p w14:paraId="7A9B1454" w14:textId="77777777" w:rsidR="00DD1D06" w:rsidRDefault="00DD1D06" w:rsidP="00DD1D06">
      <w:pPr>
        <w:spacing w:before="0"/>
      </w:pPr>
    </w:p>
    <w:p w14:paraId="7A9B1455" w14:textId="77777777" w:rsidR="00DD1D06" w:rsidRPr="00732C5C" w:rsidRDefault="00DD1D06" w:rsidP="00DD1D06">
      <w:pPr>
        <w:spacing w:before="0"/>
      </w:pPr>
    </w:p>
    <w:p w14:paraId="7A9B1456" w14:textId="77777777" w:rsidR="00DD1D06" w:rsidRDefault="00DD1D06" w:rsidP="00DD1D06">
      <w:pPr>
        <w:spacing w:before="0"/>
        <w:rPr>
          <w:b/>
          <w:u w:val="single"/>
        </w:rPr>
      </w:pPr>
    </w:p>
    <w:p w14:paraId="7A9B1457" w14:textId="77777777" w:rsidR="00DD1D06" w:rsidRDefault="00DD1D06" w:rsidP="00DD1D06">
      <w:pPr>
        <w:spacing w:before="0"/>
        <w:rPr>
          <w:b/>
          <w:u w:val="single"/>
        </w:rPr>
      </w:pPr>
      <w:r>
        <w:rPr>
          <w:b/>
          <w:u w:val="single"/>
        </w:rPr>
        <w:t>Painful Motion</w:t>
      </w:r>
    </w:p>
    <w:p w14:paraId="7A9B1458" w14:textId="77777777" w:rsidR="00DD1D06" w:rsidRPr="00732C5C" w:rsidRDefault="00DD1D06" w:rsidP="00DD1D06">
      <w:pPr>
        <w:pStyle w:val="VBABodyText0"/>
        <w:spacing w:before="0"/>
      </w:pPr>
      <w:r w:rsidRPr="00732C5C">
        <w:t>A Veteran who is already service connected at 0 percent for a knee disability submits a claim for increased evaluation.  In addition, the Veteran submits medical evidence from his physician showing painful range of motion testing on examination.  May we assign a 10 percent evaluation and not order an examination to assess all potential means to rate a knee disability?</w:t>
      </w:r>
    </w:p>
    <w:p w14:paraId="7A9B1459" w14:textId="77777777" w:rsidR="00DD1D06" w:rsidRDefault="00DD1D06" w:rsidP="00DD1D06">
      <w:pPr>
        <w:spacing w:before="0"/>
        <w:rPr>
          <w:b/>
          <w:u w:val="single"/>
        </w:rPr>
      </w:pPr>
    </w:p>
    <w:p w14:paraId="7A9B145A" w14:textId="77777777" w:rsidR="00DD1D06" w:rsidRDefault="00DD1D06" w:rsidP="00DD1D06">
      <w:pPr>
        <w:spacing w:before="0"/>
        <w:rPr>
          <w:b/>
          <w:u w:val="single"/>
        </w:rPr>
      </w:pPr>
    </w:p>
    <w:p w14:paraId="7A9B145B" w14:textId="77777777" w:rsidR="00DD1D06" w:rsidRDefault="00DD1D06" w:rsidP="00DD1D06">
      <w:pPr>
        <w:spacing w:before="0"/>
        <w:rPr>
          <w:b/>
          <w:u w:val="single"/>
        </w:rPr>
      </w:pPr>
    </w:p>
    <w:p w14:paraId="7A9B145C" w14:textId="77777777" w:rsidR="00DD1D06" w:rsidRDefault="00DD1D06" w:rsidP="00DD1D06">
      <w:pPr>
        <w:spacing w:before="0"/>
        <w:rPr>
          <w:b/>
          <w:u w:val="single"/>
        </w:rPr>
      </w:pPr>
    </w:p>
    <w:p w14:paraId="7A9B145D" w14:textId="77777777" w:rsidR="00DD1D06" w:rsidRDefault="00DD1D06" w:rsidP="00DD1D06">
      <w:pPr>
        <w:spacing w:before="0"/>
        <w:rPr>
          <w:b/>
          <w:u w:val="single"/>
        </w:rPr>
      </w:pPr>
    </w:p>
    <w:p w14:paraId="7A9B145E" w14:textId="77777777" w:rsidR="00DD1D06" w:rsidRDefault="00DD1D06" w:rsidP="00DD1D06">
      <w:pPr>
        <w:spacing w:before="0"/>
        <w:rPr>
          <w:b/>
          <w:u w:val="single"/>
        </w:rPr>
      </w:pPr>
    </w:p>
    <w:p w14:paraId="7A9B145F" w14:textId="77777777" w:rsidR="00DD1D06" w:rsidRDefault="00DD1D06" w:rsidP="00DD1D06">
      <w:pPr>
        <w:spacing w:before="0"/>
        <w:rPr>
          <w:b/>
          <w:u w:val="single"/>
        </w:rPr>
      </w:pPr>
      <w:r>
        <w:rPr>
          <w:b/>
          <w:u w:val="single"/>
        </w:rPr>
        <w:t>Appeals</w:t>
      </w:r>
    </w:p>
    <w:p w14:paraId="7A9B1460" w14:textId="77777777" w:rsidR="00DD1D06" w:rsidRDefault="00DD1D06" w:rsidP="002613D1">
      <w:pPr>
        <w:spacing w:before="0"/>
        <w:rPr>
          <w:color w:val="0070C0"/>
        </w:rPr>
      </w:pPr>
      <w:r w:rsidRPr="00B175B4">
        <w:t>Does “changing the game” and developing an “examination by exception” mentality apply to claims on appeal?</w:t>
      </w:r>
    </w:p>
    <w:p w14:paraId="7A9B1461" w14:textId="77777777" w:rsidR="00093FC3" w:rsidRDefault="00093FC3" w:rsidP="005D701E">
      <w:pPr>
        <w:pStyle w:val="VBATopicHeading1"/>
        <w:tabs>
          <w:tab w:val="left" w:pos="3765"/>
          <w:tab w:val="center" w:pos="4680"/>
        </w:tabs>
        <w:spacing w:before="0" w:after="0"/>
        <w:rPr>
          <w:color w:val="0070C0"/>
        </w:rPr>
      </w:pPr>
    </w:p>
    <w:p w14:paraId="7A9B1462" w14:textId="77777777" w:rsidR="00DD1D06" w:rsidRPr="00D90DC8" w:rsidRDefault="00DD1D06" w:rsidP="00F84C78">
      <w:pPr>
        <w:pStyle w:val="VBATopicHeading1"/>
        <w:spacing w:before="0" w:after="0"/>
        <w:rPr>
          <w:color w:val="0070C0"/>
        </w:rPr>
      </w:pPr>
    </w:p>
    <w:p w14:paraId="7A9B1463" w14:textId="77777777" w:rsidR="00DD1D06" w:rsidRDefault="00DD1D06" w:rsidP="00DD1D06">
      <w:pPr>
        <w:pStyle w:val="VBATopicHeading1"/>
        <w:tabs>
          <w:tab w:val="left" w:pos="3765"/>
          <w:tab w:val="center" w:pos="4680"/>
        </w:tabs>
        <w:spacing w:before="0" w:after="0"/>
        <w:rPr>
          <w:color w:val="0070C0"/>
        </w:rPr>
      </w:pPr>
    </w:p>
    <w:p w14:paraId="7A9B1464" w14:textId="77777777" w:rsidR="00DE4B91" w:rsidRDefault="00DE4B91" w:rsidP="00DD1D06">
      <w:pPr>
        <w:pStyle w:val="VBATopicHeading1"/>
        <w:tabs>
          <w:tab w:val="left" w:pos="3765"/>
          <w:tab w:val="center" w:pos="4680"/>
        </w:tabs>
        <w:spacing w:before="0" w:after="0"/>
        <w:rPr>
          <w:color w:val="0070C0"/>
        </w:rPr>
      </w:pPr>
    </w:p>
    <w:p w14:paraId="7A9B1465" w14:textId="77777777" w:rsidR="00DE4B91" w:rsidRDefault="00DE4B91" w:rsidP="00DD1D06">
      <w:pPr>
        <w:pStyle w:val="VBATopicHeading1"/>
        <w:tabs>
          <w:tab w:val="left" w:pos="3765"/>
          <w:tab w:val="center" w:pos="4680"/>
        </w:tabs>
        <w:spacing w:before="0" w:after="0"/>
        <w:rPr>
          <w:color w:val="0070C0"/>
        </w:rPr>
      </w:pPr>
    </w:p>
    <w:p w14:paraId="7A9B1466" w14:textId="77777777" w:rsidR="005175F0" w:rsidRDefault="005175F0" w:rsidP="00F84C78">
      <w:pPr>
        <w:spacing w:before="0"/>
      </w:pPr>
    </w:p>
    <w:p w14:paraId="7A9B1467" w14:textId="77777777" w:rsidR="005175F0" w:rsidRDefault="005175F0" w:rsidP="00F84C78">
      <w:pPr>
        <w:spacing w:before="0"/>
      </w:pPr>
    </w:p>
    <w:p w14:paraId="7A9B1468" w14:textId="77777777" w:rsidR="007A5600" w:rsidRDefault="007A5600" w:rsidP="00F84C78">
      <w:pPr>
        <w:spacing w:before="0"/>
        <w:jc w:val="center"/>
      </w:pPr>
    </w:p>
    <w:sectPr w:rsidR="007A560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57E4F" w14:textId="77777777" w:rsidR="005810F4" w:rsidRDefault="005810F4">
      <w:pPr>
        <w:spacing w:before="0"/>
      </w:pPr>
      <w:r>
        <w:separator/>
      </w:r>
    </w:p>
  </w:endnote>
  <w:endnote w:type="continuationSeparator" w:id="0">
    <w:p w14:paraId="6A2A8203" w14:textId="77777777" w:rsidR="005810F4" w:rsidRDefault="005810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146D" w14:textId="77777777" w:rsidR="00AA1A39" w:rsidRDefault="000552D0">
    <w:pPr>
      <w:pStyle w:val="VBAFooter"/>
    </w:pPr>
    <w:r>
      <w:t>March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DD6DB2">
      <w:rPr>
        <w:noProof/>
      </w:rPr>
      <w:t>1</w:t>
    </w:r>
    <w:r w:rsidR="00AA1A39">
      <w:fldChar w:fldCharType="end"/>
    </w:r>
  </w:p>
  <w:p w14:paraId="7A9B146E"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8290B" w14:textId="77777777" w:rsidR="005810F4" w:rsidRDefault="005810F4">
      <w:pPr>
        <w:spacing w:before="0"/>
      </w:pPr>
      <w:r>
        <w:separator/>
      </w:r>
    </w:p>
  </w:footnote>
  <w:footnote w:type="continuationSeparator" w:id="0">
    <w:p w14:paraId="251E5EBC" w14:textId="77777777" w:rsidR="005810F4" w:rsidRDefault="005810F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E20E0"/>
    <w:multiLevelType w:val="hybridMultilevel"/>
    <w:tmpl w:val="BF94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260D3"/>
    <w:multiLevelType w:val="hybridMultilevel"/>
    <w:tmpl w:val="9B60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27DDA"/>
    <w:multiLevelType w:val="hybridMultilevel"/>
    <w:tmpl w:val="C740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683815"/>
    <w:multiLevelType w:val="hybridMultilevel"/>
    <w:tmpl w:val="565E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5">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F46328"/>
    <w:multiLevelType w:val="hybridMultilevel"/>
    <w:tmpl w:val="77D6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5E5D6C"/>
    <w:multiLevelType w:val="hybridMultilevel"/>
    <w:tmpl w:val="99C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4"/>
  </w:num>
  <w:num w:numId="4">
    <w:abstractNumId w:val="12"/>
  </w:num>
  <w:num w:numId="5">
    <w:abstractNumId w:val="16"/>
  </w:num>
  <w:num w:numId="6">
    <w:abstractNumId w:val="4"/>
  </w:num>
  <w:num w:numId="7">
    <w:abstractNumId w:val="7"/>
  </w:num>
  <w:num w:numId="8">
    <w:abstractNumId w:val="18"/>
  </w:num>
  <w:num w:numId="9">
    <w:abstractNumId w:val="13"/>
  </w:num>
  <w:num w:numId="10">
    <w:abstractNumId w:val="3"/>
  </w:num>
  <w:num w:numId="11">
    <w:abstractNumId w:val="10"/>
  </w:num>
  <w:num w:numId="12">
    <w:abstractNumId w:val="21"/>
  </w:num>
  <w:num w:numId="13">
    <w:abstractNumId w:val="0"/>
  </w:num>
  <w:num w:numId="14">
    <w:abstractNumId w:val="15"/>
  </w:num>
  <w:num w:numId="15">
    <w:abstractNumId w:val="11"/>
  </w:num>
  <w:num w:numId="16">
    <w:abstractNumId w:val="5"/>
  </w:num>
  <w:num w:numId="17">
    <w:abstractNumId w:val="6"/>
  </w:num>
  <w:num w:numId="18">
    <w:abstractNumId w:val="2"/>
  </w:num>
  <w:num w:numId="19">
    <w:abstractNumId w:val="19"/>
  </w:num>
  <w:num w:numId="20">
    <w:abstractNumId w:val="1"/>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552D0"/>
    <w:rsid w:val="00093FC3"/>
    <w:rsid w:val="000B44D3"/>
    <w:rsid w:val="000E3279"/>
    <w:rsid w:val="000F352E"/>
    <w:rsid w:val="001026F8"/>
    <w:rsid w:val="00173163"/>
    <w:rsid w:val="001948B1"/>
    <w:rsid w:val="001C38D3"/>
    <w:rsid w:val="001F60E7"/>
    <w:rsid w:val="002325F0"/>
    <w:rsid w:val="00244857"/>
    <w:rsid w:val="002613D1"/>
    <w:rsid w:val="00335191"/>
    <w:rsid w:val="00375E4E"/>
    <w:rsid w:val="003B11BD"/>
    <w:rsid w:val="003C3F7E"/>
    <w:rsid w:val="003F7729"/>
    <w:rsid w:val="0049758B"/>
    <w:rsid w:val="00511ACB"/>
    <w:rsid w:val="005175F0"/>
    <w:rsid w:val="0052286D"/>
    <w:rsid w:val="005361DF"/>
    <w:rsid w:val="005810F4"/>
    <w:rsid w:val="0059633D"/>
    <w:rsid w:val="005D701E"/>
    <w:rsid w:val="005E6CC5"/>
    <w:rsid w:val="00632675"/>
    <w:rsid w:val="006B0C0F"/>
    <w:rsid w:val="00787BE0"/>
    <w:rsid w:val="007A5600"/>
    <w:rsid w:val="007F4FCE"/>
    <w:rsid w:val="008852A2"/>
    <w:rsid w:val="008E7C5A"/>
    <w:rsid w:val="009262A0"/>
    <w:rsid w:val="00975461"/>
    <w:rsid w:val="009A671D"/>
    <w:rsid w:val="00A26F18"/>
    <w:rsid w:val="00AA1A39"/>
    <w:rsid w:val="00AB02AA"/>
    <w:rsid w:val="00AD1E18"/>
    <w:rsid w:val="00B03223"/>
    <w:rsid w:val="00B11B27"/>
    <w:rsid w:val="00B1253B"/>
    <w:rsid w:val="00BD181F"/>
    <w:rsid w:val="00BD40EE"/>
    <w:rsid w:val="00BE6F04"/>
    <w:rsid w:val="00BF6FF2"/>
    <w:rsid w:val="00C7114B"/>
    <w:rsid w:val="00CA5DD7"/>
    <w:rsid w:val="00CB7A46"/>
    <w:rsid w:val="00D05745"/>
    <w:rsid w:val="00D90DC8"/>
    <w:rsid w:val="00DA38DE"/>
    <w:rsid w:val="00DD1D06"/>
    <w:rsid w:val="00DD6DB2"/>
    <w:rsid w:val="00DE4B91"/>
    <w:rsid w:val="00E35C8B"/>
    <w:rsid w:val="00E45692"/>
    <w:rsid w:val="00E81365"/>
    <w:rsid w:val="00EC1FFB"/>
    <w:rsid w:val="00EC4154"/>
    <w:rsid w:val="00F04839"/>
    <w:rsid w:val="00F2378A"/>
    <w:rsid w:val="00F23FB4"/>
    <w:rsid w:val="00F47561"/>
    <w:rsid w:val="00F84C78"/>
    <w:rsid w:val="00F86C93"/>
    <w:rsid w:val="00FA0FC7"/>
    <w:rsid w:val="00FA4FF6"/>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PageNumber">
    <w:name w:val="page number"/>
    <w:semiHidden/>
    <w:rsid w:val="00AD1E18"/>
    <w:rPr>
      <w:rFonts w:ascii="Times New Roman" w:hAnsi="Times New Roman" w:cs="Times New Roman"/>
    </w:rPr>
  </w:style>
  <w:style w:type="paragraph" w:styleId="BodyText">
    <w:name w:val="Body Text"/>
    <w:basedOn w:val="Normal"/>
    <w:link w:val="BodyTextChar"/>
    <w:semiHidden/>
    <w:rsid w:val="00BE6F04"/>
    <w:pPr>
      <w:widowControl w:val="0"/>
      <w:spacing w:after="120"/>
      <w:textAlignment w:val="baseline"/>
    </w:pPr>
  </w:style>
  <w:style w:type="character" w:customStyle="1" w:styleId="BodyTextChar">
    <w:name w:val="Body Text Char"/>
    <w:basedOn w:val="DefaultParagraphFont"/>
    <w:link w:val="BodyText"/>
    <w:semiHidden/>
    <w:rsid w:val="00BE6F04"/>
    <w:rPr>
      <w:rFonts w:eastAsia="Times New Roman"/>
      <w:sz w:val="24"/>
    </w:rPr>
  </w:style>
  <w:style w:type="paragraph" w:styleId="ListParagraph">
    <w:name w:val="List Paragraph"/>
    <w:basedOn w:val="Normal"/>
    <w:uiPriority w:val="34"/>
    <w:qFormat/>
    <w:rsid w:val="00BE6F04"/>
    <w:pPr>
      <w:ind w:left="720"/>
      <w:contextualSpacing/>
    </w:pPr>
  </w:style>
  <w:style w:type="paragraph" w:styleId="CommentSubject">
    <w:name w:val="annotation subject"/>
    <w:basedOn w:val="CommentText"/>
    <w:next w:val="CommentText"/>
    <w:link w:val="CommentSubjectChar"/>
    <w:uiPriority w:val="99"/>
    <w:semiHidden/>
    <w:unhideWhenUsed/>
    <w:rsid w:val="009262A0"/>
    <w:rPr>
      <w:b/>
      <w:bCs/>
      <w:sz w:val="20"/>
    </w:rPr>
  </w:style>
  <w:style w:type="character" w:customStyle="1" w:styleId="CommentTextChar1">
    <w:name w:val="Comment Text Char1"/>
    <w:basedOn w:val="DefaultParagraphFont"/>
    <w:link w:val="CommentText"/>
    <w:semiHidden/>
    <w:rsid w:val="009262A0"/>
    <w:rPr>
      <w:rFonts w:eastAsia="Times New Roman"/>
      <w:sz w:val="24"/>
    </w:rPr>
  </w:style>
  <w:style w:type="character" w:customStyle="1" w:styleId="CommentSubjectChar">
    <w:name w:val="Comment Subject Char"/>
    <w:basedOn w:val="CommentTextChar1"/>
    <w:link w:val="CommentSubject"/>
    <w:uiPriority w:val="99"/>
    <w:semiHidden/>
    <w:rsid w:val="009262A0"/>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PageNumber">
    <w:name w:val="page number"/>
    <w:semiHidden/>
    <w:rsid w:val="00AD1E18"/>
    <w:rPr>
      <w:rFonts w:ascii="Times New Roman" w:hAnsi="Times New Roman" w:cs="Times New Roman"/>
    </w:rPr>
  </w:style>
  <w:style w:type="paragraph" w:styleId="BodyText">
    <w:name w:val="Body Text"/>
    <w:basedOn w:val="Normal"/>
    <w:link w:val="BodyTextChar"/>
    <w:semiHidden/>
    <w:rsid w:val="00BE6F04"/>
    <w:pPr>
      <w:widowControl w:val="0"/>
      <w:spacing w:after="120"/>
      <w:textAlignment w:val="baseline"/>
    </w:pPr>
  </w:style>
  <w:style w:type="character" w:customStyle="1" w:styleId="BodyTextChar">
    <w:name w:val="Body Text Char"/>
    <w:basedOn w:val="DefaultParagraphFont"/>
    <w:link w:val="BodyText"/>
    <w:semiHidden/>
    <w:rsid w:val="00BE6F04"/>
    <w:rPr>
      <w:rFonts w:eastAsia="Times New Roman"/>
      <w:sz w:val="24"/>
    </w:rPr>
  </w:style>
  <w:style w:type="paragraph" w:styleId="ListParagraph">
    <w:name w:val="List Paragraph"/>
    <w:basedOn w:val="Normal"/>
    <w:uiPriority w:val="34"/>
    <w:qFormat/>
    <w:rsid w:val="00BE6F04"/>
    <w:pPr>
      <w:ind w:left="720"/>
      <w:contextualSpacing/>
    </w:pPr>
  </w:style>
  <w:style w:type="paragraph" w:styleId="CommentSubject">
    <w:name w:val="annotation subject"/>
    <w:basedOn w:val="CommentText"/>
    <w:next w:val="CommentText"/>
    <w:link w:val="CommentSubjectChar"/>
    <w:uiPriority w:val="99"/>
    <w:semiHidden/>
    <w:unhideWhenUsed/>
    <w:rsid w:val="009262A0"/>
    <w:rPr>
      <w:b/>
      <w:bCs/>
      <w:sz w:val="20"/>
    </w:rPr>
  </w:style>
  <w:style w:type="character" w:customStyle="1" w:styleId="CommentTextChar1">
    <w:name w:val="Comment Text Char1"/>
    <w:basedOn w:val="DefaultParagraphFont"/>
    <w:link w:val="CommentText"/>
    <w:semiHidden/>
    <w:rsid w:val="009262A0"/>
    <w:rPr>
      <w:rFonts w:eastAsia="Times New Roman"/>
      <w:sz w:val="24"/>
    </w:rPr>
  </w:style>
  <w:style w:type="character" w:customStyle="1" w:styleId="CommentSubjectChar">
    <w:name w:val="Comment Subject Char"/>
    <w:basedOn w:val="CommentTextChar1"/>
    <w:link w:val="CommentSubject"/>
    <w:uiPriority w:val="99"/>
    <w:semiHidden/>
    <w:rsid w:val="009262A0"/>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po.gov/fdsys/pkg/PLAW-106publ475/pdf/PLAW-106publ475.pdf" TargetMode="External"/><Relationship Id="rId18" Type="http://schemas.openxmlformats.org/officeDocument/2006/relationships/hyperlink" Target="http://www.ecfr.gov/cgi-bin/text-idx?c=ecfr&amp;sid=39c7e367a71c8efc570650851b266303&amp;rgn=div5&amp;view=text&amp;node=38:1.0.1.1.4&amp;idno=38" TargetMode="External"/><Relationship Id="rId26" Type="http://schemas.openxmlformats.org/officeDocument/2006/relationships/hyperlink" Target="http://vbaw.vba.va.gov/bl/21/advisory/CAVCDAD.htm" TargetMode="External"/><Relationship Id="rId3" Type="http://schemas.openxmlformats.org/officeDocument/2006/relationships/customXml" Target="../customXml/item3.xml"/><Relationship Id="rId21" Type="http://schemas.openxmlformats.org/officeDocument/2006/relationships/hyperlink" Target="http://vbaw.vba.va.gov/bl/21/advisory/CAVCDAD.htm"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c=ecfr&amp;sid=39c7e367a71c8efc570650851b266303&amp;rgn=div5&amp;view=text&amp;node=38:1.0.1.1.4&amp;idno=38" TargetMode="External"/><Relationship Id="rId25" Type="http://schemas.openxmlformats.org/officeDocument/2006/relationships/hyperlink" Target="http://vbaw.vba.va.gov/bl/21/advisory/CAVCDAD.htm" TargetMode="External"/><Relationship Id="rId2" Type="http://schemas.openxmlformats.org/officeDocument/2006/relationships/customXml" Target="../customXml/item2.xml"/><Relationship Id="rId16" Type="http://schemas.openxmlformats.org/officeDocument/2006/relationships/hyperlink" Target="http://www.ecfr.gov/cgi-bin/text-idx?c=ecfr&amp;sid=39c7e367a71c8efc570650851b266303&amp;rgn=div5&amp;view=text&amp;node=38:1.0.1.1.4&amp;idno=38" TargetMode="External"/><Relationship Id="rId20" Type="http://schemas.openxmlformats.org/officeDocument/2006/relationships/hyperlink" Target="http://vbaw.vba.va.gov/bl/21/advisory/CAVCDAD.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1/advisory/CAVCDAD.htm" TargetMode="External"/><Relationship Id="rId5" Type="http://schemas.openxmlformats.org/officeDocument/2006/relationships/numbering" Target="numbering.xml"/><Relationship Id="rId15" Type="http://schemas.openxmlformats.org/officeDocument/2006/relationships/hyperlink" Target="https://www.law.cornell.edu/uscode/text/38/5103" TargetMode="External"/><Relationship Id="rId23" Type="http://schemas.openxmlformats.org/officeDocument/2006/relationships/hyperlink" Target="http://vbaw.vba.va.gov/bl/21/advisory/CAVCDAD.ht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3969%2FM21-1-Part-I-Chapter-1-Section-A-Description-and-General-Information-on-Duty-to-Notify-and-Duty-to-Ass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po.gov/fdsys/pkg/PLAW-112publ154/pdf/PLAW-112publ154.pdf" TargetMode="External"/><Relationship Id="rId22" Type="http://schemas.openxmlformats.org/officeDocument/2006/relationships/hyperlink" Target="http://vbaw.vba.va.gov/bl/21/advisory/CAVCDAD.htm"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B9E0E5E4-9EFF-4BB2-9E37-B1482248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43</TotalTime>
  <Pages>11</Pages>
  <Words>2321</Words>
  <Characters>12136</Characters>
  <Application>Microsoft Office Word</Application>
  <DocSecurity>0</DocSecurity>
  <Lines>404</Lines>
  <Paragraphs>127</Paragraphs>
  <ScaleCrop>false</ScaleCrop>
  <HeadingPairs>
    <vt:vector size="2" baseType="variant">
      <vt:variant>
        <vt:lpstr>Title</vt:lpstr>
      </vt:variant>
      <vt:variant>
        <vt:i4>1</vt:i4>
      </vt:variant>
    </vt:vector>
  </HeadingPairs>
  <TitlesOfParts>
    <vt:vector size="1" baseType="lpstr">
      <vt:lpstr>Changing the Game: VA Examinations</vt:lpstr>
    </vt:vector>
  </TitlesOfParts>
  <Company>Veterans Benefits Administration</Company>
  <LinksUpToDate>false</LinksUpToDate>
  <CharactersWithSpaces>14464</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the Game: VA Examinations</dc:title>
  <dc:subject>VSR, RVSR, DRO, RQRS, and AQRS</dc:subject>
  <dc:creator>Department of Veterans Affairs, Veterans Benefits Administration, Compensation Service, STAFF</dc:creator>
  <cp:keywords>Changing the Game; game; examination; exam; evidence; medical evidence; VA exam; duty to assist</cp:keywords>
  <dc:description>This lesson is intended to provide training on fulfilling our Duty to Assist while minimizing the need for VA examinations, when possible.</dc:description>
  <cp:lastModifiedBy>Kathleen Poole</cp:lastModifiedBy>
  <cp:revision>14</cp:revision>
  <dcterms:created xsi:type="dcterms:W3CDTF">2016-03-15T19:43:00Z</dcterms:created>
  <dcterms:modified xsi:type="dcterms:W3CDTF">2016-03-29T13:51:00Z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