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DC188" w14:textId="77777777" w:rsidR="007E75EF" w:rsidRPr="0099541E" w:rsidRDefault="007E75EF">
      <w:pPr>
        <w:pStyle w:val="VBALessonPlanTitle"/>
        <w:rPr>
          <w:rFonts w:ascii="Times New Roman" w:hAnsi="Times New Roman"/>
          <w:color w:val="000000"/>
        </w:rPr>
      </w:pPr>
      <w:bookmarkStart w:id="0" w:name="_Toc276556863"/>
      <w:r w:rsidRPr="0099541E">
        <w:rPr>
          <w:rFonts w:ascii="Times New Roman" w:hAnsi="Times New Roman"/>
          <w:color w:val="000000"/>
        </w:rPr>
        <w:t xml:space="preserve">Claims Based on </w:t>
      </w:r>
      <w:r w:rsidR="007C7414" w:rsidRPr="0099541E">
        <w:rPr>
          <w:rFonts w:ascii="Times New Roman" w:hAnsi="Times New Roman"/>
          <w:color w:val="000000"/>
        </w:rPr>
        <w:t xml:space="preserve">Ionizing </w:t>
      </w:r>
      <w:r w:rsidRPr="0099541E">
        <w:rPr>
          <w:rFonts w:ascii="Times New Roman" w:hAnsi="Times New Roman"/>
          <w:color w:val="000000"/>
        </w:rPr>
        <w:t>Radiation Exposure</w:t>
      </w:r>
    </w:p>
    <w:p w14:paraId="2B2646DD" w14:textId="77777777" w:rsidR="007A5600" w:rsidRPr="0099541E" w:rsidRDefault="007A5600">
      <w:pPr>
        <w:pStyle w:val="VBALessonPlanTitle"/>
        <w:rPr>
          <w:rFonts w:ascii="Times New Roman" w:hAnsi="Times New Roman"/>
          <w:color w:val="auto"/>
        </w:rPr>
      </w:pPr>
      <w:r w:rsidRPr="0099541E">
        <w:rPr>
          <w:rFonts w:ascii="Times New Roman" w:hAnsi="Times New Roman"/>
          <w:color w:val="auto"/>
        </w:rPr>
        <w:t>Trainee Handout</w:t>
      </w:r>
      <w:bookmarkStart w:id="1" w:name="_GoBack"/>
      <w:bookmarkEnd w:id="0"/>
      <w:bookmarkEnd w:id="1"/>
    </w:p>
    <w:p w14:paraId="7679588F" w14:textId="77777777" w:rsidR="007A5600" w:rsidRPr="0099541E" w:rsidRDefault="007A5600">
      <w:pPr>
        <w:pStyle w:val="VBATopicHeading1"/>
        <w:rPr>
          <w:rFonts w:ascii="Times New Roman" w:hAnsi="Times New Roman"/>
        </w:rPr>
      </w:pPr>
      <w:bookmarkStart w:id="2" w:name="_Toc276556864"/>
    </w:p>
    <w:p w14:paraId="284762B5" w14:textId="77777777" w:rsidR="007A5600" w:rsidRPr="0099541E" w:rsidRDefault="007A5600">
      <w:pPr>
        <w:jc w:val="center"/>
        <w:textAlignment w:val="baseline"/>
        <w:rPr>
          <w:b/>
          <w:sz w:val="28"/>
          <w:szCs w:val="28"/>
        </w:rPr>
      </w:pPr>
      <w:r w:rsidRPr="0099541E">
        <w:rPr>
          <w:b/>
          <w:sz w:val="28"/>
          <w:szCs w:val="28"/>
        </w:rPr>
        <w:t>Table of Contents</w:t>
      </w:r>
      <w:bookmarkEnd w:id="2"/>
    </w:p>
    <w:p w14:paraId="55A27DDD" w14:textId="77777777" w:rsidR="007A5600" w:rsidRPr="0099541E" w:rsidRDefault="007A5600"/>
    <w:p w14:paraId="135FC31C" w14:textId="77777777" w:rsidR="00CD784F" w:rsidRPr="0099541E" w:rsidRDefault="007A5600">
      <w:pPr>
        <w:pStyle w:val="TOC1"/>
        <w:rPr>
          <w:rFonts w:eastAsiaTheme="minorEastAsia"/>
          <w:sz w:val="22"/>
        </w:rPr>
      </w:pPr>
      <w:r w:rsidRPr="0099541E">
        <w:rPr>
          <w:rStyle w:val="Hyperlink"/>
          <w:szCs w:val="24"/>
        </w:rPr>
        <w:fldChar w:fldCharType="begin"/>
      </w:r>
      <w:r w:rsidRPr="0099541E">
        <w:rPr>
          <w:rStyle w:val="Hyperlink"/>
          <w:szCs w:val="24"/>
        </w:rPr>
        <w:instrText xml:space="preserve"> TOC \o "1-1" \h \z \u </w:instrText>
      </w:r>
      <w:r w:rsidRPr="0099541E">
        <w:rPr>
          <w:rStyle w:val="Hyperlink"/>
          <w:szCs w:val="24"/>
        </w:rPr>
        <w:fldChar w:fldCharType="separate"/>
      </w:r>
      <w:hyperlink w:anchor="_Toc438477421" w:history="1">
        <w:r w:rsidR="00CD784F" w:rsidRPr="0099541E">
          <w:rPr>
            <w:rStyle w:val="Hyperlink"/>
          </w:rPr>
          <w:t>Objectives</w:t>
        </w:r>
        <w:r w:rsidR="00CD784F" w:rsidRPr="0099541E">
          <w:rPr>
            <w:webHidden/>
          </w:rPr>
          <w:tab/>
        </w:r>
        <w:r w:rsidR="00CD784F" w:rsidRPr="0099541E">
          <w:rPr>
            <w:webHidden/>
          </w:rPr>
          <w:fldChar w:fldCharType="begin"/>
        </w:r>
        <w:r w:rsidR="00CD784F" w:rsidRPr="0099541E">
          <w:rPr>
            <w:webHidden/>
          </w:rPr>
          <w:instrText xml:space="preserve"> PAGEREF _Toc438477421 \h </w:instrText>
        </w:r>
        <w:r w:rsidR="00CD784F" w:rsidRPr="0099541E">
          <w:rPr>
            <w:webHidden/>
          </w:rPr>
        </w:r>
        <w:r w:rsidR="00CD784F" w:rsidRPr="0099541E">
          <w:rPr>
            <w:webHidden/>
          </w:rPr>
          <w:fldChar w:fldCharType="separate"/>
        </w:r>
        <w:r w:rsidR="00CD784F" w:rsidRPr="0099541E">
          <w:rPr>
            <w:webHidden/>
          </w:rPr>
          <w:t>2</w:t>
        </w:r>
        <w:r w:rsidR="00CD784F" w:rsidRPr="0099541E">
          <w:rPr>
            <w:webHidden/>
          </w:rPr>
          <w:fldChar w:fldCharType="end"/>
        </w:r>
      </w:hyperlink>
    </w:p>
    <w:p w14:paraId="5BCCBAEC" w14:textId="77777777" w:rsidR="00CD784F" w:rsidRPr="0099541E" w:rsidRDefault="00A80349">
      <w:pPr>
        <w:pStyle w:val="TOC1"/>
        <w:rPr>
          <w:rFonts w:eastAsiaTheme="minorEastAsia"/>
          <w:sz w:val="22"/>
        </w:rPr>
      </w:pPr>
      <w:hyperlink w:anchor="_Toc438477422" w:history="1">
        <w:r w:rsidR="00CD784F" w:rsidRPr="0099541E">
          <w:rPr>
            <w:rStyle w:val="Hyperlink"/>
          </w:rPr>
          <w:t>References</w:t>
        </w:r>
        <w:r w:rsidR="00CD784F" w:rsidRPr="0099541E">
          <w:rPr>
            <w:webHidden/>
          </w:rPr>
          <w:tab/>
        </w:r>
        <w:r w:rsidR="00CD784F" w:rsidRPr="0099541E">
          <w:rPr>
            <w:webHidden/>
          </w:rPr>
          <w:fldChar w:fldCharType="begin"/>
        </w:r>
        <w:r w:rsidR="00CD784F" w:rsidRPr="0099541E">
          <w:rPr>
            <w:webHidden/>
          </w:rPr>
          <w:instrText xml:space="preserve"> PAGEREF _Toc438477422 \h </w:instrText>
        </w:r>
        <w:r w:rsidR="00CD784F" w:rsidRPr="0099541E">
          <w:rPr>
            <w:webHidden/>
          </w:rPr>
        </w:r>
        <w:r w:rsidR="00CD784F" w:rsidRPr="0099541E">
          <w:rPr>
            <w:webHidden/>
          </w:rPr>
          <w:fldChar w:fldCharType="separate"/>
        </w:r>
        <w:r w:rsidR="00CD784F" w:rsidRPr="0099541E">
          <w:rPr>
            <w:webHidden/>
          </w:rPr>
          <w:t>3</w:t>
        </w:r>
        <w:r w:rsidR="00CD784F" w:rsidRPr="0099541E">
          <w:rPr>
            <w:webHidden/>
          </w:rPr>
          <w:fldChar w:fldCharType="end"/>
        </w:r>
      </w:hyperlink>
    </w:p>
    <w:p w14:paraId="582BE0F3" w14:textId="77777777" w:rsidR="00CD784F" w:rsidRPr="0099541E" w:rsidRDefault="00A80349">
      <w:pPr>
        <w:pStyle w:val="TOC1"/>
        <w:rPr>
          <w:rFonts w:eastAsiaTheme="minorEastAsia"/>
          <w:sz w:val="22"/>
        </w:rPr>
      </w:pPr>
      <w:hyperlink w:anchor="_Toc438477423" w:history="1">
        <w:r w:rsidR="00CD784F" w:rsidRPr="0099541E">
          <w:rPr>
            <w:rStyle w:val="Hyperlink"/>
          </w:rPr>
          <w:t>Topic 1: List of Radiogenic Diseases and Presumptive Cancers</w:t>
        </w:r>
        <w:r w:rsidR="00CD784F" w:rsidRPr="0099541E">
          <w:rPr>
            <w:webHidden/>
          </w:rPr>
          <w:tab/>
        </w:r>
        <w:r w:rsidR="00CD784F" w:rsidRPr="0099541E">
          <w:rPr>
            <w:webHidden/>
          </w:rPr>
          <w:fldChar w:fldCharType="begin"/>
        </w:r>
        <w:r w:rsidR="00CD784F" w:rsidRPr="0099541E">
          <w:rPr>
            <w:webHidden/>
          </w:rPr>
          <w:instrText xml:space="preserve"> PAGEREF _Toc438477423 \h </w:instrText>
        </w:r>
        <w:r w:rsidR="00CD784F" w:rsidRPr="0099541E">
          <w:rPr>
            <w:webHidden/>
          </w:rPr>
        </w:r>
        <w:r w:rsidR="00CD784F" w:rsidRPr="0099541E">
          <w:rPr>
            <w:webHidden/>
          </w:rPr>
          <w:fldChar w:fldCharType="separate"/>
        </w:r>
        <w:r w:rsidR="00CD784F" w:rsidRPr="0099541E">
          <w:rPr>
            <w:webHidden/>
          </w:rPr>
          <w:t>4</w:t>
        </w:r>
        <w:r w:rsidR="00CD784F" w:rsidRPr="0099541E">
          <w:rPr>
            <w:webHidden/>
          </w:rPr>
          <w:fldChar w:fldCharType="end"/>
        </w:r>
      </w:hyperlink>
    </w:p>
    <w:p w14:paraId="2661B5BA" w14:textId="77777777" w:rsidR="00CD784F" w:rsidRPr="0099541E" w:rsidRDefault="00A80349">
      <w:pPr>
        <w:pStyle w:val="TOC1"/>
        <w:rPr>
          <w:rFonts w:eastAsiaTheme="minorEastAsia"/>
          <w:sz w:val="22"/>
        </w:rPr>
      </w:pPr>
      <w:hyperlink w:anchor="_Toc438477424" w:history="1">
        <w:r w:rsidR="00CD784F" w:rsidRPr="0099541E">
          <w:rPr>
            <w:rStyle w:val="Hyperlink"/>
          </w:rPr>
          <w:t>Topic 1 Exercise</w:t>
        </w:r>
        <w:r w:rsidR="00CD784F" w:rsidRPr="0099541E">
          <w:rPr>
            <w:webHidden/>
          </w:rPr>
          <w:tab/>
        </w:r>
        <w:r w:rsidR="00CD784F" w:rsidRPr="0099541E">
          <w:rPr>
            <w:webHidden/>
          </w:rPr>
          <w:fldChar w:fldCharType="begin"/>
        </w:r>
        <w:r w:rsidR="00CD784F" w:rsidRPr="0099541E">
          <w:rPr>
            <w:webHidden/>
          </w:rPr>
          <w:instrText xml:space="preserve"> PAGEREF _Toc438477424 \h </w:instrText>
        </w:r>
        <w:r w:rsidR="00CD784F" w:rsidRPr="0099541E">
          <w:rPr>
            <w:webHidden/>
          </w:rPr>
        </w:r>
        <w:r w:rsidR="00CD784F" w:rsidRPr="0099541E">
          <w:rPr>
            <w:webHidden/>
          </w:rPr>
          <w:fldChar w:fldCharType="separate"/>
        </w:r>
        <w:r w:rsidR="00CD784F" w:rsidRPr="0099541E">
          <w:rPr>
            <w:webHidden/>
          </w:rPr>
          <w:t>9</w:t>
        </w:r>
        <w:r w:rsidR="00CD784F" w:rsidRPr="0099541E">
          <w:rPr>
            <w:webHidden/>
          </w:rPr>
          <w:fldChar w:fldCharType="end"/>
        </w:r>
      </w:hyperlink>
    </w:p>
    <w:p w14:paraId="0D85662F" w14:textId="77777777" w:rsidR="00CD784F" w:rsidRPr="0099541E" w:rsidRDefault="00A80349">
      <w:pPr>
        <w:pStyle w:val="TOC1"/>
        <w:rPr>
          <w:rFonts w:eastAsiaTheme="minorEastAsia"/>
          <w:sz w:val="22"/>
        </w:rPr>
      </w:pPr>
      <w:hyperlink w:anchor="_Toc438477425" w:history="1">
        <w:r w:rsidR="00CD784F" w:rsidRPr="0099541E">
          <w:rPr>
            <w:rStyle w:val="Hyperlink"/>
          </w:rPr>
          <w:t>Topic 2: Processing a Claim Based on Exposure to Radiation</w:t>
        </w:r>
        <w:r w:rsidR="00CD784F" w:rsidRPr="0099541E">
          <w:rPr>
            <w:webHidden/>
          </w:rPr>
          <w:tab/>
        </w:r>
        <w:r w:rsidR="00CD784F" w:rsidRPr="0099541E">
          <w:rPr>
            <w:webHidden/>
          </w:rPr>
          <w:fldChar w:fldCharType="begin"/>
        </w:r>
        <w:r w:rsidR="00CD784F" w:rsidRPr="0099541E">
          <w:rPr>
            <w:webHidden/>
          </w:rPr>
          <w:instrText xml:space="preserve"> PAGEREF _Toc438477425 \h </w:instrText>
        </w:r>
        <w:r w:rsidR="00CD784F" w:rsidRPr="0099541E">
          <w:rPr>
            <w:webHidden/>
          </w:rPr>
        </w:r>
        <w:r w:rsidR="00CD784F" w:rsidRPr="0099541E">
          <w:rPr>
            <w:webHidden/>
          </w:rPr>
          <w:fldChar w:fldCharType="separate"/>
        </w:r>
        <w:r w:rsidR="00CD784F" w:rsidRPr="0099541E">
          <w:rPr>
            <w:webHidden/>
          </w:rPr>
          <w:t>10</w:t>
        </w:r>
        <w:r w:rsidR="00CD784F" w:rsidRPr="0099541E">
          <w:rPr>
            <w:webHidden/>
          </w:rPr>
          <w:fldChar w:fldCharType="end"/>
        </w:r>
      </w:hyperlink>
    </w:p>
    <w:p w14:paraId="51ADC2BC" w14:textId="77777777" w:rsidR="00CD784F" w:rsidRPr="0099541E" w:rsidRDefault="00A80349">
      <w:pPr>
        <w:pStyle w:val="TOC1"/>
        <w:rPr>
          <w:rFonts w:eastAsiaTheme="minorEastAsia"/>
          <w:sz w:val="22"/>
        </w:rPr>
      </w:pPr>
      <w:hyperlink w:anchor="_Toc438477426" w:history="1">
        <w:r w:rsidR="00CD784F" w:rsidRPr="0099541E">
          <w:rPr>
            <w:rStyle w:val="Hyperlink"/>
          </w:rPr>
          <w:t>Topic 2 Exercise</w:t>
        </w:r>
        <w:r w:rsidR="00CD784F" w:rsidRPr="0099541E">
          <w:rPr>
            <w:webHidden/>
          </w:rPr>
          <w:tab/>
        </w:r>
        <w:r w:rsidR="00CD784F" w:rsidRPr="0099541E">
          <w:rPr>
            <w:webHidden/>
          </w:rPr>
          <w:fldChar w:fldCharType="begin"/>
        </w:r>
        <w:r w:rsidR="00CD784F" w:rsidRPr="0099541E">
          <w:rPr>
            <w:webHidden/>
          </w:rPr>
          <w:instrText xml:space="preserve"> PAGEREF _Toc438477426 \h </w:instrText>
        </w:r>
        <w:r w:rsidR="00CD784F" w:rsidRPr="0099541E">
          <w:rPr>
            <w:webHidden/>
          </w:rPr>
        </w:r>
        <w:r w:rsidR="00CD784F" w:rsidRPr="0099541E">
          <w:rPr>
            <w:webHidden/>
          </w:rPr>
          <w:fldChar w:fldCharType="separate"/>
        </w:r>
        <w:r w:rsidR="00CD784F" w:rsidRPr="0099541E">
          <w:rPr>
            <w:webHidden/>
          </w:rPr>
          <w:t>11</w:t>
        </w:r>
        <w:r w:rsidR="00CD784F" w:rsidRPr="0099541E">
          <w:rPr>
            <w:webHidden/>
          </w:rPr>
          <w:fldChar w:fldCharType="end"/>
        </w:r>
      </w:hyperlink>
    </w:p>
    <w:p w14:paraId="0115454D" w14:textId="77777777" w:rsidR="007A5600" w:rsidRPr="0099541E" w:rsidRDefault="007A5600">
      <w:pPr>
        <w:pStyle w:val="VBATopicHeading1"/>
        <w:rPr>
          <w:rFonts w:ascii="Times New Roman" w:hAnsi="Times New Roman"/>
          <w:sz w:val="24"/>
        </w:rPr>
      </w:pPr>
      <w:r w:rsidRPr="0099541E">
        <w:rPr>
          <w:rStyle w:val="Hyperlink"/>
          <w:bCs/>
          <w:szCs w:val="24"/>
        </w:rPr>
        <w:fldChar w:fldCharType="end"/>
      </w:r>
    </w:p>
    <w:p w14:paraId="28104D40" w14:textId="77777777" w:rsidR="007A5600" w:rsidRPr="0099541E" w:rsidRDefault="007A5600"/>
    <w:p w14:paraId="14706586" w14:textId="77777777" w:rsidR="007A5600" w:rsidRPr="0099541E" w:rsidRDefault="007A5600"/>
    <w:p w14:paraId="36F3796B" w14:textId="77777777" w:rsidR="007A5600" w:rsidRPr="0099541E" w:rsidRDefault="007A5600"/>
    <w:p w14:paraId="3585D4C0" w14:textId="77777777" w:rsidR="007A5600" w:rsidRPr="0099541E" w:rsidRDefault="007A5600"/>
    <w:p w14:paraId="6A3FA7DC" w14:textId="77777777" w:rsidR="007A5600" w:rsidRPr="0099541E" w:rsidRDefault="007A5600"/>
    <w:p w14:paraId="27178228" w14:textId="77777777" w:rsidR="007A5600" w:rsidRPr="0099541E" w:rsidRDefault="007A5600"/>
    <w:p w14:paraId="4BE90D33" w14:textId="77777777" w:rsidR="007A5600" w:rsidRPr="0099541E" w:rsidRDefault="007A5600"/>
    <w:p w14:paraId="46AC411B" w14:textId="77777777" w:rsidR="007A5600" w:rsidRPr="0099541E" w:rsidRDefault="007A5600"/>
    <w:p w14:paraId="594A9202" w14:textId="77777777" w:rsidR="007A5600" w:rsidRPr="0099541E" w:rsidRDefault="007A5600">
      <w:pPr>
        <w:overflowPunct/>
        <w:autoSpaceDE/>
        <w:autoSpaceDN/>
        <w:adjustRightInd/>
        <w:spacing w:before="0"/>
      </w:pPr>
      <w:r w:rsidRPr="0099541E">
        <w:br w:type="page"/>
      </w:r>
    </w:p>
    <w:p w14:paraId="1CD03178" w14:textId="77777777" w:rsidR="007A5600" w:rsidRPr="0099541E" w:rsidRDefault="007A5600">
      <w:pPr>
        <w:pStyle w:val="VBATopicHeading1"/>
        <w:rPr>
          <w:rFonts w:ascii="Times New Roman" w:hAnsi="Times New Roman"/>
        </w:rPr>
      </w:pPr>
      <w:bookmarkStart w:id="3" w:name="_Toc438477421"/>
      <w:bookmarkStart w:id="4" w:name="_Toc269888405"/>
      <w:bookmarkStart w:id="5" w:name="_Toc269888748"/>
      <w:bookmarkStart w:id="6" w:name="_Toc278291133"/>
      <w:r w:rsidRPr="0099541E">
        <w:rPr>
          <w:rFonts w:ascii="Times New Roman" w:hAnsi="Times New Roman"/>
        </w:rPr>
        <w:lastRenderedPageBreak/>
        <w:t>Objectives</w:t>
      </w:r>
      <w:bookmarkEnd w:id="3"/>
    </w:p>
    <w:p w14:paraId="7A067ACB" w14:textId="06B6380F" w:rsidR="007E75EF" w:rsidRPr="0099541E" w:rsidRDefault="001A0888" w:rsidP="007E75EF">
      <w:pPr>
        <w:pStyle w:val="VBAFirstLevelBullet"/>
        <w:numPr>
          <w:ilvl w:val="0"/>
          <w:numId w:val="3"/>
        </w:numPr>
        <w:spacing w:before="60" w:after="60"/>
      </w:pPr>
      <w:r w:rsidRPr="0099541E">
        <w:rPr>
          <w:rFonts w:eastAsia="Calibri"/>
        </w:rPr>
        <w:t>Using 38 CFR and M21-1</w:t>
      </w:r>
      <w:r w:rsidR="007E75EF" w:rsidRPr="0099541E">
        <w:rPr>
          <w:rFonts w:eastAsia="Calibri"/>
        </w:rPr>
        <w:t xml:space="preserve"> as references, </w:t>
      </w:r>
      <w:r w:rsidR="005C620E" w:rsidRPr="0099541E">
        <w:rPr>
          <w:rFonts w:eastAsia="Calibri"/>
        </w:rPr>
        <w:t>recognize a claim based on exposure to ionizing radiat</w:t>
      </w:r>
      <w:r w:rsidR="00174DC1" w:rsidRPr="0099541E">
        <w:rPr>
          <w:rFonts w:eastAsia="Calibri"/>
        </w:rPr>
        <w:t>ion due to the claimed issues</w:t>
      </w:r>
    </w:p>
    <w:p w14:paraId="65A1B268" w14:textId="491B1EE5" w:rsidR="007E75EF" w:rsidRPr="0099541E" w:rsidRDefault="005C620E" w:rsidP="005C620E">
      <w:pPr>
        <w:pStyle w:val="VBAFirstLevelBullet"/>
        <w:numPr>
          <w:ilvl w:val="0"/>
          <w:numId w:val="3"/>
        </w:numPr>
      </w:pPr>
      <w:r w:rsidRPr="0099541E">
        <w:rPr>
          <w:rFonts w:eastAsia="Calibri"/>
        </w:rPr>
        <w:t>Using M21-1</w:t>
      </w:r>
      <w:r w:rsidR="007E75EF" w:rsidRPr="0099541E">
        <w:rPr>
          <w:rFonts w:eastAsia="Calibri"/>
        </w:rPr>
        <w:t xml:space="preserve"> as a reference, </w:t>
      </w:r>
      <w:r w:rsidR="00896856" w:rsidRPr="0099541E">
        <w:t>determine a course of action</w:t>
      </w:r>
      <w:r w:rsidR="00896856" w:rsidRPr="0099541E">
        <w:rPr>
          <w:rFonts w:eastAsia="Calibri"/>
        </w:rPr>
        <w:t xml:space="preserve"> and </w:t>
      </w:r>
      <w:r w:rsidRPr="0099541E">
        <w:rPr>
          <w:rFonts w:eastAsia="Calibri"/>
        </w:rPr>
        <w:t>accurately complete the process of routing the claim to the correct processing center</w:t>
      </w:r>
    </w:p>
    <w:p w14:paraId="2C034460" w14:textId="77777777" w:rsidR="007A5600" w:rsidRPr="0099541E" w:rsidRDefault="007A5600">
      <w:pPr>
        <w:pStyle w:val="VBATopicHeading1"/>
        <w:rPr>
          <w:rFonts w:ascii="Times New Roman" w:hAnsi="Times New Roman"/>
        </w:rPr>
      </w:pPr>
      <w:r w:rsidRPr="0099541E">
        <w:rPr>
          <w:rFonts w:ascii="Times New Roman" w:hAnsi="Times New Roman"/>
        </w:rPr>
        <w:br w:type="page"/>
      </w:r>
      <w:bookmarkStart w:id="7" w:name="_Toc438477422"/>
      <w:r w:rsidRPr="0099541E">
        <w:rPr>
          <w:rFonts w:ascii="Times New Roman" w:hAnsi="Times New Roman"/>
        </w:rPr>
        <w:lastRenderedPageBreak/>
        <w:t>References</w:t>
      </w:r>
      <w:bookmarkEnd w:id="7"/>
    </w:p>
    <w:p w14:paraId="1462F404" w14:textId="77777777" w:rsidR="007A5600" w:rsidRPr="0099541E" w:rsidRDefault="007A5600">
      <w:pPr>
        <w:overflowPunct/>
        <w:autoSpaceDE/>
        <w:autoSpaceDN/>
        <w:adjustRightInd/>
        <w:spacing w:before="0"/>
        <w:rPr>
          <w:b/>
          <w:smallCaps/>
          <w:sz w:val="32"/>
          <w:szCs w:val="32"/>
        </w:rPr>
      </w:pPr>
    </w:p>
    <w:bookmarkEnd w:id="4"/>
    <w:bookmarkEnd w:id="5"/>
    <w:bookmarkEnd w:id="6"/>
    <w:p w14:paraId="3337E877" w14:textId="77777777" w:rsidR="007E75EF" w:rsidRPr="0099541E" w:rsidRDefault="007E75EF" w:rsidP="007E75EF">
      <w:pPr>
        <w:pStyle w:val="VBASubtitle2"/>
        <w:numPr>
          <w:ilvl w:val="0"/>
          <w:numId w:val="0"/>
        </w:numPr>
        <w:ind w:left="360"/>
        <w:jc w:val="center"/>
        <w:rPr>
          <w:rStyle w:val="Hyperlink"/>
          <w:b w:val="0"/>
          <w:bCs w:val="0"/>
        </w:rPr>
      </w:pPr>
      <w:r w:rsidRPr="0099541E">
        <w:rPr>
          <w:b w:val="0"/>
        </w:rPr>
        <w:fldChar w:fldCharType="begin"/>
      </w:r>
      <w:r w:rsidR="00445890" w:rsidRPr="0099541E">
        <w:rPr>
          <w:b w:val="0"/>
        </w:rPr>
        <w:instrText>HYPERLINK "http://www.ecfr.gov/cgi-bin/text-idx?SID=ad275643432556b9dda942343fb89296&amp;mc=true&amp;node=pt38.1.3&amp;rgn=div58" \l "se38.1.3_1309"</w:instrText>
      </w:r>
      <w:r w:rsidRPr="0099541E">
        <w:rPr>
          <w:b w:val="0"/>
        </w:rPr>
        <w:fldChar w:fldCharType="separate"/>
      </w:r>
    </w:p>
    <w:p w14:paraId="02DDDAC0" w14:textId="77777777" w:rsidR="007E75EF" w:rsidRPr="0099541E" w:rsidRDefault="007E75EF" w:rsidP="007E75EF">
      <w:pPr>
        <w:pStyle w:val="VBASubtitle2"/>
        <w:rPr>
          <w:rStyle w:val="Hyperlink"/>
          <w:b w:val="0"/>
          <w:bCs w:val="0"/>
        </w:rPr>
      </w:pPr>
      <w:r w:rsidRPr="0099541E">
        <w:rPr>
          <w:rStyle w:val="Hyperlink"/>
          <w:b w:val="0"/>
          <w:bCs w:val="0"/>
        </w:rPr>
        <w:t>38 CFR 3.309</w:t>
      </w:r>
      <w:r w:rsidR="0024629E" w:rsidRPr="0099541E">
        <w:rPr>
          <w:rStyle w:val="Hyperlink"/>
          <w:b w:val="0"/>
          <w:bCs w:val="0"/>
        </w:rPr>
        <w:t xml:space="preserve">, </w:t>
      </w:r>
      <w:r w:rsidR="0024629E" w:rsidRPr="0099541E">
        <w:rPr>
          <w:b w:val="0"/>
        </w:rPr>
        <w:t>Disease subject to presumptive service connection</w:t>
      </w:r>
    </w:p>
    <w:p w14:paraId="141DB019" w14:textId="77777777" w:rsidR="007E75EF" w:rsidRPr="0099541E" w:rsidRDefault="007E75EF" w:rsidP="007E75EF">
      <w:pPr>
        <w:pStyle w:val="VBASubtitle2"/>
        <w:numPr>
          <w:ilvl w:val="0"/>
          <w:numId w:val="0"/>
        </w:numPr>
        <w:ind w:left="360"/>
        <w:rPr>
          <w:rStyle w:val="Hyperlink"/>
          <w:b w:val="0"/>
          <w:bCs w:val="0"/>
        </w:rPr>
      </w:pPr>
    </w:p>
    <w:p w14:paraId="51F97956" w14:textId="77777777" w:rsidR="007E75EF" w:rsidRPr="0099541E" w:rsidRDefault="007E75EF" w:rsidP="007E75EF">
      <w:pPr>
        <w:pStyle w:val="VBASubtitle2"/>
        <w:rPr>
          <w:b w:val="0"/>
        </w:rPr>
      </w:pPr>
      <w:r w:rsidRPr="0099541E">
        <w:rPr>
          <w:rStyle w:val="Hyperlink"/>
          <w:b w:val="0"/>
          <w:bCs w:val="0"/>
        </w:rPr>
        <w:t>38 CFR 3.311</w:t>
      </w:r>
      <w:r w:rsidRPr="0099541E">
        <w:rPr>
          <w:b w:val="0"/>
        </w:rPr>
        <w:fldChar w:fldCharType="end"/>
      </w:r>
      <w:r w:rsidR="0024629E" w:rsidRPr="0099541E">
        <w:rPr>
          <w:b w:val="0"/>
        </w:rPr>
        <w:t>, Claims based on exposure to ionizing radiation</w:t>
      </w:r>
    </w:p>
    <w:p w14:paraId="6AB0C94F" w14:textId="77777777" w:rsidR="007E75EF" w:rsidRPr="0099541E" w:rsidRDefault="007E75EF" w:rsidP="007E75EF">
      <w:pPr>
        <w:pStyle w:val="VBASubtitle2"/>
        <w:numPr>
          <w:ilvl w:val="0"/>
          <w:numId w:val="0"/>
        </w:numPr>
      </w:pPr>
    </w:p>
    <w:p w14:paraId="1B27B936" w14:textId="77777777" w:rsidR="007E75EF" w:rsidRPr="0099541E" w:rsidRDefault="00A80349" w:rsidP="007E75EF">
      <w:pPr>
        <w:pStyle w:val="VBASubtitle2"/>
        <w:rPr>
          <w:b w:val="0"/>
          <w:bCs w:val="0"/>
        </w:rPr>
      </w:pPr>
      <w:hyperlink r:id="rId11" w:anchor="!agent/portal/554400000001034/article/554400000014904/M21-1-Part-IV-Subpart-ii-Chapter-1-S" w:history="1">
        <w:r w:rsidR="00ED10E6" w:rsidRPr="0099541E">
          <w:rPr>
            <w:rStyle w:val="Hyperlink"/>
            <w:b w:val="0"/>
            <w:bCs w:val="0"/>
          </w:rPr>
          <w:t>M21-</w:t>
        </w:r>
        <w:r w:rsidR="0024629E" w:rsidRPr="0099541E">
          <w:rPr>
            <w:rStyle w:val="Hyperlink"/>
            <w:b w:val="0"/>
            <w:bCs w:val="0"/>
          </w:rPr>
          <w:t>1</w:t>
        </w:r>
        <w:r w:rsidR="00ED10E6" w:rsidRPr="0099541E">
          <w:rPr>
            <w:rStyle w:val="Hyperlink"/>
            <w:b w:val="0"/>
            <w:bCs w:val="0"/>
          </w:rPr>
          <w:t xml:space="preserve">, Part IV, Subpart ii, Chapter 1, </w:t>
        </w:r>
        <w:r w:rsidR="007E75EF" w:rsidRPr="0099541E">
          <w:rPr>
            <w:rStyle w:val="Hyperlink"/>
            <w:b w:val="0"/>
            <w:bCs w:val="0"/>
          </w:rPr>
          <w:t>B</w:t>
        </w:r>
      </w:hyperlink>
      <w:r w:rsidR="0024629E" w:rsidRPr="0099541E">
        <w:rPr>
          <w:b w:val="0"/>
          <w:bCs w:val="0"/>
        </w:rPr>
        <w:t xml:space="preserve">, </w:t>
      </w:r>
      <w:r w:rsidR="0024629E" w:rsidRPr="0099541E">
        <w:rPr>
          <w:b w:val="0"/>
          <w:lang w:val="en"/>
        </w:rPr>
        <w:t>Claims for Service Connection for Radiogenic Diseases Under 38 CFR 3.309(d)</w:t>
      </w:r>
    </w:p>
    <w:p w14:paraId="5DF91A77" w14:textId="77777777" w:rsidR="007E75EF" w:rsidRPr="0099541E" w:rsidRDefault="007E75EF" w:rsidP="007E75EF">
      <w:pPr>
        <w:pStyle w:val="VBASubtitle2"/>
        <w:numPr>
          <w:ilvl w:val="0"/>
          <w:numId w:val="0"/>
        </w:numPr>
        <w:ind w:left="720" w:hanging="360"/>
        <w:rPr>
          <w:b w:val="0"/>
          <w:bCs w:val="0"/>
        </w:rPr>
      </w:pPr>
    </w:p>
    <w:p w14:paraId="38793CDE" w14:textId="77777777" w:rsidR="007E75EF" w:rsidRPr="0099541E" w:rsidRDefault="00A80349" w:rsidP="007E75EF">
      <w:pPr>
        <w:pStyle w:val="VBASubtitle2"/>
        <w:rPr>
          <w:b w:val="0"/>
          <w:bCs w:val="0"/>
        </w:rPr>
      </w:pPr>
      <w:hyperlink r:id="rId12" w:anchor="!agent/portal/554400000001034/article/554400000014905/M21-1-Part-IV-Subpart-ii-Chapter-1-S" w:history="1">
        <w:r w:rsidR="007E75EF" w:rsidRPr="0099541E">
          <w:rPr>
            <w:rStyle w:val="Hyperlink"/>
            <w:b w:val="0"/>
            <w:bCs w:val="0"/>
          </w:rPr>
          <w:t>M21-1</w:t>
        </w:r>
        <w:r w:rsidR="0024629E" w:rsidRPr="0099541E">
          <w:rPr>
            <w:rStyle w:val="Hyperlink"/>
            <w:b w:val="0"/>
            <w:bCs w:val="0"/>
          </w:rPr>
          <w:t>,</w:t>
        </w:r>
        <w:r w:rsidR="007E75EF" w:rsidRPr="0099541E">
          <w:rPr>
            <w:rStyle w:val="Hyperlink"/>
            <w:b w:val="0"/>
            <w:bCs w:val="0"/>
          </w:rPr>
          <w:t xml:space="preserve"> </w:t>
        </w:r>
        <w:r w:rsidR="0024629E" w:rsidRPr="0099541E">
          <w:rPr>
            <w:rStyle w:val="Hyperlink"/>
            <w:b w:val="0"/>
            <w:bCs w:val="0"/>
          </w:rPr>
          <w:t xml:space="preserve">Part IV, Subpart ii, Chapter 1, </w:t>
        </w:r>
        <w:r w:rsidR="007E75EF" w:rsidRPr="0099541E">
          <w:rPr>
            <w:rStyle w:val="Hyperlink"/>
            <w:b w:val="0"/>
            <w:bCs w:val="0"/>
          </w:rPr>
          <w:t>C</w:t>
        </w:r>
      </w:hyperlink>
      <w:r w:rsidR="0024629E" w:rsidRPr="0099541E">
        <w:rPr>
          <w:b w:val="0"/>
          <w:bCs w:val="0"/>
        </w:rPr>
        <w:t xml:space="preserve">, </w:t>
      </w:r>
      <w:r w:rsidR="0024629E" w:rsidRPr="0099541E">
        <w:rPr>
          <w:b w:val="0"/>
          <w:lang w:val="en"/>
        </w:rPr>
        <w:t>Claims for Service Connection for Disabilities Resulting from Ionizing Radiation Exposure Under 38 CFR 3.311</w:t>
      </w:r>
    </w:p>
    <w:p w14:paraId="6E3BA624" w14:textId="0FD88792" w:rsidR="007A5600" w:rsidRPr="0099541E" w:rsidRDefault="007A5600"/>
    <w:p w14:paraId="0161A652" w14:textId="77777777" w:rsidR="007A5600" w:rsidRPr="0099541E" w:rsidRDefault="007A5600"/>
    <w:p w14:paraId="1A36595B" w14:textId="77777777" w:rsidR="007A5600" w:rsidRPr="0099541E" w:rsidRDefault="007A5600"/>
    <w:p w14:paraId="320EA910" w14:textId="77777777" w:rsidR="007A5600" w:rsidRPr="0099541E" w:rsidRDefault="007A5600"/>
    <w:p w14:paraId="7778A835" w14:textId="77777777" w:rsidR="007A5600" w:rsidRPr="0099541E" w:rsidRDefault="007A5600"/>
    <w:p w14:paraId="6AD9F632" w14:textId="77777777" w:rsidR="007A5600" w:rsidRPr="0099541E" w:rsidRDefault="007A5600"/>
    <w:p w14:paraId="46C6C4D7" w14:textId="77777777" w:rsidR="007A5600" w:rsidRPr="0099541E" w:rsidRDefault="007A5600"/>
    <w:p w14:paraId="527A3C81" w14:textId="77777777" w:rsidR="007A5600" w:rsidRPr="0099541E" w:rsidRDefault="007A5600"/>
    <w:p w14:paraId="366FF6E2" w14:textId="77777777" w:rsidR="007A5600" w:rsidRPr="0099541E" w:rsidRDefault="007A5600"/>
    <w:p w14:paraId="005F03AA" w14:textId="77777777" w:rsidR="007A5600" w:rsidRPr="0099541E" w:rsidRDefault="007A5600"/>
    <w:p w14:paraId="581C2FC7" w14:textId="77777777" w:rsidR="007A5600" w:rsidRPr="0099541E" w:rsidRDefault="007A5600"/>
    <w:p w14:paraId="4C61C6C7" w14:textId="77777777" w:rsidR="007A5600" w:rsidRPr="0099541E" w:rsidRDefault="007A5600"/>
    <w:p w14:paraId="5E138E38" w14:textId="77777777" w:rsidR="007A5600" w:rsidRPr="0099541E" w:rsidRDefault="007A5600"/>
    <w:p w14:paraId="2F43D096" w14:textId="77777777" w:rsidR="007A5600" w:rsidRPr="0099541E" w:rsidRDefault="007A5600"/>
    <w:p w14:paraId="57A5E6F4" w14:textId="77777777" w:rsidR="007A5600" w:rsidRPr="0099541E" w:rsidRDefault="007A5600"/>
    <w:p w14:paraId="1299FE07" w14:textId="77777777" w:rsidR="007A5600" w:rsidRPr="0099541E" w:rsidRDefault="007A5600"/>
    <w:p w14:paraId="38B30EC9" w14:textId="77777777" w:rsidR="007A5600" w:rsidRPr="0099541E" w:rsidRDefault="007A5600">
      <w:pPr>
        <w:overflowPunct/>
        <w:autoSpaceDE/>
        <w:autoSpaceDN/>
        <w:adjustRightInd/>
        <w:spacing w:before="0"/>
        <w:rPr>
          <w:b/>
          <w:smallCaps/>
          <w:color w:val="0070C0"/>
          <w:sz w:val="32"/>
          <w:szCs w:val="32"/>
        </w:rPr>
      </w:pPr>
    </w:p>
    <w:p w14:paraId="1292C22A" w14:textId="77777777" w:rsidR="00DE08A8" w:rsidRDefault="00DE08A8">
      <w:pPr>
        <w:overflowPunct/>
        <w:autoSpaceDE/>
        <w:autoSpaceDN/>
        <w:adjustRightInd/>
        <w:spacing w:before="0"/>
        <w:rPr>
          <w:b/>
          <w:smallCaps/>
          <w:sz w:val="32"/>
          <w:szCs w:val="32"/>
        </w:rPr>
      </w:pPr>
      <w:bookmarkStart w:id="8" w:name="_Toc438477423"/>
      <w:r>
        <w:br w:type="page"/>
      </w:r>
    </w:p>
    <w:p w14:paraId="484B105B" w14:textId="48341EEA" w:rsidR="007A5600" w:rsidRPr="0099541E" w:rsidRDefault="007A5600">
      <w:pPr>
        <w:pStyle w:val="VBATopicHeading1"/>
        <w:rPr>
          <w:rFonts w:ascii="Times New Roman" w:hAnsi="Times New Roman"/>
          <w:color w:val="0070C0"/>
        </w:rPr>
      </w:pPr>
      <w:r w:rsidRPr="0099541E">
        <w:rPr>
          <w:rFonts w:ascii="Times New Roman" w:hAnsi="Times New Roman"/>
        </w:rPr>
        <w:lastRenderedPageBreak/>
        <w:t>Topic 1:</w:t>
      </w:r>
      <w:r w:rsidR="00ED10E6" w:rsidRPr="0099541E">
        <w:rPr>
          <w:rFonts w:ascii="Times New Roman" w:hAnsi="Times New Roman"/>
        </w:rPr>
        <w:t xml:space="preserve"> List of Radiogenic Diseases and Presumptive Cancers</w:t>
      </w:r>
      <w:bookmarkEnd w:id="8"/>
    </w:p>
    <w:p w14:paraId="02BF5D03" w14:textId="77777777" w:rsidR="00E615E0" w:rsidRPr="0099541E" w:rsidRDefault="00E615E0" w:rsidP="00385D91"/>
    <w:p w14:paraId="025FE96D" w14:textId="77777777" w:rsidR="00E615E0" w:rsidRPr="0099541E" w:rsidRDefault="00E615E0" w:rsidP="00E615E0">
      <w:pPr>
        <w:pStyle w:val="VBABodyText0"/>
        <w:rPr>
          <w:b/>
          <w:u w:val="single"/>
        </w:rPr>
      </w:pPr>
      <w:r w:rsidRPr="0099541E">
        <w:rPr>
          <w:b/>
          <w:u w:val="single"/>
        </w:rPr>
        <w:t xml:space="preserve">38 C.F.R 3.309(d) ~ Presumptive Service </w:t>
      </w:r>
      <w:proofErr w:type="gramStart"/>
      <w:r w:rsidRPr="0099541E">
        <w:rPr>
          <w:b/>
          <w:u w:val="single"/>
        </w:rPr>
        <w:t>Connection</w:t>
      </w:r>
      <w:proofErr w:type="gramEnd"/>
    </w:p>
    <w:p w14:paraId="348AA9F5" w14:textId="77777777" w:rsidR="00E615E0" w:rsidRPr="0099541E" w:rsidRDefault="00E615E0" w:rsidP="00E615E0">
      <w:pPr>
        <w:pStyle w:val="VBASubtitle2"/>
        <w:numPr>
          <w:ilvl w:val="0"/>
          <w:numId w:val="0"/>
        </w:numPr>
        <w:ind w:left="360"/>
        <w:rPr>
          <w:b w:val="0"/>
          <w:bCs w:val="0"/>
        </w:rPr>
      </w:pPr>
    </w:p>
    <w:p w14:paraId="46A6DEAF" w14:textId="77777777" w:rsidR="00E615E0" w:rsidRPr="0099541E" w:rsidRDefault="00E615E0" w:rsidP="00E615E0">
      <w:pPr>
        <w:pStyle w:val="VBASubtitle2"/>
        <w:numPr>
          <w:ilvl w:val="0"/>
          <w:numId w:val="0"/>
        </w:numPr>
        <w:ind w:left="360"/>
        <w:rPr>
          <w:b w:val="0"/>
          <w:bCs w:val="0"/>
        </w:rPr>
      </w:pPr>
      <w:r w:rsidRPr="0099541E">
        <w:rPr>
          <w:b w:val="0"/>
          <w:bCs w:val="0"/>
        </w:rPr>
        <w:t xml:space="preserve">A radiation-exposed veteran is one who, while serving on active duty, or as an individual who, while a member of the reserve component of the Armed Forces during a period of ACDUTRA or INACDUTRA, participated in a </w:t>
      </w:r>
      <w:r w:rsidRPr="0099541E">
        <w:rPr>
          <w:b w:val="0"/>
          <w:bCs w:val="0"/>
          <w:i/>
          <w:iCs/>
        </w:rPr>
        <w:t>radiation risk activity.</w:t>
      </w:r>
    </w:p>
    <w:p w14:paraId="0AB9CB1A" w14:textId="77777777" w:rsidR="00E615E0" w:rsidRPr="0099541E" w:rsidRDefault="00E615E0" w:rsidP="00E615E0">
      <w:pPr>
        <w:pStyle w:val="VBASubtitle2"/>
        <w:numPr>
          <w:ilvl w:val="0"/>
          <w:numId w:val="0"/>
        </w:numPr>
        <w:ind w:left="360"/>
        <w:rPr>
          <w:b w:val="0"/>
          <w:bCs w:val="0"/>
        </w:rPr>
      </w:pPr>
    </w:p>
    <w:p w14:paraId="14B14AA9" w14:textId="77777777" w:rsidR="00E615E0" w:rsidRPr="0099541E" w:rsidRDefault="00E615E0" w:rsidP="00E615E0">
      <w:pPr>
        <w:pStyle w:val="VBASubtitle2"/>
        <w:numPr>
          <w:ilvl w:val="0"/>
          <w:numId w:val="0"/>
        </w:numPr>
        <w:ind w:left="360"/>
        <w:rPr>
          <w:b w:val="0"/>
        </w:rPr>
      </w:pPr>
      <w:r w:rsidRPr="0099541E">
        <w:rPr>
          <w:b w:val="0"/>
        </w:rPr>
        <w:t>Radiation risk activity means:</w:t>
      </w:r>
    </w:p>
    <w:p w14:paraId="708A014B" w14:textId="77777777" w:rsidR="00E615E0" w:rsidRPr="0099541E" w:rsidRDefault="00E615E0" w:rsidP="00E615E0">
      <w:pPr>
        <w:pStyle w:val="VBASubtitle2"/>
        <w:numPr>
          <w:ilvl w:val="0"/>
          <w:numId w:val="6"/>
        </w:numPr>
        <w:tabs>
          <w:tab w:val="num" w:pos="1513"/>
        </w:tabs>
        <w:ind w:left="1513"/>
        <w:rPr>
          <w:b w:val="0"/>
          <w:bCs w:val="0"/>
        </w:rPr>
      </w:pPr>
      <w:r w:rsidRPr="0099541E">
        <w:rPr>
          <w:b w:val="0"/>
          <w:bCs w:val="0"/>
        </w:rPr>
        <w:t xml:space="preserve">onsite participation involving the atmospheric detonation of a nuclear device; </w:t>
      </w:r>
    </w:p>
    <w:p w14:paraId="79609A85" w14:textId="77777777" w:rsidR="00E615E0" w:rsidRPr="0099541E" w:rsidRDefault="00E615E0" w:rsidP="00E615E0">
      <w:pPr>
        <w:pStyle w:val="VBASubtitle2"/>
        <w:numPr>
          <w:ilvl w:val="0"/>
          <w:numId w:val="6"/>
        </w:numPr>
        <w:tabs>
          <w:tab w:val="num" w:pos="1513"/>
        </w:tabs>
        <w:ind w:left="1513"/>
        <w:rPr>
          <w:b w:val="0"/>
          <w:bCs w:val="0"/>
        </w:rPr>
      </w:pPr>
      <w:r w:rsidRPr="0099541E">
        <w:rPr>
          <w:b w:val="0"/>
          <w:bCs w:val="0"/>
        </w:rPr>
        <w:t xml:space="preserve">the occupation of Hiroshima or Nagasaki, Japan, by United States forces during the period from August 6, 1945 to July 1, 1946; or </w:t>
      </w:r>
    </w:p>
    <w:p w14:paraId="0A14DF53" w14:textId="77777777" w:rsidR="00E615E0" w:rsidRPr="0099541E" w:rsidRDefault="00E615E0" w:rsidP="00E615E0">
      <w:pPr>
        <w:pStyle w:val="VBASubtitle2"/>
        <w:numPr>
          <w:ilvl w:val="0"/>
          <w:numId w:val="6"/>
        </w:numPr>
        <w:tabs>
          <w:tab w:val="num" w:pos="1513"/>
        </w:tabs>
        <w:ind w:left="1513"/>
        <w:rPr>
          <w:b w:val="0"/>
          <w:bCs w:val="0"/>
        </w:rPr>
      </w:pPr>
      <w:r w:rsidRPr="0099541E">
        <w:rPr>
          <w:b w:val="0"/>
          <w:bCs w:val="0"/>
        </w:rPr>
        <w:t>internment as a POW in Japan (or active duty service  in Japan immediately following such internment) during World War II, which resulted in an opportunity for exposure to ionizing radiation comparable to that of the United States forces in Hiroshima or Nagasaki, Japan, from August 6, 1945 to July 1, 1946.</w:t>
      </w:r>
    </w:p>
    <w:p w14:paraId="5DC82222" w14:textId="77777777" w:rsidR="00635137" w:rsidRPr="0099541E" w:rsidRDefault="00460591" w:rsidP="00B94FB7">
      <w:pPr>
        <w:pStyle w:val="VBASubtitle2"/>
        <w:tabs>
          <w:tab w:val="num" w:pos="1513"/>
        </w:tabs>
        <w:ind w:left="1513"/>
        <w:rPr>
          <w:b w:val="0"/>
        </w:rPr>
      </w:pPr>
      <w:r w:rsidRPr="0099541E">
        <w:rPr>
          <w:b w:val="0"/>
        </w:rPr>
        <w:t>At a gaseous diffusion plant located in Paducah, KY, Portsmouth, OH, or the area identified as K25 at Oak Ridge, TN prior to February 1, 1992</w:t>
      </w:r>
      <w:r w:rsidR="00DA5B09" w:rsidRPr="0099541E">
        <w:rPr>
          <w:b w:val="0"/>
        </w:rPr>
        <w:t xml:space="preserve"> for 250 days</w:t>
      </w:r>
    </w:p>
    <w:p w14:paraId="61D247EB" w14:textId="77777777" w:rsidR="004818A2" w:rsidRPr="0099541E" w:rsidRDefault="004818A2">
      <w:pPr>
        <w:pStyle w:val="VBASubHeading1"/>
        <w:spacing w:before="0"/>
        <w:rPr>
          <w:i w:val="0"/>
        </w:rPr>
      </w:pPr>
    </w:p>
    <w:p w14:paraId="5B1DECD8" w14:textId="77777777" w:rsidR="00E615E0" w:rsidRPr="0099541E" w:rsidRDefault="004818A2" w:rsidP="005A71FE">
      <w:pPr>
        <w:pStyle w:val="VBASubHeading1"/>
        <w:spacing w:before="0"/>
        <w:ind w:left="360"/>
        <w:rPr>
          <w:i w:val="0"/>
        </w:rPr>
      </w:pPr>
      <w:r w:rsidRPr="0099541E">
        <w:rPr>
          <w:i w:val="0"/>
        </w:rPr>
        <w:t>The following diseases shall be service-connected if they become manifest in a radiation-exposed veteran:</w:t>
      </w:r>
    </w:p>
    <w:p w14:paraId="2613F895" w14:textId="77777777" w:rsidR="004818A2" w:rsidRPr="0099541E" w:rsidRDefault="004818A2">
      <w:pPr>
        <w:pStyle w:val="VBASubHeading1"/>
        <w:spacing w:before="0"/>
        <w:rPr>
          <w:b/>
          <w:i w:val="0"/>
          <w:sz w:val="32"/>
          <w:u w:val="single"/>
        </w:rPr>
      </w:pPr>
    </w:p>
    <w:p w14:paraId="673424FF" w14:textId="77777777" w:rsidR="00385D91" w:rsidRPr="0099541E" w:rsidRDefault="00385D91" w:rsidP="004818A2">
      <w:pPr>
        <w:pStyle w:val="NormalWeb"/>
        <w:numPr>
          <w:ilvl w:val="0"/>
          <w:numId w:val="8"/>
        </w:numPr>
        <w:spacing w:before="0" w:beforeAutospacing="0" w:after="0" w:afterAutospacing="0"/>
        <w:rPr>
          <w:szCs w:val="20"/>
        </w:rPr>
      </w:pPr>
      <w:r w:rsidRPr="0099541E">
        <w:rPr>
          <w:szCs w:val="20"/>
        </w:rPr>
        <w:t>Leukemia (other than</w:t>
      </w:r>
      <w:r w:rsidR="00FB6CEB" w:rsidRPr="0099541E">
        <w:rPr>
          <w:szCs w:val="20"/>
        </w:rPr>
        <w:t xml:space="preserve"> chronic lymphocytic leukemia)</w:t>
      </w:r>
    </w:p>
    <w:p w14:paraId="567C45AB"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thyroid</w:t>
      </w:r>
    </w:p>
    <w:p w14:paraId="788994B3"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breast</w:t>
      </w:r>
    </w:p>
    <w:p w14:paraId="511A803A"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pharynx</w:t>
      </w:r>
    </w:p>
    <w:p w14:paraId="00B60BD0"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esophagus</w:t>
      </w:r>
    </w:p>
    <w:p w14:paraId="62EFDCC3"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stomach</w:t>
      </w:r>
    </w:p>
    <w:p w14:paraId="26F51982"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small intestine</w:t>
      </w:r>
    </w:p>
    <w:p w14:paraId="23E0480D"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pancreas</w:t>
      </w:r>
    </w:p>
    <w:p w14:paraId="6E38DA8F"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Multiple myeloma</w:t>
      </w:r>
    </w:p>
    <w:p w14:paraId="162596DD"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L</w:t>
      </w:r>
      <w:r w:rsidR="00385D91" w:rsidRPr="0099541E">
        <w:rPr>
          <w:szCs w:val="20"/>
        </w:rPr>
        <w:t>ympho</w:t>
      </w:r>
      <w:r w:rsidRPr="0099541E">
        <w:rPr>
          <w:szCs w:val="20"/>
        </w:rPr>
        <w:t>mas (except Hodgkin's disease)</w:t>
      </w:r>
    </w:p>
    <w:p w14:paraId="3B1959F4"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bile ducts</w:t>
      </w:r>
    </w:p>
    <w:p w14:paraId="569CABEC"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gall bladder</w:t>
      </w:r>
    </w:p>
    <w:p w14:paraId="537C651C" w14:textId="77777777" w:rsidR="00385D91" w:rsidRPr="0099541E" w:rsidRDefault="00385D91" w:rsidP="004818A2">
      <w:pPr>
        <w:pStyle w:val="NormalWeb"/>
        <w:numPr>
          <w:ilvl w:val="0"/>
          <w:numId w:val="8"/>
        </w:numPr>
        <w:spacing w:before="0" w:beforeAutospacing="0" w:after="0" w:afterAutospacing="0"/>
        <w:rPr>
          <w:szCs w:val="20"/>
        </w:rPr>
      </w:pPr>
      <w:r w:rsidRPr="0099541E">
        <w:rPr>
          <w:szCs w:val="20"/>
        </w:rPr>
        <w:t>Primary liver cancer (except if cirrhos</w:t>
      </w:r>
      <w:r w:rsidR="00FB6CEB" w:rsidRPr="0099541E">
        <w:rPr>
          <w:szCs w:val="20"/>
        </w:rPr>
        <w:t>is or hepatitis B is indicated)</w:t>
      </w:r>
    </w:p>
    <w:p w14:paraId="663FBDFC"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salivary gland</w:t>
      </w:r>
    </w:p>
    <w:p w14:paraId="36684C15" w14:textId="77777777" w:rsidR="00385D91" w:rsidRPr="0099541E" w:rsidRDefault="00385D91" w:rsidP="004818A2">
      <w:pPr>
        <w:pStyle w:val="NormalWeb"/>
        <w:numPr>
          <w:ilvl w:val="0"/>
          <w:numId w:val="8"/>
        </w:numPr>
        <w:spacing w:before="0" w:beforeAutospacing="0" w:after="0" w:afterAutospacing="0"/>
        <w:rPr>
          <w:szCs w:val="20"/>
        </w:rPr>
      </w:pPr>
      <w:r w:rsidRPr="0099541E">
        <w:rPr>
          <w:szCs w:val="20"/>
        </w:rPr>
        <w:t>Cancer of the urinary trac</w:t>
      </w:r>
      <w:r w:rsidR="00FB6CEB" w:rsidRPr="0099541E">
        <w:rPr>
          <w:szCs w:val="20"/>
        </w:rPr>
        <w:t>t</w:t>
      </w:r>
    </w:p>
    <w:p w14:paraId="5A3B8BCF" w14:textId="77777777" w:rsidR="00385D91" w:rsidRPr="0099541E" w:rsidRDefault="00FB6CEB" w:rsidP="004818A2">
      <w:pPr>
        <w:pStyle w:val="NormalWeb"/>
        <w:numPr>
          <w:ilvl w:val="0"/>
          <w:numId w:val="8"/>
        </w:numPr>
        <w:spacing w:before="0" w:beforeAutospacing="0" w:after="0" w:afterAutospacing="0"/>
        <w:rPr>
          <w:szCs w:val="20"/>
        </w:rPr>
      </w:pPr>
      <w:proofErr w:type="spellStart"/>
      <w:r w:rsidRPr="0099541E">
        <w:rPr>
          <w:szCs w:val="20"/>
        </w:rPr>
        <w:t>Bronchiolo</w:t>
      </w:r>
      <w:proofErr w:type="spellEnd"/>
      <w:r w:rsidRPr="0099541E">
        <w:rPr>
          <w:szCs w:val="20"/>
        </w:rPr>
        <w:t>-alveolar carcinoma</w:t>
      </w:r>
    </w:p>
    <w:p w14:paraId="396F574C"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bone</w:t>
      </w:r>
    </w:p>
    <w:p w14:paraId="7F74C2F1"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brain</w:t>
      </w:r>
    </w:p>
    <w:p w14:paraId="3D678A91"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colon</w:t>
      </w:r>
    </w:p>
    <w:p w14:paraId="483BAF9F"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lastRenderedPageBreak/>
        <w:t>Cancer of the lung</w:t>
      </w:r>
    </w:p>
    <w:p w14:paraId="34CD4386" w14:textId="77777777" w:rsidR="00385D91" w:rsidRPr="0099541E" w:rsidRDefault="00FB6CEB" w:rsidP="004818A2">
      <w:pPr>
        <w:pStyle w:val="NormalWeb"/>
        <w:numPr>
          <w:ilvl w:val="0"/>
          <w:numId w:val="8"/>
        </w:numPr>
        <w:spacing w:before="0" w:beforeAutospacing="0" w:after="0" w:afterAutospacing="0"/>
        <w:rPr>
          <w:szCs w:val="20"/>
        </w:rPr>
      </w:pPr>
      <w:r w:rsidRPr="0099541E">
        <w:rPr>
          <w:szCs w:val="20"/>
        </w:rPr>
        <w:t>Cancer of the ovary</w:t>
      </w:r>
    </w:p>
    <w:p w14:paraId="41A44093" w14:textId="77777777" w:rsidR="00FB6CEB" w:rsidRPr="0099541E" w:rsidRDefault="00FB6CEB" w:rsidP="00FB6CEB">
      <w:pPr>
        <w:pStyle w:val="NormalWeb"/>
        <w:spacing w:before="0" w:beforeAutospacing="0" w:after="0" w:afterAutospacing="0"/>
        <w:ind w:firstLine="360"/>
        <w:rPr>
          <w:szCs w:val="20"/>
        </w:rPr>
      </w:pPr>
    </w:p>
    <w:p w14:paraId="554E1986" w14:textId="77777777" w:rsidR="00FB6CEB" w:rsidRPr="0099541E" w:rsidRDefault="00FB6CEB" w:rsidP="00FB6CEB">
      <w:pPr>
        <w:pStyle w:val="VBASubtitle2"/>
        <w:numPr>
          <w:ilvl w:val="0"/>
          <w:numId w:val="0"/>
        </w:numPr>
        <w:ind w:left="360"/>
        <w:rPr>
          <w:b w:val="0"/>
          <w:bCs w:val="0"/>
          <w:szCs w:val="22"/>
        </w:rPr>
      </w:pPr>
      <w:r w:rsidRPr="0099541E">
        <w:rPr>
          <w:b w:val="0"/>
          <w:bCs w:val="0"/>
        </w:rPr>
        <w:t>If a radiation-exposed veteran develops one of the diseases listed above, service connection is warranted under the provisions of 38 C.F.R. 3.307.</w:t>
      </w:r>
    </w:p>
    <w:p w14:paraId="30360684" w14:textId="77777777" w:rsidR="00FB6CEB" w:rsidRPr="0099541E" w:rsidRDefault="00FB6CEB" w:rsidP="00FB6CEB">
      <w:pPr>
        <w:pStyle w:val="VBASubtitle2"/>
        <w:numPr>
          <w:ilvl w:val="0"/>
          <w:numId w:val="0"/>
        </w:numPr>
        <w:ind w:left="360"/>
        <w:rPr>
          <w:b w:val="0"/>
          <w:bCs w:val="0"/>
          <w:szCs w:val="22"/>
        </w:rPr>
      </w:pPr>
    </w:p>
    <w:p w14:paraId="23A4D1D1" w14:textId="77777777" w:rsidR="00FB6CEB" w:rsidRPr="0099541E" w:rsidRDefault="00FB6CEB" w:rsidP="00FB6CEB">
      <w:pPr>
        <w:pStyle w:val="VBASubtitle2"/>
        <w:numPr>
          <w:ilvl w:val="0"/>
          <w:numId w:val="0"/>
        </w:numPr>
        <w:ind w:left="360"/>
        <w:rPr>
          <w:szCs w:val="22"/>
        </w:rPr>
      </w:pPr>
      <w:r w:rsidRPr="0099541E">
        <w:rPr>
          <w:b w:val="0"/>
          <w:bCs w:val="0"/>
          <w:szCs w:val="22"/>
        </w:rPr>
        <w:t xml:space="preserve">Verification that the claimed condition is an acknowledged radiogenic disease must be completed before any other actions take place.  Once it is determined there is evidence of a radiogenic disease, the claims folder should be transferred to the VA Regional Office in Jackson, MS. </w:t>
      </w:r>
      <w:r w:rsidRPr="0099541E">
        <w:rPr>
          <w:szCs w:val="22"/>
        </w:rPr>
        <w:t>(Note:  This is typically done by a VSR).</w:t>
      </w:r>
    </w:p>
    <w:p w14:paraId="05120CEE" w14:textId="77777777" w:rsidR="00FB6CEB" w:rsidRPr="0099541E" w:rsidRDefault="00FB6CEB" w:rsidP="00FB6CEB">
      <w:pPr>
        <w:pStyle w:val="VBASubtitle2"/>
        <w:numPr>
          <w:ilvl w:val="0"/>
          <w:numId w:val="0"/>
        </w:numPr>
        <w:ind w:left="360"/>
        <w:rPr>
          <w:b w:val="0"/>
          <w:bCs w:val="0"/>
          <w:szCs w:val="22"/>
        </w:rPr>
      </w:pPr>
    </w:p>
    <w:p w14:paraId="2086BD50" w14:textId="77777777" w:rsidR="00FB6CEB" w:rsidRPr="0099541E" w:rsidRDefault="00FB6CEB" w:rsidP="00FB6CEB">
      <w:pPr>
        <w:pStyle w:val="VBASubtitle2"/>
        <w:numPr>
          <w:ilvl w:val="0"/>
          <w:numId w:val="0"/>
        </w:numPr>
        <w:ind w:left="360"/>
        <w:rPr>
          <w:b w:val="0"/>
          <w:bCs w:val="0"/>
          <w:szCs w:val="22"/>
        </w:rPr>
      </w:pPr>
      <w:r w:rsidRPr="0099541E">
        <w:rPr>
          <w:b w:val="0"/>
          <w:bCs w:val="0"/>
          <w:szCs w:val="22"/>
        </w:rPr>
        <w:t xml:space="preserve">RVSRs should not rate or partially rate any cases that have a claim for radiation exposure with one of the radiogenic diseases listed above.  These cases will be rated at the VA Regional Office in Jackson, MS.  The Jackson RO will assume responsibility for processing all claims pending at the time of transfer or received following transfer.  All issues will be resolved before the claims folder is returned to the regional office of jurisdiction (ROJ).  </w:t>
      </w:r>
    </w:p>
    <w:p w14:paraId="6C19580A" w14:textId="77777777" w:rsidR="00FB6CEB" w:rsidRPr="0099541E" w:rsidRDefault="00FB6CEB" w:rsidP="00FB6CEB">
      <w:pPr>
        <w:pStyle w:val="VBASubtitle2"/>
        <w:numPr>
          <w:ilvl w:val="0"/>
          <w:numId w:val="0"/>
        </w:numPr>
        <w:ind w:left="360"/>
        <w:rPr>
          <w:b w:val="0"/>
          <w:bCs w:val="0"/>
          <w:szCs w:val="22"/>
        </w:rPr>
      </w:pPr>
    </w:p>
    <w:p w14:paraId="23535765" w14:textId="77777777" w:rsidR="00FB6CEB" w:rsidRPr="0099541E" w:rsidRDefault="00FB6CEB" w:rsidP="00FB6CEB">
      <w:pPr>
        <w:pStyle w:val="VBASubtitle2"/>
        <w:numPr>
          <w:ilvl w:val="0"/>
          <w:numId w:val="0"/>
        </w:numPr>
        <w:ind w:left="360"/>
        <w:rPr>
          <w:b w:val="0"/>
          <w:bCs w:val="0"/>
          <w:szCs w:val="22"/>
        </w:rPr>
      </w:pPr>
      <w:r w:rsidRPr="0099541E">
        <w:rPr>
          <w:b w:val="0"/>
          <w:bCs w:val="0"/>
          <w:szCs w:val="22"/>
        </w:rPr>
        <w:t xml:space="preserve">Generally, these should be transferred before an RVSR receives it; therefore, it is a best practice to review the entire claim to make sure the veteran is not claiming radiation exposure with a radiogenic disease, as these cases are </w:t>
      </w:r>
      <w:r w:rsidRPr="0099541E">
        <w:rPr>
          <w:szCs w:val="22"/>
          <w:u w:val="single"/>
        </w:rPr>
        <w:t>only</w:t>
      </w:r>
      <w:r w:rsidRPr="0099541E">
        <w:rPr>
          <w:b w:val="0"/>
          <w:bCs w:val="0"/>
          <w:szCs w:val="22"/>
        </w:rPr>
        <w:t xml:space="preserve"> to be completed at the Jackson RO.</w:t>
      </w:r>
    </w:p>
    <w:p w14:paraId="4F4C7690" w14:textId="77777777" w:rsidR="00FB6CEB" w:rsidRPr="0099541E" w:rsidRDefault="00FB6CEB" w:rsidP="00FB6CEB">
      <w:pPr>
        <w:pStyle w:val="VBASubtitle2"/>
        <w:numPr>
          <w:ilvl w:val="0"/>
          <w:numId w:val="0"/>
        </w:numPr>
        <w:ind w:left="360"/>
        <w:rPr>
          <w:b w:val="0"/>
          <w:bCs w:val="0"/>
          <w:szCs w:val="22"/>
        </w:rPr>
      </w:pPr>
    </w:p>
    <w:p w14:paraId="436D46FB" w14:textId="77777777" w:rsidR="00FB6CEB" w:rsidRPr="0099541E" w:rsidRDefault="00FB6CEB" w:rsidP="00FB6CEB">
      <w:pPr>
        <w:pStyle w:val="VBASubtitle2"/>
        <w:numPr>
          <w:ilvl w:val="0"/>
          <w:numId w:val="0"/>
        </w:numPr>
        <w:ind w:left="360"/>
        <w:rPr>
          <w:b w:val="0"/>
          <w:szCs w:val="22"/>
        </w:rPr>
      </w:pPr>
      <w:r w:rsidRPr="0099541E">
        <w:rPr>
          <w:bCs w:val="0"/>
          <w:szCs w:val="22"/>
        </w:rPr>
        <w:t>Note:</w:t>
      </w:r>
      <w:r w:rsidRPr="0099541E">
        <w:rPr>
          <w:szCs w:val="22"/>
        </w:rPr>
        <w:t xml:space="preserve">  </w:t>
      </w:r>
      <w:r w:rsidRPr="0099541E">
        <w:rPr>
          <w:b w:val="0"/>
          <w:szCs w:val="22"/>
        </w:rPr>
        <w:t xml:space="preserve">M21-1 IV.ii.1.C.2.e states that we must have a diagnosis of a disease and the specific cell type and stage.  For example, if skin cancer is claimed due to radiation exposure, the VSR should ask the claimant to provide the type of cancer diagnosed, specific site of each lesion, date it was first diagnosed or treated and the name and address of a physician or facility who made the diagnosis or first treated the disease.  This information is needed </w:t>
      </w:r>
      <w:r w:rsidRPr="0099541E">
        <w:rPr>
          <w:b w:val="0"/>
          <w:szCs w:val="22"/>
          <w:u w:val="single"/>
        </w:rPr>
        <w:t xml:space="preserve">prior </w:t>
      </w:r>
      <w:r w:rsidRPr="0099541E">
        <w:rPr>
          <w:b w:val="0"/>
          <w:szCs w:val="22"/>
        </w:rPr>
        <w:t xml:space="preserve">to any claim being sent to the Jackson RO. </w:t>
      </w:r>
    </w:p>
    <w:p w14:paraId="5248EEC3" w14:textId="77777777" w:rsidR="00385D91" w:rsidRPr="0099541E" w:rsidRDefault="00385D91">
      <w:pPr>
        <w:pStyle w:val="VBASubHeading1"/>
        <w:spacing w:before="0"/>
        <w:rPr>
          <w:b/>
          <w:i w:val="0"/>
          <w:u w:val="single"/>
        </w:rPr>
      </w:pPr>
    </w:p>
    <w:p w14:paraId="52FC980A" w14:textId="77777777" w:rsidR="0004357B" w:rsidRPr="0099541E" w:rsidRDefault="0004357B">
      <w:pPr>
        <w:overflowPunct/>
        <w:autoSpaceDE/>
        <w:autoSpaceDN/>
        <w:adjustRightInd/>
        <w:spacing w:before="0"/>
        <w:rPr>
          <w:b/>
          <w:u w:val="single"/>
        </w:rPr>
      </w:pPr>
      <w:r w:rsidRPr="0099541E">
        <w:rPr>
          <w:b/>
          <w:i/>
          <w:u w:val="single"/>
        </w:rPr>
        <w:br w:type="page"/>
      </w:r>
    </w:p>
    <w:p w14:paraId="3F61925F" w14:textId="77777777" w:rsidR="008C3448" w:rsidRPr="0099541E" w:rsidRDefault="00D72DD6" w:rsidP="00E615E0">
      <w:pPr>
        <w:pStyle w:val="VBASubHeading1"/>
        <w:spacing w:before="0"/>
        <w:rPr>
          <w:b/>
          <w:i w:val="0"/>
          <w:u w:val="single"/>
        </w:rPr>
      </w:pPr>
      <w:r w:rsidRPr="0099541E">
        <w:rPr>
          <w:b/>
          <w:i w:val="0"/>
          <w:u w:val="single"/>
        </w:rPr>
        <w:lastRenderedPageBreak/>
        <w:t>38 C.F.R. 3.311 ~ Radiogenic Diseases</w:t>
      </w:r>
    </w:p>
    <w:p w14:paraId="1D391F14" w14:textId="77777777" w:rsidR="00E615E0" w:rsidRPr="0099541E" w:rsidRDefault="00E615E0" w:rsidP="00E615E0">
      <w:pPr>
        <w:pStyle w:val="VBASubHeading1"/>
        <w:spacing w:before="0"/>
        <w:rPr>
          <w:b/>
          <w:i w:val="0"/>
          <w:u w:val="single"/>
        </w:rPr>
      </w:pPr>
    </w:p>
    <w:p w14:paraId="336A1091" w14:textId="77777777" w:rsidR="008C3448" w:rsidRPr="0099541E" w:rsidRDefault="00303BC6" w:rsidP="00E615E0">
      <w:pPr>
        <w:tabs>
          <w:tab w:val="left" w:pos="576"/>
          <w:tab w:val="left" w:pos="1296"/>
          <w:tab w:val="left" w:pos="2016"/>
          <w:tab w:val="left" w:pos="4176"/>
        </w:tabs>
        <w:ind w:left="360"/>
        <w:rPr>
          <w:iCs/>
        </w:rPr>
      </w:pPr>
      <w:r w:rsidRPr="0099541E">
        <w:rPr>
          <w:iCs/>
        </w:rPr>
        <w:t>In 38 CFR 3.311</w:t>
      </w:r>
      <w:r w:rsidR="008C3448" w:rsidRPr="0099541E">
        <w:rPr>
          <w:iCs/>
        </w:rPr>
        <w:t xml:space="preserve"> radiogenic diseases are defined as a disease that may be induced by ionizing radiation and in</w:t>
      </w:r>
      <w:r w:rsidRPr="0099541E">
        <w:rPr>
          <w:iCs/>
        </w:rPr>
        <w:t>clude the following conditions:</w:t>
      </w:r>
    </w:p>
    <w:p w14:paraId="070A5D67" w14:textId="77777777" w:rsidR="008C3448" w:rsidRPr="0099541E" w:rsidRDefault="008C3448">
      <w:pPr>
        <w:pStyle w:val="VBASubHeading1"/>
        <w:spacing w:before="0"/>
        <w:rPr>
          <w:b/>
          <w:bCs/>
          <w:i w:val="0"/>
          <w:u w:val="single"/>
        </w:rPr>
      </w:pPr>
    </w:p>
    <w:p w14:paraId="33ADD9E9" w14:textId="77777777" w:rsidR="00D72DD6" w:rsidRPr="0099541E" w:rsidRDefault="00D72DD6" w:rsidP="00D72DD6">
      <w:pPr>
        <w:pStyle w:val="ListParagraph"/>
        <w:numPr>
          <w:ilvl w:val="0"/>
          <w:numId w:val="5"/>
        </w:numPr>
        <w:tabs>
          <w:tab w:val="left" w:pos="576"/>
          <w:tab w:val="left" w:pos="1296"/>
          <w:tab w:val="num" w:pos="1513"/>
          <w:tab w:val="left" w:pos="2016"/>
          <w:tab w:val="left" w:pos="4176"/>
        </w:tabs>
        <w:spacing w:before="0"/>
        <w:rPr>
          <w:iCs/>
        </w:rPr>
      </w:pPr>
      <w:r w:rsidRPr="0099541E">
        <w:rPr>
          <w:iCs/>
        </w:rPr>
        <w:t>All forms of leukemia except chronic lymphatic (lymphocytic) leukemia</w:t>
      </w:r>
    </w:p>
    <w:p w14:paraId="2F8DA0E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Thyroid cancer</w:t>
      </w:r>
    </w:p>
    <w:p w14:paraId="67628EEA"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Breast cancer</w:t>
      </w:r>
    </w:p>
    <w:p w14:paraId="4B118E69"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Lung cancer</w:t>
      </w:r>
    </w:p>
    <w:p w14:paraId="7B911F18"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Bone cancer</w:t>
      </w:r>
    </w:p>
    <w:p w14:paraId="0962CA7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Liver cancer</w:t>
      </w:r>
    </w:p>
    <w:p w14:paraId="2DFDFCB1"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Skin cancer</w:t>
      </w:r>
    </w:p>
    <w:p w14:paraId="03D3D464"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Esophageal cancer</w:t>
      </w:r>
    </w:p>
    <w:p w14:paraId="7087BBBE"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Stomach cancer</w:t>
      </w:r>
    </w:p>
    <w:p w14:paraId="223A69CD"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Colon cancer</w:t>
      </w:r>
    </w:p>
    <w:p w14:paraId="35F9A80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Pancreatic cancer</w:t>
      </w:r>
    </w:p>
    <w:p w14:paraId="45AFE41E"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Kidney cancer</w:t>
      </w:r>
    </w:p>
    <w:p w14:paraId="07CF28FF"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Urinary bladder cancer</w:t>
      </w:r>
    </w:p>
    <w:p w14:paraId="316466CD"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Salivary gland cancer</w:t>
      </w:r>
    </w:p>
    <w:p w14:paraId="73C887BB"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Multiple myeloma</w:t>
      </w:r>
    </w:p>
    <w:p w14:paraId="6F0C192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 xml:space="preserve">Posterior </w:t>
      </w:r>
      <w:proofErr w:type="spellStart"/>
      <w:r w:rsidRPr="0099541E">
        <w:rPr>
          <w:iCs/>
        </w:rPr>
        <w:t>subcapsular</w:t>
      </w:r>
      <w:proofErr w:type="spellEnd"/>
      <w:r w:rsidRPr="0099541E">
        <w:rPr>
          <w:iCs/>
        </w:rPr>
        <w:t xml:space="preserve"> cataracts</w:t>
      </w:r>
    </w:p>
    <w:p w14:paraId="3E2DCFB3"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Non-malignant thyroid nodular disease</w:t>
      </w:r>
    </w:p>
    <w:p w14:paraId="7E85DA78"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Ovarian cancer</w:t>
      </w:r>
    </w:p>
    <w:p w14:paraId="701B22A1"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Parathyroid adenoma</w:t>
      </w:r>
    </w:p>
    <w:p w14:paraId="5C0C7033"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Tumors of the brain and central nervous system</w:t>
      </w:r>
    </w:p>
    <w:p w14:paraId="64393C2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Cancer of the rectum</w:t>
      </w:r>
    </w:p>
    <w:p w14:paraId="02C58607"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Lymphomas other than Hodgkin’s disease</w:t>
      </w:r>
    </w:p>
    <w:p w14:paraId="6EB3768F"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Prostate cancer</w:t>
      </w:r>
    </w:p>
    <w:p w14:paraId="75D838BF" w14:textId="77777777" w:rsidR="00D72DD6" w:rsidRPr="0099541E" w:rsidRDefault="00D72DD6" w:rsidP="00D72DD6">
      <w:pPr>
        <w:pStyle w:val="ListParagraph"/>
        <w:numPr>
          <w:ilvl w:val="0"/>
          <w:numId w:val="5"/>
        </w:numPr>
        <w:tabs>
          <w:tab w:val="left" w:pos="576"/>
          <w:tab w:val="left" w:pos="1513"/>
          <w:tab w:val="left" w:pos="2016"/>
          <w:tab w:val="left" w:pos="4176"/>
        </w:tabs>
        <w:spacing w:before="0"/>
        <w:rPr>
          <w:iCs/>
        </w:rPr>
      </w:pPr>
      <w:r w:rsidRPr="0099541E">
        <w:rPr>
          <w:iCs/>
        </w:rPr>
        <w:t>Any other cancer</w:t>
      </w:r>
    </w:p>
    <w:p w14:paraId="0305DE6B" w14:textId="77777777" w:rsidR="007A5600" w:rsidRPr="0099541E" w:rsidRDefault="007A5600"/>
    <w:p w14:paraId="1332590F" w14:textId="77777777" w:rsidR="0004357B" w:rsidRPr="0099541E" w:rsidRDefault="0004357B">
      <w:pPr>
        <w:overflowPunct/>
        <w:autoSpaceDE/>
        <w:autoSpaceDN/>
        <w:adjustRightInd/>
        <w:spacing w:before="0"/>
        <w:rPr>
          <w:b/>
          <w:u w:val="single"/>
        </w:rPr>
      </w:pPr>
      <w:r w:rsidRPr="0099541E">
        <w:rPr>
          <w:b/>
          <w:u w:val="single"/>
        </w:rPr>
        <w:br w:type="page"/>
      </w:r>
    </w:p>
    <w:p w14:paraId="0D8F520C" w14:textId="77777777" w:rsidR="007A5600" w:rsidRPr="0099541E" w:rsidRDefault="007742F8">
      <w:pPr>
        <w:rPr>
          <w:b/>
          <w:u w:val="single"/>
        </w:rPr>
      </w:pPr>
      <w:r w:rsidRPr="0099541E">
        <w:rPr>
          <w:b/>
          <w:u w:val="single"/>
        </w:rPr>
        <w:lastRenderedPageBreak/>
        <w:t>Court cases pertinent to radiation claims</w:t>
      </w:r>
    </w:p>
    <w:p w14:paraId="4E4B4650" w14:textId="77777777" w:rsidR="007A5600" w:rsidRPr="0099541E" w:rsidRDefault="007A5600"/>
    <w:p w14:paraId="38D54E7E" w14:textId="77777777" w:rsidR="00303BC6" w:rsidRPr="0099541E" w:rsidRDefault="00303BC6" w:rsidP="00303BC6">
      <w:pPr>
        <w:pStyle w:val="VBASubtitle2"/>
        <w:rPr>
          <w:b w:val="0"/>
          <w:bCs w:val="0"/>
        </w:rPr>
      </w:pPr>
      <w:r w:rsidRPr="0099541E">
        <w:rPr>
          <w:i/>
          <w:iCs/>
        </w:rPr>
        <w:t xml:space="preserve">Hardin v. West </w:t>
      </w:r>
      <w:r w:rsidRPr="0099541E">
        <w:t>(1998</w:t>
      </w:r>
      <w:r w:rsidRPr="0099541E">
        <w:rPr>
          <w:b w:val="0"/>
          <w:bCs w:val="0"/>
        </w:rPr>
        <w:t xml:space="preserve">) – The Court, citing </w:t>
      </w:r>
      <w:proofErr w:type="spellStart"/>
      <w:r w:rsidRPr="0099541E">
        <w:rPr>
          <w:b w:val="0"/>
          <w:bCs w:val="0"/>
          <w:i/>
          <w:iCs/>
        </w:rPr>
        <w:t>Combee</w:t>
      </w:r>
      <w:proofErr w:type="spellEnd"/>
      <w:r w:rsidRPr="0099541E">
        <w:rPr>
          <w:b w:val="0"/>
          <w:bCs w:val="0"/>
          <w:i/>
          <w:iCs/>
        </w:rPr>
        <w:t xml:space="preserve"> v. Brown</w:t>
      </w:r>
      <w:r w:rsidRPr="0099541E">
        <w:rPr>
          <w:b w:val="0"/>
          <w:bCs w:val="0"/>
        </w:rPr>
        <w:t xml:space="preserve">, reaffirmed the principle that service connection for an unlisted condition could be pursued under the general VA compensation entitlement system.  In vacating and remanding the Board’s decision that denied service connection for four conditions, none of which was subject to presumptive service connection on a radiation basis pursuant to 38 U.S.C. 1112(c) and 38 C.F.R. 3.309 (d), or deemed “radiogenic” diseases pursuant to 38 C.F.R. 3.311, the court held that claimants are still entitled to assert service connection on a direct basis under 38 C.F.R. 3.303 (d).  The Court also observed that, in light of </w:t>
      </w:r>
      <w:proofErr w:type="spellStart"/>
      <w:r w:rsidRPr="0099541E">
        <w:rPr>
          <w:b w:val="0"/>
          <w:bCs w:val="0"/>
          <w:i/>
          <w:iCs/>
        </w:rPr>
        <w:t>Combee</w:t>
      </w:r>
      <w:proofErr w:type="spellEnd"/>
      <w:r w:rsidRPr="0099541E">
        <w:rPr>
          <w:b w:val="0"/>
          <w:bCs w:val="0"/>
          <w:i/>
          <w:iCs/>
        </w:rPr>
        <w:t xml:space="preserve"> v. Brown</w:t>
      </w:r>
      <w:r w:rsidRPr="0099541E">
        <w:rPr>
          <w:b w:val="0"/>
          <w:bCs w:val="0"/>
        </w:rPr>
        <w:t>, VA amended 38 C.F.R. 3.311 to add subparagraph (b</w:t>
      </w:r>
      <w:proofErr w:type="gramStart"/>
      <w:r w:rsidRPr="0099541E">
        <w:rPr>
          <w:b w:val="0"/>
          <w:bCs w:val="0"/>
        </w:rPr>
        <w:t>)(</w:t>
      </w:r>
      <w:proofErr w:type="gramEnd"/>
      <w:r w:rsidRPr="0099541E">
        <w:rPr>
          <w:b w:val="0"/>
          <w:bCs w:val="0"/>
        </w:rPr>
        <w:t>4).  In addition, VA deleted 38 C.F.R. 3.311 (h), which had provided that the list of diseases at 3.311 (b</w:t>
      </w:r>
      <w:proofErr w:type="gramStart"/>
      <w:r w:rsidRPr="0099541E">
        <w:rPr>
          <w:b w:val="0"/>
          <w:bCs w:val="0"/>
        </w:rPr>
        <w:t>)(</w:t>
      </w:r>
      <w:proofErr w:type="gramEnd"/>
      <w:r w:rsidRPr="0099541E">
        <w:rPr>
          <w:b w:val="0"/>
          <w:bCs w:val="0"/>
        </w:rPr>
        <w:t xml:space="preserve">2) was exclusive, and redefined the term “radiogenic disease” as a disease that may be induced by ionizing radiation. </w:t>
      </w:r>
    </w:p>
    <w:p w14:paraId="6A311309" w14:textId="77777777" w:rsidR="00303BC6" w:rsidRPr="0099541E" w:rsidRDefault="00303BC6" w:rsidP="00303BC6">
      <w:pPr>
        <w:pStyle w:val="VBASubtitle2"/>
        <w:numPr>
          <w:ilvl w:val="0"/>
          <w:numId w:val="0"/>
        </w:numPr>
        <w:ind w:left="360"/>
        <w:rPr>
          <w:b w:val="0"/>
          <w:bCs w:val="0"/>
        </w:rPr>
      </w:pPr>
    </w:p>
    <w:p w14:paraId="77B4233F" w14:textId="77777777" w:rsidR="00303BC6" w:rsidRPr="0099541E" w:rsidRDefault="00303BC6" w:rsidP="00303BC6">
      <w:pPr>
        <w:pStyle w:val="VBASubtitle2"/>
        <w:rPr>
          <w:b w:val="0"/>
          <w:bCs w:val="0"/>
        </w:rPr>
      </w:pPr>
      <w:r w:rsidRPr="0099541E">
        <w:rPr>
          <w:i/>
          <w:iCs/>
        </w:rPr>
        <w:t>Earle v. Brown</w:t>
      </w:r>
      <w:r w:rsidRPr="0099541E">
        <w:t xml:space="preserve"> (1994)</w:t>
      </w:r>
      <w:r w:rsidRPr="0099541E">
        <w:rPr>
          <w:b w:val="0"/>
          <w:bCs w:val="0"/>
        </w:rPr>
        <w:t xml:space="preserve"> – The Court held that VA could not rely solely upon the DNA’s (Defense Nuclear Agency) dose estimate as to the veteran’s exposure to ionizing radiation.  The Court instructed that the dose estimate of radiation exposure is only one piece of evidence that is considered.</w:t>
      </w:r>
    </w:p>
    <w:p w14:paraId="54B92611" w14:textId="77777777" w:rsidR="00303BC6" w:rsidRPr="0099541E" w:rsidRDefault="00303BC6" w:rsidP="00303BC6">
      <w:pPr>
        <w:pStyle w:val="VBASubtitle2"/>
        <w:numPr>
          <w:ilvl w:val="0"/>
          <w:numId w:val="0"/>
        </w:numPr>
        <w:rPr>
          <w:b w:val="0"/>
          <w:bCs w:val="0"/>
        </w:rPr>
      </w:pPr>
    </w:p>
    <w:p w14:paraId="5DF62F85" w14:textId="77777777" w:rsidR="00303BC6" w:rsidRPr="0099541E" w:rsidRDefault="00303BC6" w:rsidP="00303BC6">
      <w:pPr>
        <w:pStyle w:val="VBASubtitle2"/>
        <w:rPr>
          <w:b w:val="0"/>
          <w:bCs w:val="0"/>
        </w:rPr>
      </w:pPr>
      <w:proofErr w:type="spellStart"/>
      <w:r w:rsidRPr="0099541E">
        <w:rPr>
          <w:i/>
          <w:iCs/>
        </w:rPr>
        <w:t>Hilkert</w:t>
      </w:r>
      <w:proofErr w:type="spellEnd"/>
      <w:r w:rsidRPr="0099541E">
        <w:rPr>
          <w:i/>
          <w:iCs/>
        </w:rPr>
        <w:t xml:space="preserve"> v. West</w:t>
      </w:r>
      <w:r w:rsidRPr="0099541E">
        <w:t xml:space="preserve"> (1999)</w:t>
      </w:r>
      <w:r w:rsidRPr="0099541E">
        <w:rPr>
          <w:b w:val="0"/>
          <w:bCs w:val="0"/>
        </w:rPr>
        <w:t xml:space="preserve"> – The appellant submitted evidence that the veteran had a radiogenic disease and claimed that the veteran’s exposure to radiation in service had caused the disease.  A dose estimate was performed by DNA that confirmed that the veteran had been exposed to ionizing radiation during service.  The matter was then referred to the Director of Compensation and Pension, who acted on behalf of the Under Secretary for Benefits.   The Director requested an advisory opinion from the Under Secretary for Health.  On behalf of the Under Secretary for Health, a physician concluded that there was no reasonable possibility that the veteran’s colon cancer resulted from his exposure to ionizing radiation during service.  In doing so, the physician did not specifically discuss each of the six factors listed in 38 C.F.R. 3.311.  The Court held that a discussion by the Under Secretary for Benefits of all the factors listed in subparagraph (e) is not required if the Under Secretary for Benefits recommends that there is no reasonable possibility that the veteran’s disease resulted from radiation exposure during service.  This holding vacated the 1998 decision of the Court in </w:t>
      </w:r>
      <w:proofErr w:type="spellStart"/>
      <w:r w:rsidRPr="0099541E">
        <w:rPr>
          <w:b w:val="0"/>
          <w:bCs w:val="0"/>
          <w:i/>
          <w:iCs/>
        </w:rPr>
        <w:t>Hilkert</w:t>
      </w:r>
      <w:proofErr w:type="spellEnd"/>
      <w:r w:rsidRPr="0099541E">
        <w:rPr>
          <w:b w:val="0"/>
          <w:bCs w:val="0"/>
          <w:i/>
          <w:iCs/>
        </w:rPr>
        <w:t xml:space="preserve"> v. West (I).</w:t>
      </w:r>
    </w:p>
    <w:p w14:paraId="4889D6E2" w14:textId="77777777" w:rsidR="00303BC6" w:rsidRPr="0099541E" w:rsidRDefault="00303BC6" w:rsidP="00303BC6">
      <w:pPr>
        <w:pStyle w:val="VBASubtitle2"/>
        <w:numPr>
          <w:ilvl w:val="0"/>
          <w:numId w:val="0"/>
        </w:numPr>
        <w:ind w:left="360"/>
        <w:rPr>
          <w:b w:val="0"/>
          <w:bCs w:val="0"/>
        </w:rPr>
      </w:pPr>
    </w:p>
    <w:p w14:paraId="6B058693" w14:textId="77777777" w:rsidR="00303BC6" w:rsidRPr="0099541E" w:rsidRDefault="00303BC6" w:rsidP="00303BC6">
      <w:pPr>
        <w:pStyle w:val="VBASubtitle2"/>
        <w:rPr>
          <w:b w:val="0"/>
          <w:bCs w:val="0"/>
        </w:rPr>
      </w:pPr>
      <w:r w:rsidRPr="0099541E">
        <w:rPr>
          <w:i/>
          <w:iCs/>
        </w:rPr>
        <w:t xml:space="preserve">Stone v </w:t>
      </w:r>
      <w:proofErr w:type="spellStart"/>
      <w:r w:rsidRPr="0099541E">
        <w:rPr>
          <w:i/>
          <w:iCs/>
        </w:rPr>
        <w:t>Gober</w:t>
      </w:r>
      <w:proofErr w:type="spellEnd"/>
      <w:r w:rsidRPr="0099541E">
        <w:t xml:space="preserve"> (2000)</w:t>
      </w:r>
      <w:r w:rsidRPr="0099541E">
        <w:rPr>
          <w:b w:val="0"/>
          <w:bCs w:val="0"/>
        </w:rPr>
        <w:t xml:space="preserve"> – The Court reiterated that, although the Under Secretary for Benefits was not required to explicitly consider each of the factors listed in 38 C.F.R. 3.311, the medical opinion must set forth an adequate rationale for its conclusion.</w:t>
      </w:r>
    </w:p>
    <w:p w14:paraId="4E089383" w14:textId="77777777" w:rsidR="00303BC6" w:rsidRPr="0099541E" w:rsidRDefault="00303BC6" w:rsidP="00303BC6">
      <w:pPr>
        <w:pStyle w:val="VBASubtitle2"/>
        <w:numPr>
          <w:ilvl w:val="0"/>
          <w:numId w:val="0"/>
        </w:numPr>
        <w:rPr>
          <w:b w:val="0"/>
          <w:bCs w:val="0"/>
        </w:rPr>
      </w:pPr>
    </w:p>
    <w:p w14:paraId="3A0FE7D3" w14:textId="77777777" w:rsidR="00303BC6" w:rsidRPr="0099541E" w:rsidRDefault="00303BC6" w:rsidP="00303BC6">
      <w:pPr>
        <w:pStyle w:val="VBASubtitle2"/>
        <w:rPr>
          <w:b w:val="0"/>
          <w:bCs w:val="0"/>
        </w:rPr>
      </w:pPr>
      <w:r w:rsidRPr="0099541E">
        <w:rPr>
          <w:i/>
          <w:iCs/>
        </w:rPr>
        <w:t>Ramey v. Brown</w:t>
      </w:r>
      <w:r w:rsidRPr="0099541E">
        <w:t xml:space="preserve"> (1996</w:t>
      </w:r>
      <w:r w:rsidRPr="0099541E">
        <w:rPr>
          <w:b w:val="0"/>
          <w:bCs w:val="0"/>
        </w:rPr>
        <w:t>) – The Court affirmed the denial of service connection for a cancer listed in 38 U.S.C. 1112 (c) on the ground that a cancer that metastasizes from a primary site that is not listed in 38 C.F.R. 3.309 (d) does not warrant consideration on the basis of presumptive service connection due to exposure to ionizing radiation.</w:t>
      </w:r>
    </w:p>
    <w:p w14:paraId="0F3D5E53" w14:textId="77777777" w:rsidR="00303BC6" w:rsidRPr="0099541E" w:rsidRDefault="00303BC6" w:rsidP="00303BC6">
      <w:pPr>
        <w:pStyle w:val="VBASubtitle2"/>
        <w:numPr>
          <w:ilvl w:val="0"/>
          <w:numId w:val="0"/>
        </w:numPr>
        <w:rPr>
          <w:b w:val="0"/>
          <w:bCs w:val="0"/>
        </w:rPr>
      </w:pPr>
    </w:p>
    <w:p w14:paraId="652B042A" w14:textId="77777777" w:rsidR="0009302D" w:rsidRDefault="0009302D">
      <w:pPr>
        <w:overflowPunct/>
        <w:autoSpaceDE/>
        <w:autoSpaceDN/>
        <w:adjustRightInd/>
        <w:spacing w:before="0"/>
        <w:rPr>
          <w:b/>
          <w:bCs/>
          <w:i/>
          <w:iCs/>
          <w:szCs w:val="24"/>
        </w:rPr>
      </w:pPr>
      <w:r>
        <w:rPr>
          <w:i/>
          <w:iCs/>
        </w:rPr>
        <w:br w:type="page"/>
      </w:r>
    </w:p>
    <w:p w14:paraId="4058535E" w14:textId="78B22464" w:rsidR="00303BC6" w:rsidRPr="0099541E" w:rsidRDefault="00303BC6" w:rsidP="00303BC6">
      <w:pPr>
        <w:pStyle w:val="VBASubtitle2"/>
        <w:rPr>
          <w:b w:val="0"/>
          <w:bCs w:val="0"/>
        </w:rPr>
      </w:pPr>
      <w:r w:rsidRPr="0099541E">
        <w:rPr>
          <w:i/>
          <w:iCs/>
        </w:rPr>
        <w:lastRenderedPageBreak/>
        <w:t xml:space="preserve">Ramey v. </w:t>
      </w:r>
      <w:proofErr w:type="spellStart"/>
      <w:r w:rsidRPr="0099541E">
        <w:rPr>
          <w:i/>
          <w:iCs/>
        </w:rPr>
        <w:t>Gober</w:t>
      </w:r>
      <w:proofErr w:type="spellEnd"/>
      <w:r w:rsidRPr="0099541E">
        <w:t xml:space="preserve"> (1997)</w:t>
      </w:r>
      <w:r w:rsidRPr="0099541E">
        <w:rPr>
          <w:b w:val="0"/>
          <w:bCs w:val="0"/>
        </w:rPr>
        <w:t xml:space="preserve"> – The veteran died as a result of colon cancer that metastasized to his liver.  The appellant argued that, because colon cancer is listed as a radiogenic disease in 38 C.F.R. 3.311, and in light of the finding that the veteran was exposed to radiation during his period of active duty, service connection on a presumptive basis was warranted.  The Federal Circuit held that 38 C.F.R. 3.311 did not create, expressly or implicitly, a presumption of service connection for radiation-exposed veterans who contracted one of the radiogenic diseases listed in the regulation.  The Federal Circuit explained that the regulation simply outlined a framework for adjudicating, on a case-by-case basis, claims brought by radiation-exposed veterans and their survivors. </w:t>
      </w:r>
    </w:p>
    <w:p w14:paraId="1783265A" w14:textId="77777777" w:rsidR="00303BC6" w:rsidRPr="0099541E" w:rsidRDefault="00303BC6" w:rsidP="00303BC6">
      <w:pPr>
        <w:pStyle w:val="VBASubtitle2"/>
        <w:numPr>
          <w:ilvl w:val="0"/>
          <w:numId w:val="0"/>
        </w:numPr>
        <w:rPr>
          <w:b w:val="0"/>
          <w:bCs w:val="0"/>
        </w:rPr>
      </w:pPr>
    </w:p>
    <w:p w14:paraId="1D62FF13" w14:textId="77777777" w:rsidR="00303BC6" w:rsidRPr="0099541E" w:rsidRDefault="00303BC6" w:rsidP="00303BC6">
      <w:pPr>
        <w:pStyle w:val="VBASubtitle2"/>
        <w:rPr>
          <w:b w:val="0"/>
          <w:bCs w:val="0"/>
        </w:rPr>
      </w:pPr>
      <w:r w:rsidRPr="0099541E">
        <w:rPr>
          <w:i/>
          <w:iCs/>
        </w:rPr>
        <w:t>McGuire v. West</w:t>
      </w:r>
      <w:r w:rsidRPr="0099541E">
        <w:t xml:space="preserve"> (1998</w:t>
      </w:r>
      <w:r w:rsidRPr="0099541E">
        <w:rPr>
          <w:b w:val="0"/>
          <w:bCs w:val="0"/>
        </w:rPr>
        <w:t>) – The veteran asserted a claim of service connection for esophageal and stomach cancers, each of which is presumptively service connected under 38 C.F.R. 3.309 (d).  The Court held, as a matter of law, that a veteran who visited Hiroshima or Nagasaki, Japan, while on leave from duty not related to the occupation of either city, did not participate in the occupation of those cities as the term is defined by statute or by regulation.  Therefore, the Court affirmed the Board’s denial, on the merits, of the veteran’s claim for service connection for these cancers.</w:t>
      </w:r>
    </w:p>
    <w:p w14:paraId="79E02E1A" w14:textId="77777777" w:rsidR="00303BC6" w:rsidRPr="0099541E" w:rsidRDefault="00303BC6" w:rsidP="00303BC6">
      <w:pPr>
        <w:pStyle w:val="VBASubtitle2"/>
        <w:numPr>
          <w:ilvl w:val="0"/>
          <w:numId w:val="0"/>
        </w:numPr>
        <w:rPr>
          <w:b w:val="0"/>
          <w:bCs w:val="0"/>
        </w:rPr>
      </w:pPr>
    </w:p>
    <w:p w14:paraId="2855901C" w14:textId="77777777" w:rsidR="007A5600" w:rsidRPr="0099541E" w:rsidRDefault="00303BC6" w:rsidP="000E194C">
      <w:pPr>
        <w:pStyle w:val="VBASubtitle2"/>
        <w:rPr>
          <w:b w:val="0"/>
          <w:bCs w:val="0"/>
        </w:rPr>
      </w:pPr>
      <w:r w:rsidRPr="0099541E">
        <w:rPr>
          <w:i/>
          <w:iCs/>
        </w:rPr>
        <w:t>Rucker v. Brown</w:t>
      </w:r>
      <w:r w:rsidRPr="0099541E">
        <w:t xml:space="preserve"> (1997)</w:t>
      </w:r>
      <w:r w:rsidRPr="0099541E">
        <w:rPr>
          <w:b w:val="0"/>
          <w:bCs w:val="0"/>
        </w:rPr>
        <w:t xml:space="preserve"> – The veteran asserted claims of service connection for four cancers on the basis that they were due to his in-service exposure to radiation.  None of the cancers was subject to presumptive service connection under 38 C.F.R. 3.309 (d), but three of the four were radiogenic diseases under 38 C.F.R. 3.311 (prostate cancer, along with all other cancers, has since been added to the list of radiogenic diseases effective September 24, 1998).  The Court held that, based on DNA’s response that the veteran had no risk of exposure to ionizing radiation from bombs dropped in Hiroshima or Nagasaki, Japan, his claims of service connection due to exposure to such radiation were properly denied.  The Court, however, vacated and remanded the Board’s decision as to these claims of service connection due to his exposure to non-ionizing radiation.  The veteran asserted that the four cancers were caused by non-ionizing radiation that emanated from naval radar equipment that he operated while on active duty.  In support, the veteran submitted scientific evidence in the form of several articles that documented the uncertainty and controversy surrounding microwave (non-ionizing radiation) radiation.  The Court stated that the scientific articles had been tested and subjected to </w:t>
      </w:r>
      <w:proofErr w:type="gramStart"/>
      <w:r w:rsidRPr="0099541E">
        <w:rPr>
          <w:b w:val="0"/>
          <w:bCs w:val="0"/>
        </w:rPr>
        <w:t>peer</w:t>
      </w:r>
      <w:proofErr w:type="gramEnd"/>
      <w:r w:rsidRPr="0099541E">
        <w:rPr>
          <w:b w:val="0"/>
          <w:bCs w:val="0"/>
        </w:rPr>
        <w:t xml:space="preserve"> review.  The Court concluded that the articles were sufficient to well-ground the veteran’s claim under the latter theory, when taken together with the medical opinion from the veteran’s doctor indicating that non-ionizing radiation emitted from radar equipment led to the development of the four cancers.  Note – since 38 C.F.R. 3.311 deals with claims based on exposure to ionizing radiation only, this claim should be considered only under 38 C.F.R. 3.303 (d). </w:t>
      </w:r>
    </w:p>
    <w:p w14:paraId="680E1154" w14:textId="77777777" w:rsidR="008339F4" w:rsidRPr="0099541E" w:rsidRDefault="008339F4">
      <w:pPr>
        <w:overflowPunct/>
        <w:autoSpaceDE/>
        <w:autoSpaceDN/>
        <w:adjustRightInd/>
        <w:spacing w:before="0"/>
      </w:pPr>
      <w:r w:rsidRPr="0099541E">
        <w:br w:type="page"/>
      </w:r>
    </w:p>
    <w:p w14:paraId="55B9830C" w14:textId="77777777" w:rsidR="00934E4B" w:rsidRPr="0099541E" w:rsidRDefault="00934E4B" w:rsidP="00934E4B">
      <w:pPr>
        <w:pStyle w:val="VBATopicHeading1"/>
        <w:rPr>
          <w:rFonts w:ascii="Times New Roman" w:hAnsi="Times New Roman"/>
        </w:rPr>
      </w:pPr>
      <w:bookmarkStart w:id="9" w:name="_Toc438477424"/>
      <w:r w:rsidRPr="0099541E">
        <w:rPr>
          <w:rFonts w:ascii="Times New Roman" w:hAnsi="Times New Roman"/>
        </w:rPr>
        <w:lastRenderedPageBreak/>
        <w:t>Topic 1 Exercise</w:t>
      </w:r>
      <w:bookmarkEnd w:id="9"/>
    </w:p>
    <w:p w14:paraId="48E557A6" w14:textId="77777777" w:rsidR="00934E4B" w:rsidRPr="0099541E" w:rsidRDefault="00934E4B" w:rsidP="00934E4B">
      <w:pPr>
        <w:jc w:val="center"/>
      </w:pPr>
    </w:p>
    <w:p w14:paraId="2160518D" w14:textId="77777777" w:rsidR="00934E4B" w:rsidRPr="0099541E" w:rsidRDefault="00934E4B" w:rsidP="00934E4B">
      <w:pPr>
        <w:pStyle w:val="VBAbodytext"/>
        <w:rPr>
          <w:i/>
          <w:iCs/>
          <w:szCs w:val="22"/>
        </w:rPr>
      </w:pPr>
      <w:r w:rsidRPr="0099541E">
        <w:rPr>
          <w:i/>
          <w:iCs/>
          <w:szCs w:val="22"/>
        </w:rPr>
        <w:t>A review is a tool used to judge the level of knowledge the group has acquired as a result of the training.  It is not used for individual evaluation.</w:t>
      </w:r>
    </w:p>
    <w:p w14:paraId="07254453" w14:textId="77777777" w:rsidR="00934E4B" w:rsidRPr="0099541E" w:rsidRDefault="00934E4B" w:rsidP="00934E4B">
      <w:pPr>
        <w:pStyle w:val="VBAbodytext"/>
        <w:jc w:val="center"/>
      </w:pPr>
    </w:p>
    <w:p w14:paraId="3BBADD2C" w14:textId="77777777" w:rsidR="00934E4B" w:rsidRPr="0099541E" w:rsidRDefault="00934E4B" w:rsidP="00934E4B">
      <w:pPr>
        <w:pStyle w:val="VBAbodytext"/>
        <w:numPr>
          <w:ilvl w:val="0"/>
          <w:numId w:val="7"/>
        </w:numPr>
        <w:spacing w:before="0" w:after="0"/>
        <w:textAlignment w:val="baseline"/>
      </w:pPr>
      <w:r w:rsidRPr="0099541E">
        <w:t>Name five radiogenic diseases.</w:t>
      </w:r>
      <w:r w:rsidRPr="0099541E">
        <w:rPr>
          <w:b/>
          <w:bCs/>
        </w:rPr>
        <w:t xml:space="preserve">  </w:t>
      </w:r>
    </w:p>
    <w:p w14:paraId="0AC3C398" w14:textId="77777777" w:rsidR="00934E4B" w:rsidRPr="0099541E" w:rsidRDefault="00934E4B" w:rsidP="00934E4B">
      <w:pPr>
        <w:pStyle w:val="VBAbodytext"/>
        <w:spacing w:before="0" w:after="0"/>
      </w:pPr>
    </w:p>
    <w:p w14:paraId="13335332" w14:textId="77777777" w:rsidR="00934E4B" w:rsidRPr="0099541E" w:rsidRDefault="00934E4B" w:rsidP="00934E4B">
      <w:pPr>
        <w:pStyle w:val="VBAbodytext"/>
        <w:spacing w:before="0" w:after="0"/>
      </w:pPr>
    </w:p>
    <w:p w14:paraId="330B68C0" w14:textId="77777777" w:rsidR="00934E4B" w:rsidRPr="0099541E" w:rsidRDefault="00934E4B" w:rsidP="00934E4B">
      <w:pPr>
        <w:pStyle w:val="VBAbodytext"/>
        <w:spacing w:before="0" w:after="0"/>
      </w:pPr>
    </w:p>
    <w:p w14:paraId="57BE6172" w14:textId="77777777" w:rsidR="00934E4B" w:rsidRPr="0099541E" w:rsidRDefault="00934E4B" w:rsidP="00934E4B">
      <w:pPr>
        <w:pStyle w:val="VBASubtitle2"/>
        <w:numPr>
          <w:ilvl w:val="0"/>
          <w:numId w:val="7"/>
        </w:numPr>
      </w:pPr>
      <w:r w:rsidRPr="0099541E">
        <w:rPr>
          <w:b w:val="0"/>
          <w:bCs w:val="0"/>
        </w:rPr>
        <w:t xml:space="preserve">What did </w:t>
      </w:r>
      <w:proofErr w:type="spellStart"/>
      <w:r w:rsidRPr="0099541E">
        <w:rPr>
          <w:b w:val="0"/>
          <w:bCs w:val="0"/>
          <w:i/>
          <w:iCs/>
        </w:rPr>
        <w:t>Combee</w:t>
      </w:r>
      <w:proofErr w:type="spellEnd"/>
      <w:r w:rsidRPr="0099541E">
        <w:rPr>
          <w:b w:val="0"/>
          <w:bCs w:val="0"/>
          <w:i/>
          <w:iCs/>
        </w:rPr>
        <w:t xml:space="preserve"> v. Brown</w:t>
      </w:r>
      <w:r w:rsidRPr="0099541E">
        <w:rPr>
          <w:b w:val="0"/>
          <w:bCs w:val="0"/>
        </w:rPr>
        <w:t xml:space="preserve"> establish?</w:t>
      </w:r>
      <w:r w:rsidRPr="0099541E">
        <w:t xml:space="preserve">  </w:t>
      </w:r>
    </w:p>
    <w:p w14:paraId="3DAD2822" w14:textId="77777777" w:rsidR="00934E4B" w:rsidRPr="0099541E" w:rsidRDefault="00934E4B" w:rsidP="00934E4B">
      <w:pPr>
        <w:pStyle w:val="VBASubtitle2"/>
        <w:numPr>
          <w:ilvl w:val="0"/>
          <w:numId w:val="0"/>
        </w:numPr>
        <w:ind w:left="360"/>
        <w:rPr>
          <w:b w:val="0"/>
          <w:bCs w:val="0"/>
        </w:rPr>
      </w:pPr>
    </w:p>
    <w:p w14:paraId="36E97266" w14:textId="77777777" w:rsidR="00934E4B" w:rsidRPr="0099541E" w:rsidRDefault="00934E4B" w:rsidP="00934E4B">
      <w:pPr>
        <w:pStyle w:val="VBASubtitle2"/>
        <w:numPr>
          <w:ilvl w:val="0"/>
          <w:numId w:val="0"/>
        </w:numPr>
        <w:ind w:left="360"/>
        <w:rPr>
          <w:b w:val="0"/>
          <w:bCs w:val="0"/>
        </w:rPr>
      </w:pPr>
    </w:p>
    <w:p w14:paraId="34D688EC" w14:textId="77777777" w:rsidR="00934E4B" w:rsidRPr="0099541E" w:rsidRDefault="00934E4B" w:rsidP="00934E4B">
      <w:pPr>
        <w:pStyle w:val="VBASubtitle2"/>
        <w:numPr>
          <w:ilvl w:val="0"/>
          <w:numId w:val="0"/>
        </w:numPr>
        <w:tabs>
          <w:tab w:val="left" w:pos="2378"/>
        </w:tabs>
      </w:pPr>
    </w:p>
    <w:p w14:paraId="254FA5B8" w14:textId="77777777" w:rsidR="00934E4B" w:rsidRPr="0099541E" w:rsidRDefault="00934E4B" w:rsidP="00934E4B">
      <w:pPr>
        <w:pStyle w:val="VBASubtitle2"/>
        <w:numPr>
          <w:ilvl w:val="0"/>
          <w:numId w:val="7"/>
        </w:numPr>
        <w:rPr>
          <w:b w:val="0"/>
          <w:bCs w:val="0"/>
        </w:rPr>
      </w:pPr>
      <w:r w:rsidRPr="0099541E">
        <w:rPr>
          <w:b w:val="0"/>
          <w:bCs w:val="0"/>
        </w:rPr>
        <w:t>What is the definition of a radiation exposed veteran?</w:t>
      </w:r>
      <w:r w:rsidRPr="0099541E">
        <w:t xml:space="preserve">  </w:t>
      </w:r>
    </w:p>
    <w:p w14:paraId="7B955177" w14:textId="77777777" w:rsidR="00934E4B" w:rsidRPr="0099541E" w:rsidRDefault="00934E4B" w:rsidP="00934E4B">
      <w:pPr>
        <w:pStyle w:val="VBASubtitle2"/>
        <w:numPr>
          <w:ilvl w:val="0"/>
          <w:numId w:val="0"/>
        </w:numPr>
        <w:rPr>
          <w:b w:val="0"/>
          <w:bCs w:val="0"/>
        </w:rPr>
      </w:pPr>
    </w:p>
    <w:p w14:paraId="2A634954" w14:textId="77777777" w:rsidR="00934E4B" w:rsidRPr="0099541E" w:rsidRDefault="00934E4B" w:rsidP="00934E4B">
      <w:pPr>
        <w:pStyle w:val="VBASubtitle2"/>
        <w:numPr>
          <w:ilvl w:val="0"/>
          <w:numId w:val="0"/>
        </w:numPr>
        <w:rPr>
          <w:b w:val="0"/>
          <w:bCs w:val="0"/>
        </w:rPr>
      </w:pPr>
    </w:p>
    <w:p w14:paraId="3E00E22C" w14:textId="77777777" w:rsidR="00934E4B" w:rsidRPr="0099541E" w:rsidRDefault="00934E4B" w:rsidP="00934E4B">
      <w:pPr>
        <w:pStyle w:val="VBASubtitle2"/>
        <w:numPr>
          <w:ilvl w:val="0"/>
          <w:numId w:val="0"/>
        </w:numPr>
        <w:rPr>
          <w:b w:val="0"/>
          <w:bCs w:val="0"/>
        </w:rPr>
      </w:pPr>
    </w:p>
    <w:p w14:paraId="42F196D7" w14:textId="77777777" w:rsidR="00934E4B" w:rsidRPr="0099541E" w:rsidRDefault="00934E4B" w:rsidP="00934E4B">
      <w:pPr>
        <w:pStyle w:val="VBASubtitle2"/>
        <w:numPr>
          <w:ilvl w:val="0"/>
          <w:numId w:val="7"/>
        </w:numPr>
        <w:rPr>
          <w:noProof/>
        </w:rPr>
      </w:pPr>
      <w:r w:rsidRPr="0099541E">
        <w:rPr>
          <w:b w:val="0"/>
          <w:bCs w:val="0"/>
        </w:rPr>
        <w:t xml:space="preserve">Can service connection be granted for cancers due to exposure to microwaves from radar equipment?  If so, under what regulation?  Where </w:t>
      </w:r>
      <w:proofErr w:type="gramStart"/>
      <w:r w:rsidRPr="0099541E">
        <w:rPr>
          <w:b w:val="0"/>
          <w:bCs w:val="0"/>
        </w:rPr>
        <w:t>would this claim</w:t>
      </w:r>
      <w:proofErr w:type="gramEnd"/>
      <w:r w:rsidRPr="0099541E">
        <w:rPr>
          <w:b w:val="0"/>
          <w:bCs w:val="0"/>
        </w:rPr>
        <w:t xml:space="preserve"> be processed?</w:t>
      </w:r>
      <w:r w:rsidRPr="0099541E">
        <w:t xml:space="preserve">  </w:t>
      </w:r>
    </w:p>
    <w:p w14:paraId="49347C50" w14:textId="77777777" w:rsidR="00934E4B" w:rsidRPr="0099541E" w:rsidRDefault="00934E4B" w:rsidP="00934E4B">
      <w:pPr>
        <w:pStyle w:val="VBASubtitle2"/>
        <w:numPr>
          <w:ilvl w:val="0"/>
          <w:numId w:val="0"/>
        </w:numPr>
        <w:rPr>
          <w:noProof/>
        </w:rPr>
      </w:pPr>
    </w:p>
    <w:p w14:paraId="7D91EA77" w14:textId="77777777" w:rsidR="00934E4B" w:rsidRPr="0099541E" w:rsidRDefault="00934E4B" w:rsidP="00934E4B">
      <w:pPr>
        <w:pStyle w:val="VBASubtitle2"/>
        <w:numPr>
          <w:ilvl w:val="0"/>
          <w:numId w:val="0"/>
        </w:numPr>
        <w:rPr>
          <w:noProof/>
        </w:rPr>
      </w:pPr>
    </w:p>
    <w:p w14:paraId="61DCDC87" w14:textId="77777777" w:rsidR="00934E4B" w:rsidRPr="0099541E" w:rsidRDefault="00934E4B" w:rsidP="00934E4B">
      <w:pPr>
        <w:pStyle w:val="VBASubtitle2"/>
        <w:numPr>
          <w:ilvl w:val="0"/>
          <w:numId w:val="0"/>
        </w:numPr>
        <w:rPr>
          <w:noProof/>
        </w:rPr>
      </w:pPr>
    </w:p>
    <w:p w14:paraId="71050646" w14:textId="77777777" w:rsidR="00934E4B" w:rsidRPr="0099541E" w:rsidRDefault="00934E4B" w:rsidP="00934E4B">
      <w:pPr>
        <w:pStyle w:val="VBASubtitle2"/>
        <w:numPr>
          <w:ilvl w:val="0"/>
          <w:numId w:val="7"/>
        </w:numPr>
        <w:rPr>
          <w:b w:val="0"/>
          <w:bCs w:val="0"/>
          <w:noProof/>
        </w:rPr>
      </w:pPr>
      <w:r w:rsidRPr="0099541E">
        <w:rPr>
          <w:b w:val="0"/>
          <w:bCs w:val="0"/>
          <w:noProof/>
        </w:rPr>
        <w:t>List the two Manual references related to processing radiation claims.</w:t>
      </w:r>
    </w:p>
    <w:p w14:paraId="68CEA676" w14:textId="77777777" w:rsidR="00934E4B" w:rsidRPr="0099541E" w:rsidRDefault="00934E4B" w:rsidP="00934E4B">
      <w:pPr>
        <w:pStyle w:val="VBASubtitle2"/>
        <w:numPr>
          <w:ilvl w:val="0"/>
          <w:numId w:val="0"/>
        </w:numPr>
        <w:ind w:left="720" w:hanging="360"/>
        <w:rPr>
          <w:rStyle w:val="Hyperlink"/>
        </w:rPr>
      </w:pPr>
    </w:p>
    <w:p w14:paraId="5AD4E098" w14:textId="77777777" w:rsidR="00934E4B" w:rsidRPr="0099541E" w:rsidRDefault="00934E4B" w:rsidP="00934E4B">
      <w:pPr>
        <w:pStyle w:val="VBASubtitle2"/>
        <w:numPr>
          <w:ilvl w:val="0"/>
          <w:numId w:val="0"/>
        </w:numPr>
        <w:rPr>
          <w:rStyle w:val="Hyperlink"/>
        </w:rPr>
      </w:pPr>
    </w:p>
    <w:p w14:paraId="33B91E5B" w14:textId="77777777" w:rsidR="00934E4B" w:rsidRPr="0099541E" w:rsidRDefault="00934E4B" w:rsidP="00934E4B">
      <w:pPr>
        <w:pStyle w:val="VBASubtitle2"/>
        <w:numPr>
          <w:ilvl w:val="0"/>
          <w:numId w:val="0"/>
        </w:numPr>
        <w:ind w:left="720" w:hanging="360"/>
        <w:rPr>
          <w:i/>
          <w:iCs/>
        </w:rPr>
      </w:pPr>
    </w:p>
    <w:p w14:paraId="5FCE5B8E" w14:textId="77777777" w:rsidR="00934E4B" w:rsidRPr="0099541E" w:rsidRDefault="00934E4B" w:rsidP="00934E4B">
      <w:pPr>
        <w:pStyle w:val="VBASubtitle2"/>
        <w:numPr>
          <w:ilvl w:val="0"/>
          <w:numId w:val="7"/>
        </w:numPr>
        <w:rPr>
          <w:b w:val="0"/>
          <w:bCs w:val="0"/>
        </w:rPr>
      </w:pPr>
      <w:r w:rsidRPr="0099541E">
        <w:rPr>
          <w:b w:val="0"/>
          <w:bCs w:val="0"/>
          <w:noProof/>
        </w:rPr>
        <w:t xml:space="preserve">List two of the three ways that a claim for exposure to ionizing radiation can be established.  </w:t>
      </w:r>
    </w:p>
    <w:p w14:paraId="0A9B2FE7" w14:textId="77777777" w:rsidR="00934E4B" w:rsidRPr="0099541E" w:rsidRDefault="00934E4B" w:rsidP="00934E4B">
      <w:pPr>
        <w:pStyle w:val="VBASubtitle2"/>
        <w:numPr>
          <w:ilvl w:val="0"/>
          <w:numId w:val="0"/>
        </w:numPr>
        <w:ind w:left="1080"/>
        <w:rPr>
          <w:b w:val="0"/>
          <w:bCs w:val="0"/>
        </w:rPr>
      </w:pPr>
    </w:p>
    <w:p w14:paraId="7E89782C" w14:textId="77777777" w:rsidR="00934E4B" w:rsidRPr="0099541E" w:rsidRDefault="00934E4B" w:rsidP="00934E4B">
      <w:pPr>
        <w:pStyle w:val="VBASubtitle2"/>
        <w:numPr>
          <w:ilvl w:val="0"/>
          <w:numId w:val="0"/>
        </w:numPr>
        <w:rPr>
          <w:b w:val="0"/>
          <w:bCs w:val="0"/>
        </w:rPr>
      </w:pPr>
    </w:p>
    <w:p w14:paraId="7AD42638" w14:textId="77777777" w:rsidR="00934E4B" w:rsidRPr="0099541E" w:rsidRDefault="00934E4B" w:rsidP="00934E4B">
      <w:pPr>
        <w:pStyle w:val="VBASubtitle2"/>
        <w:numPr>
          <w:ilvl w:val="0"/>
          <w:numId w:val="0"/>
        </w:numPr>
        <w:ind w:left="1080"/>
        <w:rPr>
          <w:b w:val="0"/>
          <w:bCs w:val="0"/>
          <w:noProof/>
        </w:rPr>
      </w:pPr>
    </w:p>
    <w:p w14:paraId="37CB2476" w14:textId="77777777" w:rsidR="00934E4B" w:rsidRPr="0099541E" w:rsidRDefault="00934E4B" w:rsidP="00934E4B">
      <w:pPr>
        <w:numPr>
          <w:ilvl w:val="0"/>
          <w:numId w:val="7"/>
        </w:numPr>
        <w:spacing w:before="0"/>
        <w:textAlignment w:val="baseline"/>
        <w:rPr>
          <w:b/>
          <w:bCs/>
          <w:noProof/>
        </w:rPr>
      </w:pPr>
      <w:r w:rsidRPr="0099541E">
        <w:rPr>
          <w:noProof/>
        </w:rPr>
        <w:t xml:space="preserve">List three court cases that have helped shape the radiation claims process.  </w:t>
      </w:r>
    </w:p>
    <w:p w14:paraId="07428EEC" w14:textId="77777777" w:rsidR="00934E4B" w:rsidRPr="0099541E" w:rsidRDefault="00934E4B" w:rsidP="00934E4B">
      <w:pPr>
        <w:spacing w:before="0"/>
        <w:ind w:left="360"/>
        <w:rPr>
          <w:b/>
          <w:bCs/>
          <w:noProof/>
        </w:rPr>
      </w:pPr>
    </w:p>
    <w:p w14:paraId="1F71B539" w14:textId="77777777" w:rsidR="00934E4B" w:rsidRPr="0099541E" w:rsidRDefault="00934E4B" w:rsidP="00934E4B">
      <w:pPr>
        <w:spacing w:before="0"/>
        <w:ind w:left="360"/>
        <w:rPr>
          <w:b/>
          <w:bCs/>
          <w:noProof/>
        </w:rPr>
      </w:pPr>
    </w:p>
    <w:p w14:paraId="68421C1A" w14:textId="77777777" w:rsidR="00934E4B" w:rsidRPr="0099541E" w:rsidRDefault="00934E4B" w:rsidP="00934E4B">
      <w:pPr>
        <w:spacing w:before="0"/>
        <w:ind w:left="360"/>
        <w:rPr>
          <w:b/>
          <w:bCs/>
          <w:noProof/>
        </w:rPr>
      </w:pPr>
    </w:p>
    <w:p w14:paraId="4B3D0DD3" w14:textId="77777777" w:rsidR="00934E4B" w:rsidRPr="0099541E" w:rsidRDefault="00934E4B" w:rsidP="00934E4B">
      <w:pPr>
        <w:numPr>
          <w:ilvl w:val="0"/>
          <w:numId w:val="7"/>
        </w:numPr>
        <w:spacing w:before="0"/>
        <w:textAlignment w:val="baseline"/>
        <w:rPr>
          <w:b/>
          <w:bCs/>
          <w:noProof/>
        </w:rPr>
      </w:pPr>
      <w:r w:rsidRPr="0099541E">
        <w:rPr>
          <w:noProof/>
        </w:rPr>
        <w:t xml:space="preserve">Under 38 C.F.R. 3.311, what is the definition of </w:t>
      </w:r>
      <w:r w:rsidRPr="0099541E">
        <w:t>Hiroshima and Nagasaki occupation claims?</w:t>
      </w:r>
    </w:p>
    <w:p w14:paraId="00484594" w14:textId="77777777" w:rsidR="00934E4B" w:rsidRPr="0099541E" w:rsidRDefault="00934E4B" w:rsidP="00934E4B"/>
    <w:p w14:paraId="4635FCBC" w14:textId="77777777" w:rsidR="00934E4B" w:rsidRPr="0099541E" w:rsidRDefault="00934E4B">
      <w:pPr>
        <w:overflowPunct/>
        <w:autoSpaceDE/>
        <w:autoSpaceDN/>
        <w:adjustRightInd/>
        <w:spacing w:before="0"/>
        <w:rPr>
          <w:b/>
          <w:smallCaps/>
          <w:sz w:val="32"/>
          <w:szCs w:val="32"/>
        </w:rPr>
      </w:pPr>
    </w:p>
    <w:p w14:paraId="34522E7A" w14:textId="77777777" w:rsidR="00934E4B" w:rsidRPr="0099541E" w:rsidRDefault="00934E4B">
      <w:pPr>
        <w:overflowPunct/>
        <w:autoSpaceDE/>
        <w:autoSpaceDN/>
        <w:adjustRightInd/>
        <w:spacing w:before="0"/>
        <w:rPr>
          <w:b/>
          <w:smallCaps/>
          <w:sz w:val="32"/>
          <w:szCs w:val="32"/>
        </w:rPr>
      </w:pPr>
      <w:r w:rsidRPr="0099541E">
        <w:br w:type="page"/>
      </w:r>
    </w:p>
    <w:p w14:paraId="758654F7" w14:textId="187AA680" w:rsidR="007A5600" w:rsidRPr="0099541E" w:rsidRDefault="007A5600" w:rsidP="00507A0A">
      <w:pPr>
        <w:pStyle w:val="VBATopicHeading1"/>
        <w:rPr>
          <w:rFonts w:ascii="Times New Roman" w:hAnsi="Times New Roman"/>
          <w:b w:val="0"/>
          <w:bCs/>
          <w:i/>
        </w:rPr>
      </w:pPr>
      <w:bookmarkStart w:id="10" w:name="_Toc438477425"/>
      <w:r w:rsidRPr="0099541E">
        <w:rPr>
          <w:rFonts w:ascii="Times New Roman" w:hAnsi="Times New Roman"/>
        </w:rPr>
        <w:lastRenderedPageBreak/>
        <w:t>Topic 2</w:t>
      </w:r>
      <w:r w:rsidRPr="0099541E">
        <w:rPr>
          <w:rFonts w:ascii="Times New Roman" w:hAnsi="Times New Roman"/>
          <w:color w:val="0070C0"/>
        </w:rPr>
        <w:t xml:space="preserve">: </w:t>
      </w:r>
      <w:r w:rsidR="00507A0A" w:rsidRPr="0099541E">
        <w:rPr>
          <w:rFonts w:ascii="Times New Roman" w:hAnsi="Times New Roman"/>
        </w:rPr>
        <w:t>Processing a Claim Based on Exposure to Radiation</w:t>
      </w:r>
      <w:bookmarkEnd w:id="10"/>
    </w:p>
    <w:p w14:paraId="3D767CEB" w14:textId="77777777" w:rsidR="007A5600" w:rsidRPr="0099541E" w:rsidRDefault="00507A0A">
      <w:pPr>
        <w:pStyle w:val="VBABodyText0"/>
        <w:rPr>
          <w:b/>
          <w:u w:val="single"/>
        </w:rPr>
      </w:pPr>
      <w:r w:rsidRPr="0099541E">
        <w:rPr>
          <w:b/>
          <w:u w:val="single"/>
        </w:rPr>
        <w:t>Processing of claims for service connection based on radiation exposure</w:t>
      </w:r>
    </w:p>
    <w:p w14:paraId="05A32083" w14:textId="77777777" w:rsidR="00574EAB" w:rsidRPr="0099541E" w:rsidRDefault="00574EAB">
      <w:pPr>
        <w:pStyle w:val="VBABodyText0"/>
        <w:rPr>
          <w:b/>
          <w:u w:val="single"/>
        </w:rPr>
      </w:pPr>
    </w:p>
    <w:p w14:paraId="5E22EC99" w14:textId="19241994" w:rsidR="00574EAB" w:rsidRPr="0099541E" w:rsidRDefault="00E1194E" w:rsidP="00574EAB">
      <w:pPr>
        <w:pStyle w:val="VBASubtitle2"/>
        <w:numPr>
          <w:ilvl w:val="0"/>
          <w:numId w:val="0"/>
        </w:numPr>
        <w:ind w:left="360"/>
        <w:rPr>
          <w:b w:val="0"/>
          <w:bCs w:val="0"/>
        </w:rPr>
      </w:pPr>
      <w:r w:rsidRPr="0099541E">
        <w:rPr>
          <w:b w:val="0"/>
          <w:bCs w:val="0"/>
        </w:rPr>
        <w:t xml:space="preserve">When </w:t>
      </w:r>
      <w:r w:rsidR="00574EAB" w:rsidRPr="0099541E">
        <w:rPr>
          <w:b w:val="0"/>
          <w:bCs w:val="0"/>
        </w:rPr>
        <w:t xml:space="preserve">a claim </w:t>
      </w:r>
      <w:r w:rsidRPr="0099541E">
        <w:rPr>
          <w:b w:val="0"/>
          <w:bCs w:val="0"/>
        </w:rPr>
        <w:t>is identified as being based on</w:t>
      </w:r>
      <w:r w:rsidR="00574EAB" w:rsidRPr="0099541E">
        <w:rPr>
          <w:b w:val="0"/>
          <w:bCs w:val="0"/>
        </w:rPr>
        <w:t xml:space="preserve"> radiation exposure with </w:t>
      </w:r>
      <w:r w:rsidR="0027140D">
        <w:rPr>
          <w:b w:val="0"/>
          <w:bCs w:val="0"/>
        </w:rPr>
        <w:t xml:space="preserve">confirmed </w:t>
      </w:r>
      <w:r w:rsidR="00574EAB" w:rsidRPr="0099541E">
        <w:rPr>
          <w:b w:val="0"/>
          <w:bCs w:val="0"/>
        </w:rPr>
        <w:t>evidence of a radiogenic disease, the file is to be brokered to the Jackson, MS Regional Office.</w:t>
      </w:r>
    </w:p>
    <w:p w14:paraId="7CDB8D75" w14:textId="77777777" w:rsidR="00574EAB" w:rsidRPr="0099541E" w:rsidRDefault="00574EAB" w:rsidP="00574EAB">
      <w:pPr>
        <w:pStyle w:val="VBASubtitle2"/>
        <w:numPr>
          <w:ilvl w:val="0"/>
          <w:numId w:val="0"/>
        </w:numPr>
        <w:ind w:left="360"/>
      </w:pPr>
    </w:p>
    <w:p w14:paraId="0DCEC694" w14:textId="77777777" w:rsidR="00E95566" w:rsidRPr="0099541E" w:rsidRDefault="00574EAB" w:rsidP="00574EAB">
      <w:pPr>
        <w:pStyle w:val="VBASubtitle2"/>
        <w:numPr>
          <w:ilvl w:val="0"/>
          <w:numId w:val="0"/>
        </w:numPr>
        <w:ind w:left="360"/>
        <w:rPr>
          <w:b w:val="0"/>
          <w:bCs w:val="0"/>
        </w:rPr>
      </w:pPr>
      <w:r w:rsidRPr="0099541E">
        <w:rPr>
          <w:b w:val="0"/>
          <w:bCs w:val="0"/>
        </w:rPr>
        <w:t xml:space="preserve">When a claim is brokered to the Jackson Regional Office, this includes any additional claims not related to radiation, as well as any new claims received after the claim has been brokered. </w:t>
      </w:r>
      <w:r w:rsidR="00831ED2" w:rsidRPr="0099541E">
        <w:rPr>
          <w:b w:val="0"/>
          <w:bCs w:val="0"/>
        </w:rPr>
        <w:t>T</w:t>
      </w:r>
      <w:r w:rsidR="00831ED2" w:rsidRPr="0099541E">
        <w:rPr>
          <w:b w:val="0"/>
        </w:rPr>
        <w:t xml:space="preserve">he </w:t>
      </w:r>
      <w:r w:rsidR="00E1194E" w:rsidRPr="0099541E">
        <w:rPr>
          <w:b w:val="0"/>
        </w:rPr>
        <w:t xml:space="preserve">station of origination (SOO) </w:t>
      </w:r>
      <w:r w:rsidR="00831ED2" w:rsidRPr="0099541E">
        <w:rPr>
          <w:b w:val="0"/>
        </w:rPr>
        <w:t xml:space="preserve">must leave the rating end product (EP) pending, as well as all other EPs </w:t>
      </w:r>
      <w:r w:rsidR="00831ED2" w:rsidRPr="0099541E">
        <w:rPr>
          <w:b w:val="0"/>
          <w:i/>
          <w:iCs/>
        </w:rPr>
        <w:t>not</w:t>
      </w:r>
      <w:r w:rsidR="00831ED2" w:rsidRPr="0099541E">
        <w:rPr>
          <w:b w:val="0"/>
        </w:rPr>
        <w:t xml:space="preserve"> related to the radiation claim.</w:t>
      </w:r>
      <w:r w:rsidRPr="0099541E">
        <w:rPr>
          <w:b w:val="0"/>
          <w:bCs w:val="0"/>
        </w:rPr>
        <w:t xml:space="preserve"> </w:t>
      </w:r>
    </w:p>
    <w:p w14:paraId="50A4E605" w14:textId="77777777" w:rsidR="00E95566" w:rsidRPr="0099541E" w:rsidRDefault="00E95566" w:rsidP="00574EAB">
      <w:pPr>
        <w:pStyle w:val="VBASubtitle2"/>
        <w:numPr>
          <w:ilvl w:val="0"/>
          <w:numId w:val="0"/>
        </w:numPr>
        <w:ind w:left="360"/>
        <w:rPr>
          <w:b w:val="0"/>
          <w:bCs w:val="0"/>
        </w:rPr>
      </w:pPr>
    </w:p>
    <w:p w14:paraId="611927E1" w14:textId="77777777" w:rsidR="00574EAB" w:rsidRPr="0099541E" w:rsidRDefault="00E95566" w:rsidP="00574EAB">
      <w:pPr>
        <w:pStyle w:val="VBASubtitle2"/>
        <w:numPr>
          <w:ilvl w:val="0"/>
          <w:numId w:val="0"/>
        </w:numPr>
        <w:ind w:left="360"/>
        <w:rPr>
          <w:b w:val="0"/>
          <w:bCs w:val="0"/>
          <w:color w:val="0000FF"/>
        </w:rPr>
      </w:pPr>
      <w:r w:rsidRPr="0099541E">
        <w:rPr>
          <w:b w:val="0"/>
        </w:rPr>
        <w:t>The Jackson RO will have jurisdiction of all non-radiation-related claims while processing the radiation issues</w:t>
      </w:r>
      <w:r w:rsidRPr="0099541E">
        <w:t xml:space="preserve">. </w:t>
      </w:r>
      <w:r w:rsidR="00574EAB" w:rsidRPr="0099541E">
        <w:rPr>
          <w:b w:val="0"/>
          <w:bCs w:val="0"/>
        </w:rPr>
        <w:t xml:space="preserve">Once the claim is rated, the file will be brokered back to the ROJ. </w:t>
      </w:r>
    </w:p>
    <w:p w14:paraId="4E06F574" w14:textId="12ACE269" w:rsidR="00574EAB" w:rsidRPr="0099541E" w:rsidRDefault="00574EAB" w:rsidP="004C7C1B">
      <w:pPr>
        <w:pStyle w:val="VBASubtitle2"/>
        <w:numPr>
          <w:ilvl w:val="0"/>
          <w:numId w:val="0"/>
        </w:numPr>
        <w:rPr>
          <w:b w:val="0"/>
          <w:bCs w:val="0"/>
          <w:color w:val="0000FF"/>
        </w:rPr>
      </w:pPr>
      <w:r w:rsidRPr="0099541E">
        <w:rPr>
          <w:b w:val="0"/>
          <w:bCs w:val="0"/>
          <w:color w:val="0000FF"/>
        </w:rPr>
        <w:t xml:space="preserve"> </w:t>
      </w:r>
    </w:p>
    <w:p w14:paraId="7C03327D" w14:textId="77777777" w:rsidR="007A5600" w:rsidRPr="0099541E" w:rsidRDefault="007A5600" w:rsidP="0020593E">
      <w:pPr>
        <w:pStyle w:val="VBABodyText0"/>
        <w:rPr>
          <w:sz w:val="32"/>
          <w:szCs w:val="32"/>
        </w:rPr>
      </w:pPr>
    </w:p>
    <w:p w14:paraId="21B4CCF7" w14:textId="77777777" w:rsidR="00574EAB" w:rsidRPr="0099541E" w:rsidRDefault="00574EAB">
      <w:pPr>
        <w:overflowPunct/>
        <w:autoSpaceDE/>
        <w:autoSpaceDN/>
        <w:adjustRightInd/>
        <w:spacing w:before="0"/>
        <w:rPr>
          <w:b/>
          <w:smallCaps/>
          <w:color w:val="0070C0"/>
          <w:sz w:val="32"/>
          <w:szCs w:val="32"/>
        </w:rPr>
      </w:pPr>
      <w:r w:rsidRPr="0099541E">
        <w:rPr>
          <w:color w:val="0070C0"/>
        </w:rPr>
        <w:br w:type="page"/>
      </w:r>
    </w:p>
    <w:p w14:paraId="0B0932F3" w14:textId="60E85436" w:rsidR="008339F4" w:rsidRPr="0099541E" w:rsidRDefault="008339F4" w:rsidP="00574EAB"/>
    <w:p w14:paraId="00E4B45F" w14:textId="77777777" w:rsidR="008339F4" w:rsidRPr="0099541E" w:rsidRDefault="008339F4" w:rsidP="00574EAB"/>
    <w:p w14:paraId="45BFF1AC" w14:textId="7C93D5E9" w:rsidR="008339F4" w:rsidRPr="0099541E" w:rsidRDefault="008339F4" w:rsidP="008339F4">
      <w:pPr>
        <w:pStyle w:val="VBATopicHeading1"/>
        <w:rPr>
          <w:rFonts w:ascii="Times New Roman" w:hAnsi="Times New Roman"/>
        </w:rPr>
      </w:pPr>
      <w:bookmarkStart w:id="11" w:name="_Toc438477426"/>
      <w:r w:rsidRPr="0099541E">
        <w:rPr>
          <w:rFonts w:ascii="Times New Roman" w:hAnsi="Times New Roman"/>
        </w:rPr>
        <w:t>Topic 2 Exercise</w:t>
      </w:r>
      <w:bookmarkEnd w:id="11"/>
    </w:p>
    <w:p w14:paraId="4F340A92" w14:textId="77777777" w:rsidR="008339F4" w:rsidRPr="0099541E" w:rsidRDefault="008339F4" w:rsidP="00574EAB"/>
    <w:p w14:paraId="6BA05015" w14:textId="77777777" w:rsidR="008339F4" w:rsidRPr="0099541E" w:rsidRDefault="008339F4" w:rsidP="008339F4">
      <w:pPr>
        <w:pStyle w:val="VBAbodytext"/>
        <w:numPr>
          <w:ilvl w:val="0"/>
          <w:numId w:val="7"/>
        </w:numPr>
        <w:spacing w:before="0" w:after="0"/>
        <w:textAlignment w:val="baseline"/>
      </w:pPr>
      <w:r w:rsidRPr="0099541E">
        <w:t xml:space="preserve">Where are claims for radiation exposure with a radiogenic disease processed?  Where are claims for radiation exposure without a radiogenic disease processed?  </w:t>
      </w:r>
    </w:p>
    <w:p w14:paraId="4E825390" w14:textId="77777777" w:rsidR="008339F4" w:rsidRPr="0099541E" w:rsidRDefault="008339F4" w:rsidP="008339F4">
      <w:pPr>
        <w:pStyle w:val="VBAbodytext"/>
        <w:spacing w:before="0" w:after="0"/>
        <w:ind w:left="720"/>
        <w:textAlignment w:val="baseline"/>
      </w:pPr>
    </w:p>
    <w:p w14:paraId="61FE46B1" w14:textId="77777777" w:rsidR="008339F4" w:rsidRPr="0099541E" w:rsidRDefault="008339F4" w:rsidP="008339F4">
      <w:pPr>
        <w:pStyle w:val="VBAbodytext"/>
        <w:spacing w:before="0" w:after="0"/>
        <w:ind w:left="720"/>
        <w:textAlignment w:val="baseline"/>
      </w:pPr>
    </w:p>
    <w:p w14:paraId="24A83691" w14:textId="77777777" w:rsidR="008339F4" w:rsidRPr="0099541E" w:rsidRDefault="008339F4" w:rsidP="008339F4">
      <w:pPr>
        <w:pStyle w:val="VBAbodytext"/>
        <w:spacing w:before="0" w:after="0"/>
        <w:ind w:left="720"/>
        <w:textAlignment w:val="baseline"/>
      </w:pPr>
    </w:p>
    <w:p w14:paraId="62DF46B1" w14:textId="77777777" w:rsidR="008339F4" w:rsidRPr="0099541E" w:rsidRDefault="008339F4" w:rsidP="008339F4">
      <w:pPr>
        <w:pStyle w:val="VBASubtitle2"/>
        <w:numPr>
          <w:ilvl w:val="0"/>
          <w:numId w:val="7"/>
        </w:numPr>
        <w:rPr>
          <w:b w:val="0"/>
          <w:bCs w:val="0"/>
        </w:rPr>
      </w:pPr>
      <w:r w:rsidRPr="0099541E">
        <w:rPr>
          <w:b w:val="0"/>
          <w:bCs w:val="0"/>
        </w:rPr>
        <w:t xml:space="preserve">What should you do if you receive a claim that is ready to rate with a verified radiogenic disease?  </w:t>
      </w:r>
    </w:p>
    <w:p w14:paraId="2C8D252F" w14:textId="527EF596" w:rsidR="007A5600" w:rsidRPr="0099541E" w:rsidRDefault="007A5600" w:rsidP="008339F4">
      <w:pPr>
        <w:spacing w:before="0"/>
      </w:pPr>
    </w:p>
    <w:sectPr w:rsidR="007A5600" w:rsidRPr="0099541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38CCF" w14:textId="77777777" w:rsidR="00A80349" w:rsidRDefault="00A80349">
      <w:pPr>
        <w:spacing w:before="0"/>
      </w:pPr>
      <w:r>
        <w:separator/>
      </w:r>
    </w:p>
  </w:endnote>
  <w:endnote w:type="continuationSeparator" w:id="0">
    <w:p w14:paraId="5DA645AA" w14:textId="77777777" w:rsidR="00A80349" w:rsidRDefault="00A803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81E4" w14:textId="5AA2D18C" w:rsidR="007A5600" w:rsidRDefault="00CC4182">
    <w:pPr>
      <w:pStyle w:val="VBAFooter"/>
    </w:pPr>
    <w:r>
      <w:t>January 2016</w:t>
    </w:r>
    <w:r w:rsidR="007A5600">
      <w:tab/>
    </w:r>
    <w:r w:rsidR="007A5600">
      <w:tab/>
      <w:t xml:space="preserve">Page </w:t>
    </w:r>
    <w:r w:rsidR="007A5600">
      <w:fldChar w:fldCharType="begin"/>
    </w:r>
    <w:r w:rsidR="007A5600">
      <w:instrText xml:space="preserve"> PAGE   \* MERGEFORMAT </w:instrText>
    </w:r>
    <w:r w:rsidR="007A5600">
      <w:fldChar w:fldCharType="separate"/>
    </w:r>
    <w:r w:rsidR="00E800E1">
      <w:rPr>
        <w:noProof/>
      </w:rPr>
      <w:t>1</w:t>
    </w:r>
    <w:r w:rsidR="007A5600">
      <w:fldChar w:fldCharType="end"/>
    </w:r>
  </w:p>
  <w:p w14:paraId="7D7CCE8F" w14:textId="77777777"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D749A" w14:textId="77777777" w:rsidR="00A80349" w:rsidRDefault="00A80349">
      <w:pPr>
        <w:spacing w:before="0"/>
      </w:pPr>
      <w:r>
        <w:separator/>
      </w:r>
    </w:p>
  </w:footnote>
  <w:footnote w:type="continuationSeparator" w:id="0">
    <w:p w14:paraId="5590D23C" w14:textId="77777777" w:rsidR="00A80349" w:rsidRDefault="00A8034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2E2"/>
    <w:multiLevelType w:val="hybridMultilevel"/>
    <w:tmpl w:val="EFE8608A"/>
    <w:lvl w:ilvl="0" w:tplc="66B22942">
      <w:start w:val="1"/>
      <w:numFmt w:val="bullet"/>
      <w:pStyle w:val="VBASubtitle2"/>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8D6086"/>
    <w:multiLevelType w:val="hybridMultilevel"/>
    <w:tmpl w:val="B58E8310"/>
    <w:lvl w:ilvl="0" w:tplc="89B454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9C1D35"/>
    <w:multiLevelType w:val="hybridMultilevel"/>
    <w:tmpl w:val="64E62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0841AD"/>
    <w:multiLevelType w:val="hybridMultilevel"/>
    <w:tmpl w:val="E842BC9E"/>
    <w:lvl w:ilvl="0" w:tplc="04090001">
      <w:start w:val="1"/>
      <w:numFmt w:val="bullet"/>
      <w:pStyle w:val="VBAFirstLevelBullet"/>
      <w:lvlText w:val=""/>
      <w:lvlJc w:val="left"/>
      <w:pPr>
        <w:ind w:left="720" w:hanging="360"/>
      </w:pPr>
      <w:rPr>
        <w:rFonts w:ascii="Symbol" w:hAnsi="Symbol" w:hint="default"/>
        <w:color w:val="auto"/>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61F678FA"/>
    <w:multiLevelType w:val="hybridMultilevel"/>
    <w:tmpl w:val="CF3233BA"/>
    <w:lvl w:ilvl="0" w:tplc="C9EAAE38">
      <w:start w:val="1"/>
      <w:numFmt w:val="bullet"/>
      <w:lvlText w:val="•"/>
      <w:lvlJc w:val="left"/>
      <w:pPr>
        <w:tabs>
          <w:tab w:val="num" w:pos="720"/>
        </w:tabs>
        <w:ind w:left="720" w:hanging="360"/>
      </w:pPr>
      <w:rPr>
        <w:rFonts w:ascii="Arial" w:hAnsi="Arial" w:hint="default"/>
      </w:rPr>
    </w:lvl>
    <w:lvl w:ilvl="1" w:tplc="0D32B5EA" w:tentative="1">
      <w:start w:val="1"/>
      <w:numFmt w:val="bullet"/>
      <w:lvlText w:val="•"/>
      <w:lvlJc w:val="left"/>
      <w:pPr>
        <w:tabs>
          <w:tab w:val="num" w:pos="1440"/>
        </w:tabs>
        <w:ind w:left="1440" w:hanging="360"/>
      </w:pPr>
      <w:rPr>
        <w:rFonts w:ascii="Arial" w:hAnsi="Arial" w:hint="default"/>
      </w:rPr>
    </w:lvl>
    <w:lvl w:ilvl="2" w:tplc="55E4A828" w:tentative="1">
      <w:start w:val="1"/>
      <w:numFmt w:val="bullet"/>
      <w:lvlText w:val="•"/>
      <w:lvlJc w:val="left"/>
      <w:pPr>
        <w:tabs>
          <w:tab w:val="num" w:pos="2160"/>
        </w:tabs>
        <w:ind w:left="2160" w:hanging="360"/>
      </w:pPr>
      <w:rPr>
        <w:rFonts w:ascii="Arial" w:hAnsi="Arial" w:hint="default"/>
      </w:rPr>
    </w:lvl>
    <w:lvl w:ilvl="3" w:tplc="AA3E7C08" w:tentative="1">
      <w:start w:val="1"/>
      <w:numFmt w:val="bullet"/>
      <w:lvlText w:val="•"/>
      <w:lvlJc w:val="left"/>
      <w:pPr>
        <w:tabs>
          <w:tab w:val="num" w:pos="2880"/>
        </w:tabs>
        <w:ind w:left="2880" w:hanging="360"/>
      </w:pPr>
      <w:rPr>
        <w:rFonts w:ascii="Arial" w:hAnsi="Arial" w:hint="default"/>
      </w:rPr>
    </w:lvl>
    <w:lvl w:ilvl="4" w:tplc="E6B42C16" w:tentative="1">
      <w:start w:val="1"/>
      <w:numFmt w:val="bullet"/>
      <w:lvlText w:val="•"/>
      <w:lvlJc w:val="left"/>
      <w:pPr>
        <w:tabs>
          <w:tab w:val="num" w:pos="3600"/>
        </w:tabs>
        <w:ind w:left="3600" w:hanging="360"/>
      </w:pPr>
      <w:rPr>
        <w:rFonts w:ascii="Arial" w:hAnsi="Arial" w:hint="default"/>
      </w:rPr>
    </w:lvl>
    <w:lvl w:ilvl="5" w:tplc="982ECC86" w:tentative="1">
      <w:start w:val="1"/>
      <w:numFmt w:val="bullet"/>
      <w:lvlText w:val="•"/>
      <w:lvlJc w:val="left"/>
      <w:pPr>
        <w:tabs>
          <w:tab w:val="num" w:pos="4320"/>
        </w:tabs>
        <w:ind w:left="4320" w:hanging="360"/>
      </w:pPr>
      <w:rPr>
        <w:rFonts w:ascii="Arial" w:hAnsi="Arial" w:hint="default"/>
      </w:rPr>
    </w:lvl>
    <w:lvl w:ilvl="6" w:tplc="B58679E6" w:tentative="1">
      <w:start w:val="1"/>
      <w:numFmt w:val="bullet"/>
      <w:lvlText w:val="•"/>
      <w:lvlJc w:val="left"/>
      <w:pPr>
        <w:tabs>
          <w:tab w:val="num" w:pos="5040"/>
        </w:tabs>
        <w:ind w:left="5040" w:hanging="360"/>
      </w:pPr>
      <w:rPr>
        <w:rFonts w:ascii="Arial" w:hAnsi="Arial" w:hint="default"/>
      </w:rPr>
    </w:lvl>
    <w:lvl w:ilvl="7" w:tplc="E23EDFEE" w:tentative="1">
      <w:start w:val="1"/>
      <w:numFmt w:val="bullet"/>
      <w:lvlText w:val="•"/>
      <w:lvlJc w:val="left"/>
      <w:pPr>
        <w:tabs>
          <w:tab w:val="num" w:pos="5760"/>
        </w:tabs>
        <w:ind w:left="5760" w:hanging="360"/>
      </w:pPr>
      <w:rPr>
        <w:rFonts w:ascii="Arial" w:hAnsi="Arial" w:hint="default"/>
      </w:rPr>
    </w:lvl>
    <w:lvl w:ilvl="8" w:tplc="2ABE4424" w:tentative="1">
      <w:start w:val="1"/>
      <w:numFmt w:val="bullet"/>
      <w:lvlText w:val="•"/>
      <w:lvlJc w:val="left"/>
      <w:pPr>
        <w:tabs>
          <w:tab w:val="num" w:pos="6480"/>
        </w:tabs>
        <w:ind w:left="6480" w:hanging="360"/>
      </w:pPr>
      <w:rPr>
        <w:rFonts w:ascii="Arial" w:hAnsi="Arial" w:hint="default"/>
      </w:rPr>
    </w:lvl>
  </w:abstractNum>
  <w:abstractNum w:abstractNumId="5">
    <w:nsid w:val="63376F05"/>
    <w:multiLevelType w:val="hybridMultilevel"/>
    <w:tmpl w:val="ABE62BAE"/>
    <w:lvl w:ilvl="0" w:tplc="04090001">
      <w:start w:val="1"/>
      <w:numFmt w:val="bullet"/>
      <w:lvlText w:val=""/>
      <w:lvlJc w:val="left"/>
      <w:pPr>
        <w:ind w:left="1873" w:hanging="360"/>
      </w:pPr>
      <w:rPr>
        <w:rFonts w:ascii="Symbol" w:hAnsi="Symbol"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6">
    <w:nsid w:val="6A27283D"/>
    <w:multiLevelType w:val="hybridMultilevel"/>
    <w:tmpl w:val="773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B451C"/>
    <w:multiLevelType w:val="hybridMultilevel"/>
    <w:tmpl w:val="EFAEB060"/>
    <w:lvl w:ilvl="0" w:tplc="04090001">
      <w:start w:val="1"/>
      <w:numFmt w:val="bullet"/>
      <w:lvlText w:val=""/>
      <w:lvlJc w:val="left"/>
      <w:pPr>
        <w:tabs>
          <w:tab w:val="num" w:pos="1006"/>
        </w:tabs>
        <w:ind w:left="1006" w:hanging="360"/>
      </w:pPr>
      <w:rPr>
        <w:rFonts w:ascii="Symbol" w:hAnsi="Symbol" w:hint="default"/>
      </w:rPr>
    </w:lvl>
    <w:lvl w:ilvl="1" w:tplc="04090003" w:tentative="1">
      <w:start w:val="1"/>
      <w:numFmt w:val="bullet"/>
      <w:lvlText w:val="o"/>
      <w:lvlJc w:val="left"/>
      <w:pPr>
        <w:tabs>
          <w:tab w:val="num" w:pos="1726"/>
        </w:tabs>
        <w:ind w:left="1726" w:hanging="360"/>
      </w:pPr>
      <w:rPr>
        <w:rFonts w:ascii="Courier New" w:hAnsi="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8">
    <w:nsid w:val="7D947B14"/>
    <w:multiLevelType w:val="hybridMultilevel"/>
    <w:tmpl w:val="978E868E"/>
    <w:lvl w:ilvl="0" w:tplc="007016A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4357B"/>
    <w:rsid w:val="0009302D"/>
    <w:rsid w:val="000E194C"/>
    <w:rsid w:val="00174DC1"/>
    <w:rsid w:val="001A0888"/>
    <w:rsid w:val="001C38D3"/>
    <w:rsid w:val="001D2BDF"/>
    <w:rsid w:val="0020593E"/>
    <w:rsid w:val="0024629E"/>
    <w:rsid w:val="0027140D"/>
    <w:rsid w:val="002C4A0C"/>
    <w:rsid w:val="00303BC6"/>
    <w:rsid w:val="00331C61"/>
    <w:rsid w:val="00385D91"/>
    <w:rsid w:val="00445890"/>
    <w:rsid w:val="00460591"/>
    <w:rsid w:val="004818A2"/>
    <w:rsid w:val="004C7C1B"/>
    <w:rsid w:val="004F56B4"/>
    <w:rsid w:val="00507A0A"/>
    <w:rsid w:val="00574EAB"/>
    <w:rsid w:val="005A71FE"/>
    <w:rsid w:val="005C620E"/>
    <w:rsid w:val="00602FB8"/>
    <w:rsid w:val="00635137"/>
    <w:rsid w:val="007742F8"/>
    <w:rsid w:val="0079021E"/>
    <w:rsid w:val="007A5600"/>
    <w:rsid w:val="007A6CA9"/>
    <w:rsid w:val="007C7414"/>
    <w:rsid w:val="007E75EF"/>
    <w:rsid w:val="00831ED2"/>
    <w:rsid w:val="008339F4"/>
    <w:rsid w:val="00896856"/>
    <w:rsid w:val="008C3448"/>
    <w:rsid w:val="00934E4B"/>
    <w:rsid w:val="0099541E"/>
    <w:rsid w:val="00A42699"/>
    <w:rsid w:val="00A80349"/>
    <w:rsid w:val="00B04E14"/>
    <w:rsid w:val="00B94FB7"/>
    <w:rsid w:val="00CC4182"/>
    <w:rsid w:val="00CC50CA"/>
    <w:rsid w:val="00CD784F"/>
    <w:rsid w:val="00D713A8"/>
    <w:rsid w:val="00D72DD6"/>
    <w:rsid w:val="00DA5B09"/>
    <w:rsid w:val="00DD2E90"/>
    <w:rsid w:val="00DE08A8"/>
    <w:rsid w:val="00E1194E"/>
    <w:rsid w:val="00E615E0"/>
    <w:rsid w:val="00E800E1"/>
    <w:rsid w:val="00E95566"/>
    <w:rsid w:val="00ED10E6"/>
    <w:rsid w:val="00F306D3"/>
    <w:rsid w:val="00FA166B"/>
    <w:rsid w:val="00FB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Subtitle2">
    <w:name w:val="VBA Subtitle 2"/>
    <w:basedOn w:val="Normal"/>
    <w:rsid w:val="007E75EF"/>
    <w:pPr>
      <w:numPr>
        <w:numId w:val="1"/>
      </w:numPr>
      <w:spacing w:before="0"/>
      <w:textAlignment w:val="baseline"/>
    </w:pPr>
    <w:rPr>
      <w:b/>
      <w:bCs/>
      <w:szCs w:val="24"/>
    </w:rPr>
  </w:style>
  <w:style w:type="paragraph" w:customStyle="1" w:styleId="VBAFirstLevelBullet">
    <w:name w:val="VBA First Level Bullet"/>
    <w:basedOn w:val="Normal"/>
    <w:qFormat/>
    <w:rsid w:val="007E75EF"/>
    <w:pPr>
      <w:numPr>
        <w:numId w:val="2"/>
      </w:numPr>
      <w:spacing w:before="0"/>
      <w:textAlignment w:val="baseline"/>
    </w:pPr>
  </w:style>
  <w:style w:type="character" w:styleId="FollowedHyperlink">
    <w:name w:val="FollowedHyperlink"/>
    <w:basedOn w:val="DefaultParagraphFont"/>
    <w:uiPriority w:val="99"/>
    <w:semiHidden/>
    <w:unhideWhenUsed/>
    <w:rsid w:val="00ED10E6"/>
    <w:rPr>
      <w:color w:val="800080" w:themeColor="followedHyperlink"/>
      <w:u w:val="single"/>
    </w:rPr>
  </w:style>
  <w:style w:type="paragraph" w:styleId="ListParagraph">
    <w:name w:val="List Paragraph"/>
    <w:basedOn w:val="Normal"/>
    <w:uiPriority w:val="34"/>
    <w:qFormat/>
    <w:rsid w:val="00D72DD6"/>
    <w:pPr>
      <w:ind w:left="720"/>
      <w:contextualSpacing/>
    </w:pPr>
  </w:style>
  <w:style w:type="paragraph" w:styleId="NormalWeb">
    <w:name w:val="Normal (Web)"/>
    <w:basedOn w:val="Normal"/>
    <w:uiPriority w:val="99"/>
    <w:semiHidden/>
    <w:unhideWhenUsed/>
    <w:rsid w:val="00385D91"/>
    <w:pPr>
      <w:overflowPunct/>
      <w:autoSpaceDE/>
      <w:autoSpaceDN/>
      <w:adjustRightInd/>
      <w:spacing w:before="100" w:beforeAutospacing="1" w:after="100" w:afterAutospacing="1"/>
      <w:ind w:firstLine="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Subtitle2">
    <w:name w:val="VBA Subtitle 2"/>
    <w:basedOn w:val="Normal"/>
    <w:rsid w:val="007E75EF"/>
    <w:pPr>
      <w:numPr>
        <w:numId w:val="1"/>
      </w:numPr>
      <w:spacing w:before="0"/>
      <w:textAlignment w:val="baseline"/>
    </w:pPr>
    <w:rPr>
      <w:b/>
      <w:bCs/>
      <w:szCs w:val="24"/>
    </w:rPr>
  </w:style>
  <w:style w:type="paragraph" w:customStyle="1" w:styleId="VBAFirstLevelBullet">
    <w:name w:val="VBA First Level Bullet"/>
    <w:basedOn w:val="Normal"/>
    <w:qFormat/>
    <w:rsid w:val="007E75EF"/>
    <w:pPr>
      <w:numPr>
        <w:numId w:val="2"/>
      </w:numPr>
      <w:spacing w:before="0"/>
      <w:textAlignment w:val="baseline"/>
    </w:pPr>
  </w:style>
  <w:style w:type="character" w:styleId="FollowedHyperlink">
    <w:name w:val="FollowedHyperlink"/>
    <w:basedOn w:val="DefaultParagraphFont"/>
    <w:uiPriority w:val="99"/>
    <w:semiHidden/>
    <w:unhideWhenUsed/>
    <w:rsid w:val="00ED10E6"/>
    <w:rPr>
      <w:color w:val="800080" w:themeColor="followedHyperlink"/>
      <w:u w:val="single"/>
    </w:rPr>
  </w:style>
  <w:style w:type="paragraph" w:styleId="ListParagraph">
    <w:name w:val="List Paragraph"/>
    <w:basedOn w:val="Normal"/>
    <w:uiPriority w:val="34"/>
    <w:qFormat/>
    <w:rsid w:val="00D72DD6"/>
    <w:pPr>
      <w:ind w:left="720"/>
      <w:contextualSpacing/>
    </w:pPr>
  </w:style>
  <w:style w:type="paragraph" w:styleId="NormalWeb">
    <w:name w:val="Normal (Web)"/>
    <w:basedOn w:val="Normal"/>
    <w:uiPriority w:val="99"/>
    <w:semiHidden/>
    <w:unhideWhenUsed/>
    <w:rsid w:val="00385D91"/>
    <w:pPr>
      <w:overflowPunct/>
      <w:autoSpaceDE/>
      <w:autoSpaceDN/>
      <w:adjustRightInd/>
      <w:spacing w:before="100" w:beforeAutospacing="1" w:after="100" w:afterAutospacing="1"/>
      <w:ind w:firstLine="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996">
      <w:bodyDiv w:val="1"/>
      <w:marLeft w:val="0"/>
      <w:marRight w:val="0"/>
      <w:marTop w:val="0"/>
      <w:marBottom w:val="0"/>
      <w:divBdr>
        <w:top w:val="none" w:sz="0" w:space="0" w:color="auto"/>
        <w:left w:val="none" w:sz="0" w:space="0" w:color="auto"/>
        <w:bottom w:val="none" w:sz="0" w:space="0" w:color="auto"/>
        <w:right w:val="none" w:sz="0" w:space="0" w:color="auto"/>
      </w:divBdr>
      <w:divsChild>
        <w:div w:id="2092269414">
          <w:marLeft w:val="547"/>
          <w:marRight w:val="0"/>
          <w:marTop w:val="115"/>
          <w:marBottom w:val="0"/>
          <w:divBdr>
            <w:top w:val="none" w:sz="0" w:space="0" w:color="auto"/>
            <w:left w:val="none" w:sz="0" w:space="0" w:color="auto"/>
            <w:bottom w:val="none" w:sz="0" w:space="0" w:color="auto"/>
            <w:right w:val="none" w:sz="0" w:space="0" w:color="auto"/>
          </w:divBdr>
        </w:div>
      </w:divsChild>
    </w:div>
    <w:div w:id="374045063">
      <w:bodyDiv w:val="1"/>
      <w:marLeft w:val="0"/>
      <w:marRight w:val="0"/>
      <w:marTop w:val="30"/>
      <w:marBottom w:val="750"/>
      <w:divBdr>
        <w:top w:val="none" w:sz="0" w:space="0" w:color="auto"/>
        <w:left w:val="none" w:sz="0" w:space="0" w:color="auto"/>
        <w:bottom w:val="none" w:sz="0" w:space="0" w:color="auto"/>
        <w:right w:val="none" w:sz="0" w:space="0" w:color="auto"/>
      </w:divBdr>
      <w:divsChild>
        <w:div w:id="211648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system/templates/selfservice/va_k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D22EC-4783-49B4-A320-8F17B083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EBFA40-814C-4CC6-AE8D-1467398AAD6D}">
  <ds:schemaRefs>
    <ds:schemaRef ds:uri="http://schemas.microsoft.com/sharepoint/v3/contenttype/forms"/>
  </ds:schemaRefs>
</ds:datastoreItem>
</file>

<file path=customXml/itemProps3.xml><?xml version="1.0" encoding="utf-8"?>
<ds:datastoreItem xmlns:ds="http://schemas.openxmlformats.org/officeDocument/2006/customXml" ds:itemID="{9CAB5395-1E6C-4114-8693-D5124BF4F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HO Template.dot</Template>
  <TotalTime>226</TotalTime>
  <Pages>11</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Claims Based on Exposure to Ionizing Radiation</vt:lpstr>
    </vt:vector>
  </TitlesOfParts>
  <Company>Veterans Benefits Administration</Company>
  <LinksUpToDate>false</LinksUpToDate>
  <CharactersWithSpaces>14271</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Based on Exposure to Ionizing Radiation</dc:title>
  <dc:subject>RVSR</dc:subject>
  <dc:creator>Department of Veterans Affairs, Veterans Benefits Administration, Compensation Service, STAFF</dc:creator>
  <cp:keywords>radiation, ionizing radiation, CFR 3.309, CFR 3.311</cp:keywords>
  <dc:description>This lesson is intended to further develop the RVSR’s knowledge of how to process a claim based on radiation exposure.</dc:description>
  <cp:lastModifiedBy>Sochar, Lisa</cp:lastModifiedBy>
  <cp:revision>47</cp:revision>
  <dcterms:created xsi:type="dcterms:W3CDTF">2015-12-21T14:59:00Z</dcterms:created>
  <dcterms:modified xsi:type="dcterms:W3CDTF">2016-01-12T13:19:00Z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